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32C9" w:rsidRPr="00FE03F8" w:rsidRDefault="00BA32C9" w:rsidP="00BA32C9">
      <w:pPr>
        <w:jc w:val="center"/>
        <w:rPr>
          <w:sz w:val="36"/>
        </w:rPr>
      </w:pPr>
      <w:r w:rsidRPr="00FE03F8">
        <w:rPr>
          <w:sz w:val="36"/>
        </w:rPr>
        <w:t>ASSIGNMENT</w:t>
      </w:r>
    </w:p>
    <w:p w:rsidR="00BA32C9" w:rsidRDefault="00BA32C9" w:rsidP="00BA32C9">
      <w:pPr>
        <w:jc w:val="center"/>
        <w:rPr>
          <w:sz w:val="36"/>
        </w:rPr>
      </w:pPr>
      <w:r w:rsidRPr="00FE03F8">
        <w:rPr>
          <w:sz w:val="36"/>
        </w:rPr>
        <w:t>ON</w:t>
      </w:r>
    </w:p>
    <w:p w:rsidR="00BA32C9" w:rsidRPr="00BA32C9" w:rsidRDefault="00BA32C9" w:rsidP="00BA32C9">
      <w:pPr>
        <w:rPr>
          <w:b/>
          <w:sz w:val="18"/>
        </w:rPr>
      </w:pPr>
      <w:r>
        <w:rPr>
          <w:b/>
          <w:sz w:val="28"/>
        </w:rPr>
        <w:t xml:space="preserve">    </w:t>
      </w:r>
      <w:r w:rsidRPr="00BA32C9">
        <w:rPr>
          <w:b/>
          <w:sz w:val="28"/>
        </w:rPr>
        <w:t>BANKING FINANCIAL MANAGEMENT AND FINANCIAL MARKETS</w:t>
      </w:r>
    </w:p>
    <w:p w:rsidR="00BA32C9" w:rsidRPr="00BA32C9" w:rsidRDefault="00BA32C9" w:rsidP="00BA32C9">
      <w:pPr>
        <w:jc w:val="center"/>
        <w:rPr>
          <w:sz w:val="36"/>
        </w:rPr>
      </w:pPr>
      <w:r w:rsidRPr="00BA32C9">
        <w:rPr>
          <w:sz w:val="36"/>
        </w:rPr>
        <w:t>OF</w:t>
      </w:r>
    </w:p>
    <w:p w:rsidR="00BA32C9" w:rsidRPr="00BA32C9" w:rsidRDefault="00BA32C9" w:rsidP="00BA32C9">
      <w:pPr>
        <w:jc w:val="center"/>
        <w:rPr>
          <w:b/>
          <w:sz w:val="36"/>
        </w:rPr>
      </w:pPr>
      <w:r w:rsidRPr="00BA32C9">
        <w:rPr>
          <w:b/>
          <w:sz w:val="36"/>
        </w:rPr>
        <w:t>Barclays Bank UK</w:t>
      </w:r>
    </w:p>
    <w:p w:rsidR="00BA32C9" w:rsidRDefault="00BA32C9" w:rsidP="00BA32C9">
      <w:pPr>
        <w:jc w:val="center"/>
        <w:rPr>
          <w:sz w:val="36"/>
        </w:rPr>
      </w:pPr>
      <w:r>
        <w:rPr>
          <w:sz w:val="36"/>
        </w:rPr>
        <w:t>Submitted to</w:t>
      </w:r>
    </w:p>
    <w:p w:rsidR="00BA32C9" w:rsidRPr="00FE03F8" w:rsidRDefault="00BA32C9" w:rsidP="00BA32C9">
      <w:pPr>
        <w:jc w:val="center"/>
        <w:rPr>
          <w:b/>
          <w:sz w:val="36"/>
          <w:u w:val="single"/>
        </w:rPr>
      </w:pPr>
      <w:r w:rsidRPr="00FE03F8">
        <w:rPr>
          <w:b/>
          <w:sz w:val="36"/>
          <w:u w:val="single"/>
        </w:rPr>
        <w:t>University of Wales Trinity Saint David</w:t>
      </w:r>
    </w:p>
    <w:p w:rsidR="00BA32C9" w:rsidRDefault="00BA32C9" w:rsidP="00BA32C9">
      <w:pPr>
        <w:jc w:val="center"/>
        <w:rPr>
          <w:sz w:val="36"/>
        </w:rPr>
      </w:pPr>
      <w:r>
        <w:rPr>
          <w:sz w:val="36"/>
        </w:rPr>
        <w:t>Under guidance of</w:t>
      </w:r>
    </w:p>
    <w:p w:rsidR="00BA32C9" w:rsidRDefault="00BA32C9" w:rsidP="00BA32C9">
      <w:pPr>
        <w:jc w:val="center"/>
        <w:rPr>
          <w:b/>
          <w:bCs/>
          <w:sz w:val="40"/>
          <w:u w:val="single"/>
        </w:rPr>
      </w:pPr>
      <w:proofErr w:type="spellStart"/>
      <w:r w:rsidRPr="00026DCA">
        <w:rPr>
          <w:b/>
          <w:sz w:val="36"/>
          <w:u w:val="single"/>
        </w:rPr>
        <w:t>Prof.</w:t>
      </w:r>
      <w:proofErr w:type="spellEnd"/>
      <w:r w:rsidRPr="00026DCA">
        <w:rPr>
          <w:b/>
          <w:sz w:val="36"/>
          <w:u w:val="single"/>
        </w:rPr>
        <w:t xml:space="preserve"> </w:t>
      </w:r>
      <w:proofErr w:type="spellStart"/>
      <w:r>
        <w:rPr>
          <w:b/>
          <w:bCs/>
          <w:sz w:val="40"/>
          <w:u w:val="single"/>
        </w:rPr>
        <w:t>Jia</w:t>
      </w:r>
      <w:proofErr w:type="spellEnd"/>
      <w:r>
        <w:rPr>
          <w:b/>
          <w:bCs/>
          <w:sz w:val="40"/>
          <w:u w:val="single"/>
        </w:rPr>
        <w:t xml:space="preserve"> Miao</w:t>
      </w:r>
    </w:p>
    <w:p w:rsidR="00BA32C9" w:rsidRPr="00FE03F8" w:rsidRDefault="00BA32C9" w:rsidP="00BA32C9">
      <w:pPr>
        <w:jc w:val="center"/>
        <w:rPr>
          <w:sz w:val="36"/>
        </w:rPr>
      </w:pPr>
      <w:r>
        <w:rPr>
          <w:sz w:val="36"/>
        </w:rPr>
        <w:t>Submitted by</w:t>
      </w:r>
    </w:p>
    <w:p w:rsidR="00BA32C9" w:rsidRPr="00FE03F8" w:rsidRDefault="00BA32C9" w:rsidP="00BA32C9">
      <w:pPr>
        <w:jc w:val="center"/>
        <w:rPr>
          <w:b/>
          <w:sz w:val="36"/>
          <w:u w:val="single"/>
        </w:rPr>
      </w:pPr>
      <w:r w:rsidRPr="00FE03F8">
        <w:rPr>
          <w:b/>
          <w:sz w:val="36"/>
          <w:u w:val="single"/>
        </w:rPr>
        <w:t>HARDIK JAYANTIBHAI PATEL</w:t>
      </w:r>
    </w:p>
    <w:p w:rsidR="00BA32C9" w:rsidRDefault="00BA32C9" w:rsidP="00BA32C9">
      <w:pPr>
        <w:jc w:val="center"/>
        <w:rPr>
          <w:sz w:val="36"/>
        </w:rPr>
      </w:pPr>
      <w:r>
        <w:rPr>
          <w:sz w:val="36"/>
        </w:rPr>
        <w:t>STUDENT ID</w:t>
      </w:r>
      <w:r w:rsidRPr="008A6F6B">
        <w:rPr>
          <w:sz w:val="36"/>
        </w:rPr>
        <w:t xml:space="preserve"> – 1710830</w:t>
      </w:r>
    </w:p>
    <w:p w:rsidR="00BA32C9" w:rsidRPr="001378D8" w:rsidRDefault="00BA32C9" w:rsidP="00BA32C9">
      <w:pPr>
        <w:jc w:val="center"/>
        <w:rPr>
          <w:sz w:val="36"/>
        </w:rPr>
      </w:pPr>
      <w:r>
        <w:rPr>
          <w:sz w:val="36"/>
        </w:rPr>
        <w:t>MODULE CODE – SBMA7117</w:t>
      </w:r>
    </w:p>
    <w:p w:rsidR="00C7398F" w:rsidRDefault="00C7398F">
      <w:pPr>
        <w:spacing w:line="276" w:lineRule="auto"/>
        <w:jc w:val="left"/>
      </w:pPr>
      <w:r>
        <w:br w:type="page"/>
      </w:r>
    </w:p>
    <w:sdt>
      <w:sdtPr>
        <w:rPr>
          <w:rFonts w:ascii="Times New Roman" w:eastAsiaTheme="minorHAnsi" w:hAnsi="Times New Roman" w:cstheme="minorBidi"/>
          <w:b w:val="0"/>
          <w:bCs w:val="0"/>
          <w:color w:val="auto"/>
          <w:sz w:val="24"/>
          <w:szCs w:val="22"/>
          <w:lang w:val="en-GB"/>
        </w:rPr>
        <w:id w:val="19438672"/>
        <w:docPartObj>
          <w:docPartGallery w:val="Table of Contents"/>
          <w:docPartUnique/>
        </w:docPartObj>
      </w:sdtPr>
      <w:sdtEndPr/>
      <w:sdtContent>
        <w:p w:rsidR="00C7398F" w:rsidRDefault="00C7398F">
          <w:pPr>
            <w:pStyle w:val="TOCHeading"/>
          </w:pPr>
          <w:r>
            <w:t>Table of Contents</w:t>
          </w:r>
        </w:p>
        <w:p w:rsidR="00C7398F" w:rsidRDefault="00C7398F">
          <w:pPr>
            <w:pStyle w:val="TOC1"/>
            <w:tabs>
              <w:tab w:val="right" w:leader="dot" w:pos="9350"/>
            </w:tabs>
            <w:rPr>
              <w:noProof/>
            </w:rPr>
          </w:pPr>
          <w:r>
            <w:fldChar w:fldCharType="begin"/>
          </w:r>
          <w:r>
            <w:instrText xml:space="preserve"> TOC \o "1-3" \h \z \u </w:instrText>
          </w:r>
          <w:r>
            <w:fldChar w:fldCharType="separate"/>
          </w:r>
          <w:hyperlink w:anchor="_Toc522767946" w:history="1">
            <w:r w:rsidRPr="00682DAC">
              <w:rPr>
                <w:rStyle w:val="Hyperlink"/>
                <w:noProof/>
              </w:rPr>
              <w:t>Barclays UK, Brief History</w:t>
            </w:r>
            <w:r>
              <w:rPr>
                <w:noProof/>
                <w:webHidden/>
              </w:rPr>
              <w:tab/>
            </w:r>
            <w:r>
              <w:rPr>
                <w:noProof/>
                <w:webHidden/>
              </w:rPr>
              <w:fldChar w:fldCharType="begin"/>
            </w:r>
            <w:r>
              <w:rPr>
                <w:noProof/>
                <w:webHidden/>
              </w:rPr>
              <w:instrText xml:space="preserve"> PAGEREF _Toc522767946 \h </w:instrText>
            </w:r>
            <w:r>
              <w:rPr>
                <w:noProof/>
                <w:webHidden/>
              </w:rPr>
            </w:r>
            <w:r>
              <w:rPr>
                <w:noProof/>
                <w:webHidden/>
              </w:rPr>
              <w:fldChar w:fldCharType="separate"/>
            </w:r>
            <w:r>
              <w:rPr>
                <w:noProof/>
                <w:webHidden/>
              </w:rPr>
              <w:t>3</w:t>
            </w:r>
            <w:r>
              <w:rPr>
                <w:noProof/>
                <w:webHidden/>
              </w:rPr>
              <w:fldChar w:fldCharType="end"/>
            </w:r>
          </w:hyperlink>
        </w:p>
        <w:p w:rsidR="00C7398F" w:rsidRDefault="000A2FDB">
          <w:pPr>
            <w:pStyle w:val="TOC1"/>
            <w:tabs>
              <w:tab w:val="right" w:leader="dot" w:pos="9350"/>
            </w:tabs>
            <w:rPr>
              <w:noProof/>
            </w:rPr>
          </w:pPr>
          <w:hyperlink w:anchor="_Toc522767947" w:history="1">
            <w:r w:rsidR="00C7398F" w:rsidRPr="00682DAC">
              <w:rPr>
                <w:rStyle w:val="Hyperlink"/>
                <w:noProof/>
              </w:rPr>
              <w:t>Part b)</w:t>
            </w:r>
            <w:r w:rsidR="00C7398F">
              <w:rPr>
                <w:noProof/>
                <w:webHidden/>
              </w:rPr>
              <w:tab/>
            </w:r>
            <w:r w:rsidR="00C7398F">
              <w:rPr>
                <w:noProof/>
                <w:webHidden/>
              </w:rPr>
              <w:fldChar w:fldCharType="begin"/>
            </w:r>
            <w:r w:rsidR="00C7398F">
              <w:rPr>
                <w:noProof/>
                <w:webHidden/>
              </w:rPr>
              <w:instrText xml:space="preserve"> PAGEREF _Toc522767947 \h </w:instrText>
            </w:r>
            <w:r w:rsidR="00C7398F">
              <w:rPr>
                <w:noProof/>
                <w:webHidden/>
              </w:rPr>
            </w:r>
            <w:r w:rsidR="00C7398F">
              <w:rPr>
                <w:noProof/>
                <w:webHidden/>
              </w:rPr>
              <w:fldChar w:fldCharType="separate"/>
            </w:r>
            <w:r w:rsidR="00C7398F">
              <w:rPr>
                <w:noProof/>
                <w:webHidden/>
              </w:rPr>
              <w:t>4</w:t>
            </w:r>
            <w:r w:rsidR="00C7398F">
              <w:rPr>
                <w:noProof/>
                <w:webHidden/>
              </w:rPr>
              <w:fldChar w:fldCharType="end"/>
            </w:r>
          </w:hyperlink>
        </w:p>
        <w:p w:rsidR="00C7398F" w:rsidRDefault="000A2FDB">
          <w:pPr>
            <w:pStyle w:val="TOC1"/>
            <w:tabs>
              <w:tab w:val="right" w:leader="dot" w:pos="9350"/>
            </w:tabs>
            <w:rPr>
              <w:noProof/>
            </w:rPr>
          </w:pPr>
          <w:hyperlink w:anchor="_Toc522767948" w:history="1">
            <w:r w:rsidR="00C7398F" w:rsidRPr="00682DAC">
              <w:rPr>
                <w:rStyle w:val="Hyperlink"/>
                <w:noProof/>
              </w:rPr>
              <w:t>Review of the key banking Ratios</w:t>
            </w:r>
            <w:r w:rsidR="00C7398F">
              <w:rPr>
                <w:noProof/>
                <w:webHidden/>
              </w:rPr>
              <w:tab/>
            </w:r>
            <w:r w:rsidR="00C7398F">
              <w:rPr>
                <w:noProof/>
                <w:webHidden/>
              </w:rPr>
              <w:fldChar w:fldCharType="begin"/>
            </w:r>
            <w:r w:rsidR="00C7398F">
              <w:rPr>
                <w:noProof/>
                <w:webHidden/>
              </w:rPr>
              <w:instrText xml:space="preserve"> PAGEREF _Toc522767948 \h </w:instrText>
            </w:r>
            <w:r w:rsidR="00C7398F">
              <w:rPr>
                <w:noProof/>
                <w:webHidden/>
              </w:rPr>
            </w:r>
            <w:r w:rsidR="00C7398F">
              <w:rPr>
                <w:noProof/>
                <w:webHidden/>
              </w:rPr>
              <w:fldChar w:fldCharType="separate"/>
            </w:r>
            <w:r w:rsidR="00C7398F">
              <w:rPr>
                <w:noProof/>
                <w:webHidden/>
              </w:rPr>
              <w:t>4</w:t>
            </w:r>
            <w:r w:rsidR="00C7398F">
              <w:rPr>
                <w:noProof/>
                <w:webHidden/>
              </w:rPr>
              <w:fldChar w:fldCharType="end"/>
            </w:r>
          </w:hyperlink>
        </w:p>
        <w:p w:rsidR="00C7398F" w:rsidRDefault="000A2FDB">
          <w:pPr>
            <w:pStyle w:val="TOC2"/>
            <w:tabs>
              <w:tab w:val="right" w:leader="dot" w:pos="9350"/>
            </w:tabs>
            <w:rPr>
              <w:noProof/>
            </w:rPr>
          </w:pPr>
          <w:hyperlink w:anchor="_Toc522767949" w:history="1">
            <w:r w:rsidR="00C7398F" w:rsidRPr="00682DAC">
              <w:rPr>
                <w:rStyle w:val="Hyperlink"/>
                <w:noProof/>
              </w:rPr>
              <w:t>Barclays bank- capitalization performance (5 years):</w:t>
            </w:r>
            <w:r w:rsidR="00C7398F">
              <w:rPr>
                <w:noProof/>
                <w:webHidden/>
              </w:rPr>
              <w:tab/>
            </w:r>
            <w:r w:rsidR="00C7398F">
              <w:rPr>
                <w:noProof/>
                <w:webHidden/>
              </w:rPr>
              <w:fldChar w:fldCharType="begin"/>
            </w:r>
            <w:r w:rsidR="00C7398F">
              <w:rPr>
                <w:noProof/>
                <w:webHidden/>
              </w:rPr>
              <w:instrText xml:space="preserve"> PAGEREF _Toc522767949 \h </w:instrText>
            </w:r>
            <w:r w:rsidR="00C7398F">
              <w:rPr>
                <w:noProof/>
                <w:webHidden/>
              </w:rPr>
            </w:r>
            <w:r w:rsidR="00C7398F">
              <w:rPr>
                <w:noProof/>
                <w:webHidden/>
              </w:rPr>
              <w:fldChar w:fldCharType="separate"/>
            </w:r>
            <w:r w:rsidR="00C7398F">
              <w:rPr>
                <w:noProof/>
                <w:webHidden/>
              </w:rPr>
              <w:t>4</w:t>
            </w:r>
            <w:r w:rsidR="00C7398F">
              <w:rPr>
                <w:noProof/>
                <w:webHidden/>
              </w:rPr>
              <w:fldChar w:fldCharType="end"/>
            </w:r>
          </w:hyperlink>
        </w:p>
        <w:p w:rsidR="00C7398F" w:rsidRDefault="000A2FDB">
          <w:pPr>
            <w:pStyle w:val="TOC2"/>
            <w:tabs>
              <w:tab w:val="right" w:leader="dot" w:pos="9350"/>
            </w:tabs>
            <w:rPr>
              <w:noProof/>
            </w:rPr>
          </w:pPr>
          <w:hyperlink w:anchor="_Toc522767950" w:history="1">
            <w:r w:rsidR="00C7398F" w:rsidRPr="00682DAC">
              <w:rPr>
                <w:rStyle w:val="Hyperlink"/>
                <w:noProof/>
              </w:rPr>
              <w:t>Barclays bank -liquidity performance (5 years):</w:t>
            </w:r>
            <w:r w:rsidR="00C7398F">
              <w:rPr>
                <w:noProof/>
                <w:webHidden/>
              </w:rPr>
              <w:tab/>
            </w:r>
            <w:r w:rsidR="00C7398F">
              <w:rPr>
                <w:noProof/>
                <w:webHidden/>
              </w:rPr>
              <w:fldChar w:fldCharType="begin"/>
            </w:r>
            <w:r w:rsidR="00C7398F">
              <w:rPr>
                <w:noProof/>
                <w:webHidden/>
              </w:rPr>
              <w:instrText xml:space="preserve"> PAGEREF _Toc522767950 \h </w:instrText>
            </w:r>
            <w:r w:rsidR="00C7398F">
              <w:rPr>
                <w:noProof/>
                <w:webHidden/>
              </w:rPr>
            </w:r>
            <w:r w:rsidR="00C7398F">
              <w:rPr>
                <w:noProof/>
                <w:webHidden/>
              </w:rPr>
              <w:fldChar w:fldCharType="separate"/>
            </w:r>
            <w:r w:rsidR="00C7398F">
              <w:rPr>
                <w:noProof/>
                <w:webHidden/>
              </w:rPr>
              <w:t>5</w:t>
            </w:r>
            <w:r w:rsidR="00C7398F">
              <w:rPr>
                <w:noProof/>
                <w:webHidden/>
              </w:rPr>
              <w:fldChar w:fldCharType="end"/>
            </w:r>
          </w:hyperlink>
        </w:p>
        <w:p w:rsidR="00C7398F" w:rsidRDefault="000A2FDB">
          <w:pPr>
            <w:pStyle w:val="TOC2"/>
            <w:tabs>
              <w:tab w:val="right" w:leader="dot" w:pos="9350"/>
            </w:tabs>
            <w:rPr>
              <w:noProof/>
            </w:rPr>
          </w:pPr>
          <w:hyperlink w:anchor="_Toc522767951" w:history="1">
            <w:r w:rsidR="00C7398F" w:rsidRPr="00682DAC">
              <w:rPr>
                <w:rStyle w:val="Hyperlink"/>
                <w:noProof/>
              </w:rPr>
              <w:t>Barclay’s bank-Asset quality performance (5 years):</w:t>
            </w:r>
            <w:r w:rsidR="00C7398F">
              <w:rPr>
                <w:noProof/>
                <w:webHidden/>
              </w:rPr>
              <w:tab/>
            </w:r>
            <w:r w:rsidR="00C7398F">
              <w:rPr>
                <w:noProof/>
                <w:webHidden/>
              </w:rPr>
              <w:fldChar w:fldCharType="begin"/>
            </w:r>
            <w:r w:rsidR="00C7398F">
              <w:rPr>
                <w:noProof/>
                <w:webHidden/>
              </w:rPr>
              <w:instrText xml:space="preserve"> PAGEREF _Toc522767951 \h </w:instrText>
            </w:r>
            <w:r w:rsidR="00C7398F">
              <w:rPr>
                <w:noProof/>
                <w:webHidden/>
              </w:rPr>
            </w:r>
            <w:r w:rsidR="00C7398F">
              <w:rPr>
                <w:noProof/>
                <w:webHidden/>
              </w:rPr>
              <w:fldChar w:fldCharType="separate"/>
            </w:r>
            <w:r w:rsidR="00C7398F">
              <w:rPr>
                <w:noProof/>
                <w:webHidden/>
              </w:rPr>
              <w:t>7</w:t>
            </w:r>
            <w:r w:rsidR="00C7398F">
              <w:rPr>
                <w:noProof/>
                <w:webHidden/>
              </w:rPr>
              <w:fldChar w:fldCharType="end"/>
            </w:r>
          </w:hyperlink>
        </w:p>
        <w:p w:rsidR="00C7398F" w:rsidRDefault="000A2FDB">
          <w:pPr>
            <w:pStyle w:val="TOC2"/>
            <w:tabs>
              <w:tab w:val="right" w:leader="dot" w:pos="9350"/>
            </w:tabs>
            <w:rPr>
              <w:noProof/>
            </w:rPr>
          </w:pPr>
          <w:hyperlink w:anchor="_Toc522767952" w:history="1">
            <w:r w:rsidR="00C7398F" w:rsidRPr="00682DAC">
              <w:rPr>
                <w:rStyle w:val="Hyperlink"/>
                <w:noProof/>
              </w:rPr>
              <w:t>Comparison: Barclay’s bank &amp; RBS (Royal Bank of Scotland)</w:t>
            </w:r>
            <w:r w:rsidR="00C7398F">
              <w:rPr>
                <w:noProof/>
                <w:webHidden/>
              </w:rPr>
              <w:tab/>
            </w:r>
            <w:r w:rsidR="00C7398F">
              <w:rPr>
                <w:noProof/>
                <w:webHidden/>
              </w:rPr>
              <w:fldChar w:fldCharType="begin"/>
            </w:r>
            <w:r w:rsidR="00C7398F">
              <w:rPr>
                <w:noProof/>
                <w:webHidden/>
              </w:rPr>
              <w:instrText xml:space="preserve"> PAGEREF _Toc522767952 \h </w:instrText>
            </w:r>
            <w:r w:rsidR="00C7398F">
              <w:rPr>
                <w:noProof/>
                <w:webHidden/>
              </w:rPr>
            </w:r>
            <w:r w:rsidR="00C7398F">
              <w:rPr>
                <w:noProof/>
                <w:webHidden/>
              </w:rPr>
              <w:fldChar w:fldCharType="separate"/>
            </w:r>
            <w:r w:rsidR="00C7398F">
              <w:rPr>
                <w:noProof/>
                <w:webHidden/>
              </w:rPr>
              <w:t>7</w:t>
            </w:r>
            <w:r w:rsidR="00C7398F">
              <w:rPr>
                <w:noProof/>
                <w:webHidden/>
              </w:rPr>
              <w:fldChar w:fldCharType="end"/>
            </w:r>
          </w:hyperlink>
        </w:p>
        <w:p w:rsidR="00C7398F" w:rsidRDefault="000A2FDB">
          <w:pPr>
            <w:pStyle w:val="TOC2"/>
            <w:tabs>
              <w:tab w:val="right" w:leader="dot" w:pos="9350"/>
            </w:tabs>
            <w:rPr>
              <w:noProof/>
            </w:rPr>
          </w:pPr>
          <w:hyperlink w:anchor="_Toc522767953" w:history="1">
            <w:r w:rsidR="00C7398F" w:rsidRPr="00682DAC">
              <w:rPr>
                <w:rStyle w:val="Hyperlink"/>
                <w:noProof/>
              </w:rPr>
              <w:t>Ratio analysis advantage and disadvantage</w:t>
            </w:r>
            <w:r w:rsidR="00C7398F">
              <w:rPr>
                <w:noProof/>
                <w:webHidden/>
              </w:rPr>
              <w:tab/>
            </w:r>
            <w:r w:rsidR="00C7398F">
              <w:rPr>
                <w:noProof/>
                <w:webHidden/>
              </w:rPr>
              <w:fldChar w:fldCharType="begin"/>
            </w:r>
            <w:r w:rsidR="00C7398F">
              <w:rPr>
                <w:noProof/>
                <w:webHidden/>
              </w:rPr>
              <w:instrText xml:space="preserve"> PAGEREF _Toc522767953 \h </w:instrText>
            </w:r>
            <w:r w:rsidR="00C7398F">
              <w:rPr>
                <w:noProof/>
                <w:webHidden/>
              </w:rPr>
            </w:r>
            <w:r w:rsidR="00C7398F">
              <w:rPr>
                <w:noProof/>
                <w:webHidden/>
              </w:rPr>
              <w:fldChar w:fldCharType="separate"/>
            </w:r>
            <w:r w:rsidR="00C7398F">
              <w:rPr>
                <w:noProof/>
                <w:webHidden/>
              </w:rPr>
              <w:t>10</w:t>
            </w:r>
            <w:r w:rsidR="00C7398F">
              <w:rPr>
                <w:noProof/>
                <w:webHidden/>
              </w:rPr>
              <w:fldChar w:fldCharType="end"/>
            </w:r>
          </w:hyperlink>
        </w:p>
        <w:p w:rsidR="00C7398F" w:rsidRDefault="000A2FDB">
          <w:pPr>
            <w:pStyle w:val="TOC2"/>
            <w:tabs>
              <w:tab w:val="right" w:leader="dot" w:pos="9350"/>
            </w:tabs>
            <w:rPr>
              <w:noProof/>
            </w:rPr>
          </w:pPr>
          <w:hyperlink w:anchor="_Toc522767954" w:history="1">
            <w:r w:rsidR="00C7398F" w:rsidRPr="00682DAC">
              <w:rPr>
                <w:rStyle w:val="Hyperlink"/>
                <w:noProof/>
              </w:rPr>
              <w:t>Impact of contemporary issues on banking performance:</w:t>
            </w:r>
            <w:r w:rsidR="00C7398F">
              <w:rPr>
                <w:noProof/>
                <w:webHidden/>
              </w:rPr>
              <w:tab/>
            </w:r>
            <w:r w:rsidR="00C7398F">
              <w:rPr>
                <w:noProof/>
                <w:webHidden/>
              </w:rPr>
              <w:fldChar w:fldCharType="begin"/>
            </w:r>
            <w:r w:rsidR="00C7398F">
              <w:rPr>
                <w:noProof/>
                <w:webHidden/>
              </w:rPr>
              <w:instrText xml:space="preserve"> PAGEREF _Toc522767954 \h </w:instrText>
            </w:r>
            <w:r w:rsidR="00C7398F">
              <w:rPr>
                <w:noProof/>
                <w:webHidden/>
              </w:rPr>
            </w:r>
            <w:r w:rsidR="00C7398F">
              <w:rPr>
                <w:noProof/>
                <w:webHidden/>
              </w:rPr>
              <w:fldChar w:fldCharType="separate"/>
            </w:r>
            <w:r w:rsidR="00C7398F">
              <w:rPr>
                <w:noProof/>
                <w:webHidden/>
              </w:rPr>
              <w:t>11</w:t>
            </w:r>
            <w:r w:rsidR="00C7398F">
              <w:rPr>
                <w:noProof/>
                <w:webHidden/>
              </w:rPr>
              <w:fldChar w:fldCharType="end"/>
            </w:r>
          </w:hyperlink>
        </w:p>
        <w:p w:rsidR="00C7398F" w:rsidRDefault="000A2FDB">
          <w:pPr>
            <w:pStyle w:val="TOC1"/>
            <w:tabs>
              <w:tab w:val="right" w:leader="dot" w:pos="9350"/>
            </w:tabs>
            <w:rPr>
              <w:noProof/>
            </w:rPr>
          </w:pPr>
          <w:hyperlink w:anchor="_Toc522767955" w:history="1">
            <w:r w:rsidR="00C7398F" w:rsidRPr="00682DAC">
              <w:rPr>
                <w:rStyle w:val="Hyperlink"/>
                <w:noProof/>
              </w:rPr>
              <w:t>c) Issuance of treasury bills in the U.K:</w:t>
            </w:r>
            <w:r w:rsidR="00C7398F">
              <w:rPr>
                <w:noProof/>
                <w:webHidden/>
              </w:rPr>
              <w:tab/>
            </w:r>
            <w:r w:rsidR="00C7398F">
              <w:rPr>
                <w:noProof/>
                <w:webHidden/>
              </w:rPr>
              <w:fldChar w:fldCharType="begin"/>
            </w:r>
            <w:r w:rsidR="00C7398F">
              <w:rPr>
                <w:noProof/>
                <w:webHidden/>
              </w:rPr>
              <w:instrText xml:space="preserve"> PAGEREF _Toc522767955 \h </w:instrText>
            </w:r>
            <w:r w:rsidR="00C7398F">
              <w:rPr>
                <w:noProof/>
                <w:webHidden/>
              </w:rPr>
            </w:r>
            <w:r w:rsidR="00C7398F">
              <w:rPr>
                <w:noProof/>
                <w:webHidden/>
              </w:rPr>
              <w:fldChar w:fldCharType="separate"/>
            </w:r>
            <w:r w:rsidR="00C7398F">
              <w:rPr>
                <w:noProof/>
                <w:webHidden/>
              </w:rPr>
              <w:t>19</w:t>
            </w:r>
            <w:r w:rsidR="00C7398F">
              <w:rPr>
                <w:noProof/>
                <w:webHidden/>
              </w:rPr>
              <w:fldChar w:fldCharType="end"/>
            </w:r>
          </w:hyperlink>
        </w:p>
        <w:p w:rsidR="00C7398F" w:rsidRDefault="00C7398F">
          <w:r>
            <w:fldChar w:fldCharType="end"/>
          </w:r>
        </w:p>
      </w:sdtContent>
    </w:sdt>
    <w:p w:rsidR="00C7398F" w:rsidRDefault="00C7398F">
      <w:pPr>
        <w:spacing w:line="276" w:lineRule="auto"/>
        <w:jc w:val="left"/>
      </w:pPr>
      <w:r>
        <w:br w:type="page"/>
      </w:r>
    </w:p>
    <w:p w:rsidR="00960C94" w:rsidRDefault="00960C94"/>
    <w:p w:rsidR="00644405" w:rsidRDefault="00644405"/>
    <w:p w:rsidR="00644405" w:rsidRDefault="00D85CAD" w:rsidP="00D85CAD">
      <w:pPr>
        <w:pStyle w:val="Heading1"/>
      </w:pPr>
      <w:bookmarkStart w:id="0" w:name="_Toc522767946"/>
      <w:r w:rsidRPr="00D85CAD">
        <w:t>Barclays UK</w:t>
      </w:r>
      <w:r>
        <w:t>, Brief History</w:t>
      </w:r>
      <w:bookmarkEnd w:id="0"/>
    </w:p>
    <w:p w:rsidR="0073695D" w:rsidRDefault="0073695D" w:rsidP="0073695D"/>
    <w:p w:rsidR="00EB1664" w:rsidRDefault="00EB1664" w:rsidP="0073695D">
      <w:r>
        <w:t xml:space="preserve">The organization </w:t>
      </w:r>
      <w:r w:rsidRPr="00D85CAD">
        <w:t>Barclays</w:t>
      </w:r>
      <w:r w:rsidR="005B32AA">
        <w:t xml:space="preserve"> bank initially started with the gold smith bankers </w:t>
      </w:r>
      <w:r w:rsidR="005B32AA" w:rsidRPr="005B32AA">
        <w:t xml:space="preserve">John </w:t>
      </w:r>
      <w:proofErr w:type="spellStart"/>
      <w:r w:rsidR="005B32AA" w:rsidRPr="005B32AA">
        <w:t>Freame</w:t>
      </w:r>
      <w:proofErr w:type="spellEnd"/>
      <w:r w:rsidR="005B32AA" w:rsidRPr="005B32AA">
        <w:t xml:space="preserve"> and Thomas Gould</w:t>
      </w:r>
      <w:r w:rsidR="005B32AA">
        <w:t xml:space="preserve"> who started to provide banking business in</w:t>
      </w:r>
      <w:r w:rsidR="00354A69" w:rsidRPr="00354A69">
        <w:t xml:space="preserve"> Lombard Street, London in 1690</w:t>
      </w:r>
      <w:r w:rsidR="00354A69">
        <w:t>.By the end of the 19</w:t>
      </w:r>
      <w:r w:rsidR="00354A69" w:rsidRPr="00354A69">
        <w:rPr>
          <w:vertAlign w:val="superscript"/>
        </w:rPr>
        <w:t>th</w:t>
      </w:r>
      <w:r w:rsidR="00354A69">
        <w:t xml:space="preserve"> </w:t>
      </w:r>
      <w:r w:rsidR="00603509">
        <w:t>century it became</w:t>
      </w:r>
      <w:r w:rsidR="00354A69">
        <w:t xml:space="preserve"> </w:t>
      </w:r>
      <w:r w:rsidR="00603509">
        <w:t xml:space="preserve">difficult for the organization which was a small family run bank to </w:t>
      </w:r>
      <w:r w:rsidR="00070299">
        <w:t>compete and survive with the large joint stock banks that are running with larger amount of capital.</w:t>
      </w:r>
      <w:r w:rsidR="003D575D">
        <w:t xml:space="preserve"> </w:t>
      </w:r>
      <w:r w:rsidR="006C1187">
        <w:t>Finally in 1896 t</w:t>
      </w:r>
      <w:r w:rsidR="003D575D">
        <w:t>he bank managed to develop a st</w:t>
      </w:r>
      <w:r w:rsidR="006C1187">
        <w:t xml:space="preserve">rong base </w:t>
      </w:r>
      <w:r w:rsidR="003D575D">
        <w:t xml:space="preserve">with the amalgamation of </w:t>
      </w:r>
      <w:r w:rsidR="003D575D" w:rsidRPr="003D575D">
        <w:t xml:space="preserve">20 small private family </w:t>
      </w:r>
      <w:proofErr w:type="gramStart"/>
      <w:r w:rsidR="003D575D" w:rsidRPr="003D575D">
        <w:t>banks</w:t>
      </w:r>
      <w:r w:rsidR="00F94117">
        <w:t>(</w:t>
      </w:r>
      <w:proofErr w:type="gramEnd"/>
      <w:r w:rsidR="00F94117">
        <w:t xml:space="preserve">includes the </w:t>
      </w:r>
      <w:r w:rsidR="00F94117" w:rsidRPr="00F94117">
        <w:t>Bac</w:t>
      </w:r>
      <w:r w:rsidR="00F94117">
        <w:t>khouse's Bank and Gurney's Bank)</w:t>
      </w:r>
      <w:r w:rsidR="003D575D" w:rsidRPr="003D575D">
        <w:t xml:space="preserve"> </w:t>
      </w:r>
      <w:r w:rsidR="003D575D">
        <w:t xml:space="preserve">and a new bank emerged as </w:t>
      </w:r>
      <w:r w:rsidR="003D575D" w:rsidRPr="003D575D">
        <w:t>Barclay and Company Limited</w:t>
      </w:r>
      <w:r w:rsidR="003D575D">
        <w:t xml:space="preserve">. Currently the </w:t>
      </w:r>
      <w:r w:rsidR="00FB040E" w:rsidRPr="003D575D">
        <w:t>Barclay</w:t>
      </w:r>
      <w:r w:rsidR="00FB040E">
        <w:t xml:space="preserve"> PLC is British multinational investment and financial service providing bank </w:t>
      </w:r>
      <w:r w:rsidR="000703ED">
        <w:t xml:space="preserve">whose headquarter is in London. The four core businesses operations of </w:t>
      </w:r>
      <w:r w:rsidR="00F94117">
        <w:t>the bank</w:t>
      </w:r>
      <w:r w:rsidR="000703ED">
        <w:t xml:space="preserve"> are being divided in to </w:t>
      </w:r>
      <w:r w:rsidR="000703ED" w:rsidRPr="000703ED">
        <w:t>personal banking, corporate banking, wealth management, and investment management</w:t>
      </w:r>
      <w:r w:rsidR="000703ED">
        <w:t>.</w:t>
      </w:r>
      <w:r w:rsidR="00F94117">
        <w:t xml:space="preserve"> The bank has a primary listing in </w:t>
      </w:r>
      <w:r w:rsidR="00F94117" w:rsidRPr="00F94117">
        <w:t>London Stock Exchange</w:t>
      </w:r>
      <w:r w:rsidR="00F94117">
        <w:t xml:space="preserve"> and is also a constituent of the </w:t>
      </w:r>
      <w:r w:rsidR="00710CB6" w:rsidRPr="00710CB6">
        <w:t xml:space="preserve">FTSE 100 </w:t>
      </w:r>
      <w:proofErr w:type="spellStart"/>
      <w:r w:rsidR="00710CB6" w:rsidRPr="00710CB6">
        <w:t>Index</w:t>
      </w:r>
      <w:r w:rsidR="00710CB6">
        <w:t>.The</w:t>
      </w:r>
      <w:proofErr w:type="spellEnd"/>
      <w:r w:rsidR="00710CB6">
        <w:t xml:space="preserve"> bank has got a secondary listing in </w:t>
      </w:r>
      <w:r w:rsidR="00710CB6" w:rsidRPr="00710CB6">
        <w:t>New York Stock Exchange</w:t>
      </w:r>
      <w:r w:rsidR="00710CB6">
        <w:t>.</w:t>
      </w:r>
    </w:p>
    <w:p w:rsidR="001200D7" w:rsidRDefault="006319A6" w:rsidP="0073695D">
      <w:r>
        <w:t xml:space="preserve">Currently the </w:t>
      </w:r>
      <w:r w:rsidR="001200D7" w:rsidRPr="001200D7">
        <w:t xml:space="preserve">Barclays </w:t>
      </w:r>
      <w:r w:rsidRPr="001200D7">
        <w:t>are</w:t>
      </w:r>
      <w:r w:rsidR="001200D7" w:rsidRPr="001200D7">
        <w:t xml:space="preserve"> a major global financial services provider </w:t>
      </w:r>
      <w:r>
        <w:t xml:space="preserve">organization and is </w:t>
      </w:r>
      <w:r w:rsidR="001200D7" w:rsidRPr="001200D7">
        <w:t>engaged in retail banking, credit cards, corporate and investmen</w:t>
      </w:r>
      <w:r>
        <w:t>t banking and wealth management activities.</w:t>
      </w:r>
      <w:r w:rsidR="009411DD">
        <w:t xml:space="preserve"> The </w:t>
      </w:r>
      <w:r w:rsidR="00806599">
        <w:t xml:space="preserve">organization </w:t>
      </w:r>
      <w:r w:rsidR="00806599" w:rsidRPr="001200D7">
        <w:t>Barclays</w:t>
      </w:r>
      <w:r w:rsidR="001200D7" w:rsidRPr="001200D7">
        <w:t xml:space="preserve"> </w:t>
      </w:r>
      <w:r w:rsidR="009411DD">
        <w:t>bank is responsible for moving</w:t>
      </w:r>
      <w:r w:rsidR="001200D7" w:rsidRPr="001200D7">
        <w:t>, lend</w:t>
      </w:r>
      <w:r w:rsidR="009411DD">
        <w:t>ing</w:t>
      </w:r>
      <w:r w:rsidR="001200D7" w:rsidRPr="001200D7">
        <w:t xml:space="preserve">, </w:t>
      </w:r>
      <w:r w:rsidR="00806599" w:rsidRPr="001200D7">
        <w:t>invest</w:t>
      </w:r>
      <w:r w:rsidR="00806599">
        <w:t xml:space="preserve">ing </w:t>
      </w:r>
      <w:r w:rsidR="00806599" w:rsidRPr="001200D7">
        <w:t>and</w:t>
      </w:r>
      <w:r w:rsidR="001200D7" w:rsidRPr="001200D7">
        <w:t xml:space="preserve"> </w:t>
      </w:r>
      <w:r w:rsidR="00806599" w:rsidRPr="001200D7">
        <w:t>protect</w:t>
      </w:r>
      <w:r w:rsidR="00806599">
        <w:t>ing the</w:t>
      </w:r>
      <w:r w:rsidR="009411DD">
        <w:t xml:space="preserve"> financial assets </w:t>
      </w:r>
      <w:r w:rsidR="00806599">
        <w:t xml:space="preserve">of </w:t>
      </w:r>
      <w:r w:rsidR="00806599" w:rsidRPr="001200D7">
        <w:t>48</w:t>
      </w:r>
      <w:r w:rsidR="001200D7" w:rsidRPr="001200D7">
        <w:t xml:space="preserve"> million customers </w:t>
      </w:r>
      <w:r w:rsidR="009411DD">
        <w:t>around the globe.</w:t>
      </w:r>
    </w:p>
    <w:p w:rsidR="009411DD" w:rsidRDefault="00806599" w:rsidP="0073695D">
      <w:r>
        <w:t xml:space="preserve">The bank has undergone through several takeovers and acquisitions for rapidly </w:t>
      </w:r>
      <w:proofErr w:type="spellStart"/>
      <w:r>
        <w:t>sparding</w:t>
      </w:r>
      <w:proofErr w:type="spellEnd"/>
      <w:r>
        <w:t xml:space="preserve"> their business across the world.</w:t>
      </w:r>
      <w:r w:rsidR="00BA32C9">
        <w:t xml:space="preserve"> For instance</w:t>
      </w:r>
      <w:r w:rsidR="00E41B29">
        <w:t xml:space="preserve"> in </w:t>
      </w:r>
      <w:r w:rsidR="00E41B29" w:rsidRPr="00E41B29">
        <w:t>Octobe</w:t>
      </w:r>
      <w:r w:rsidR="00E41B29">
        <w:t xml:space="preserve">r 2001, Barclays and </w:t>
      </w:r>
      <w:proofErr w:type="gramStart"/>
      <w:r w:rsidR="00E41B29">
        <w:t>CIBC[</w:t>
      </w:r>
      <w:proofErr w:type="gramEnd"/>
      <w:r w:rsidR="00E41B29">
        <w:t>Canadian Imperial Bank of Commerce] decided</w:t>
      </w:r>
      <w:r w:rsidR="00E41B29" w:rsidRPr="00E41B29">
        <w:t xml:space="preserve"> to combine their Caribbean operations </w:t>
      </w:r>
      <w:r w:rsidR="00E41B29">
        <w:t xml:space="preserve">and </w:t>
      </w:r>
      <w:r w:rsidR="00E41B29" w:rsidRPr="00E41B29">
        <w:t>to establis</w:t>
      </w:r>
      <w:r w:rsidR="00E41B29">
        <w:t xml:space="preserve">h joint venture company that will serve as the </w:t>
      </w:r>
      <w:r w:rsidR="00E41B29" w:rsidRPr="00E41B29">
        <w:t xml:space="preserve"> First</w:t>
      </w:r>
      <w:r w:rsidR="00E41B29">
        <w:t xml:space="preserve"> </w:t>
      </w:r>
      <w:r w:rsidR="00E41B29" w:rsidRPr="00E41B29">
        <w:t>Caribbean International Bank (FCIB)</w:t>
      </w:r>
      <w:r w:rsidR="00E41B29">
        <w:t xml:space="preserve"> in the </w:t>
      </w:r>
      <w:r w:rsidR="00E41B29" w:rsidRPr="00E41B29">
        <w:t>Caribbean</w:t>
      </w:r>
      <w:r w:rsidR="00E41B29">
        <w:t xml:space="preserve"> region.</w:t>
      </w:r>
    </w:p>
    <w:p w:rsidR="00E41B29" w:rsidRDefault="00F0018C" w:rsidP="0073695D">
      <w:r>
        <w:t xml:space="preserve">In 2003 the bank </w:t>
      </w:r>
      <w:r w:rsidRPr="00F0018C">
        <w:t xml:space="preserve"> bought the American credit card company </w:t>
      </w:r>
      <w:r>
        <w:t>named “</w:t>
      </w:r>
      <w:r w:rsidRPr="00F0018C">
        <w:t>Juniper Bank</w:t>
      </w:r>
      <w:r>
        <w:t>”</w:t>
      </w:r>
      <w:r w:rsidRPr="00F0018C">
        <w:t xml:space="preserve"> from CIBC, </w:t>
      </w:r>
      <w:r w:rsidR="00127764">
        <w:t xml:space="preserve">and re-branded </w:t>
      </w:r>
      <w:r w:rsidRPr="00F0018C">
        <w:t xml:space="preserve"> it as "Barclays Bank Delaware"</w:t>
      </w:r>
      <w:r w:rsidR="00127764">
        <w:t xml:space="preserve"> for delivering credit card service to their clients. </w:t>
      </w:r>
      <w:r w:rsidR="00127764">
        <w:lastRenderedPageBreak/>
        <w:t xml:space="preserve">In 2003 again </w:t>
      </w:r>
      <w:r w:rsidRPr="00F0018C">
        <w:t xml:space="preserve">the </w:t>
      </w:r>
      <w:r w:rsidR="00127764">
        <w:t xml:space="preserve">bank </w:t>
      </w:r>
      <w:r w:rsidR="004171D1" w:rsidRPr="00F0018C">
        <w:t>acqui</w:t>
      </w:r>
      <w:r w:rsidR="004171D1">
        <w:t xml:space="preserve">red </w:t>
      </w:r>
      <w:r w:rsidR="004171D1" w:rsidRPr="00F0018C">
        <w:t>Banco</w:t>
      </w:r>
      <w:r w:rsidRPr="00F0018C">
        <w:t xml:space="preserve"> </w:t>
      </w:r>
      <w:r w:rsidR="00BA32C9" w:rsidRPr="00F0018C">
        <w:t>Zarag</w:t>
      </w:r>
      <w:r w:rsidR="00BA32C9">
        <w:t>oza no</w:t>
      </w:r>
      <w:r w:rsidR="00127764">
        <w:t xml:space="preserve"> which is </w:t>
      </w:r>
      <w:r w:rsidRPr="00F0018C">
        <w:t>the 11th largest bank</w:t>
      </w:r>
      <w:r w:rsidR="004171D1">
        <w:t xml:space="preserve"> of </w:t>
      </w:r>
      <w:proofErr w:type="spellStart"/>
      <w:proofErr w:type="gramStart"/>
      <w:r w:rsidR="004171D1">
        <w:t>spain</w:t>
      </w:r>
      <w:proofErr w:type="spellEnd"/>
      <w:proofErr w:type="gramEnd"/>
      <w:r w:rsidR="004171D1">
        <w:t xml:space="preserve"> for extending their banking service in Spain.</w:t>
      </w:r>
    </w:p>
    <w:p w:rsidR="00647AAA" w:rsidRDefault="00647AAA" w:rsidP="0073695D">
      <w:r>
        <w:t xml:space="preserve">In March 2007 the bank </w:t>
      </w:r>
      <w:r w:rsidR="0060040F">
        <w:t xml:space="preserve">stooped the plan of merging with the </w:t>
      </w:r>
      <w:r w:rsidR="0060040F" w:rsidRPr="0060040F">
        <w:t>ABN AMRO</w:t>
      </w:r>
      <w:r w:rsidR="0060040F">
        <w:t xml:space="preserve"> </w:t>
      </w:r>
      <w:r w:rsidR="006C2BEE">
        <w:t>bank (</w:t>
      </w:r>
      <w:r w:rsidR="009E7C2B">
        <w:t xml:space="preserve">largest bank of </w:t>
      </w:r>
      <w:r w:rsidR="009E7C2B" w:rsidRPr="009E7C2B">
        <w:t>Netherlands</w:t>
      </w:r>
      <w:r w:rsidR="0060040F">
        <w:t>)</w:t>
      </w:r>
      <w:r w:rsidR="009E7C2B">
        <w:t xml:space="preserve"> due to inadequate support from the share holders of </w:t>
      </w:r>
      <w:r w:rsidR="009E7C2B" w:rsidRPr="0060040F">
        <w:t>ABN AMRO</w:t>
      </w:r>
      <w:r w:rsidR="009E7C2B">
        <w:t xml:space="preserve"> bank.</w:t>
      </w:r>
      <w:r w:rsidR="006C2BEE">
        <w:t xml:space="preserve"> </w:t>
      </w:r>
      <w:r w:rsidR="009E7C2B">
        <w:t xml:space="preserve">In September 2008 the bank </w:t>
      </w:r>
      <w:r w:rsidR="006C2BEE">
        <w:t xml:space="preserve">acquired </w:t>
      </w:r>
      <w:r w:rsidR="006C2BEE" w:rsidRPr="006C2BEE">
        <w:t>Lehman Brothers</w:t>
      </w:r>
      <w:r w:rsidR="006C2BEE">
        <w:t xml:space="preserve"> core business for </w:t>
      </w:r>
      <w:r w:rsidR="006C2BEE" w:rsidRPr="006C2BEE">
        <w:t>US$960</w:t>
      </w:r>
      <w:r w:rsidR="00AE11C2">
        <w:t>(</w:t>
      </w:r>
      <w:proofErr w:type="spellStart"/>
      <w:r w:rsidR="00AE11C2">
        <w:t>Latifi</w:t>
      </w:r>
      <w:proofErr w:type="spellEnd"/>
      <w:r w:rsidR="00AE11C2">
        <w:t>,</w:t>
      </w:r>
      <w:r w:rsidR="00AE11C2" w:rsidRPr="00AE11C2">
        <w:t xml:space="preserve"> 2012</w:t>
      </w:r>
      <w:r w:rsidR="00AE11C2">
        <w:t>)</w:t>
      </w:r>
    </w:p>
    <w:p w:rsidR="006C2BEE" w:rsidRDefault="006C2BEE" w:rsidP="0073695D">
      <w:r>
        <w:t xml:space="preserve">In 2009 the bank faced a crisis situation due to decline in share price </w:t>
      </w:r>
      <w:r w:rsidR="0065627A">
        <w:t xml:space="preserve">by 59% and facing of investigation by </w:t>
      </w:r>
      <w:r w:rsidR="0065627A" w:rsidRPr="0065627A">
        <w:t>FSA</w:t>
      </w:r>
      <w:r w:rsidR="00782FCF">
        <w:t xml:space="preserve"> regarding the payment of fees while selling 3.5% stake(</w:t>
      </w:r>
      <w:r w:rsidR="007E072A">
        <w:t>equivalent to 1o billion pound</w:t>
      </w:r>
      <w:r w:rsidR="00782FCF">
        <w:t>) of the company  to Qatar Holding</w:t>
      </w:r>
      <w:r w:rsidR="00B05F37">
        <w:t>(</w:t>
      </w:r>
      <w:r w:rsidR="00B05F37" w:rsidRPr="00B05F37">
        <w:t>Picard</w:t>
      </w:r>
      <w:r w:rsidR="00B05F37">
        <w:t xml:space="preserve"> </w:t>
      </w:r>
      <w:r w:rsidR="00B05F37" w:rsidRPr="00B05F37">
        <w:rPr>
          <w:i/>
        </w:rPr>
        <w:t>et al</w:t>
      </w:r>
      <w:r w:rsidR="00B05F37">
        <w:t>.,2014)</w:t>
      </w:r>
      <w:r w:rsidR="00782FCF">
        <w:t xml:space="preserve"> </w:t>
      </w:r>
    </w:p>
    <w:p w:rsidR="0073695D" w:rsidRDefault="001377C2" w:rsidP="0073695D">
      <w:r>
        <w:t xml:space="preserve">From </w:t>
      </w:r>
      <w:r w:rsidRPr="001377C2">
        <w:t>December 2015</w:t>
      </w:r>
      <w:r>
        <w:t xml:space="preserve"> the bank is running under the good </w:t>
      </w:r>
      <w:r w:rsidR="00BA32C9">
        <w:t>leadership (</w:t>
      </w:r>
      <w:r w:rsidR="00B42642">
        <w:t xml:space="preserve">working as </w:t>
      </w:r>
      <w:r w:rsidR="00B42642" w:rsidRPr="001377C2">
        <w:t>Chief Executive Officer</w:t>
      </w:r>
      <w:r w:rsidR="00B42642">
        <w:t>)</w:t>
      </w:r>
      <w:r>
        <w:t xml:space="preserve"> of </w:t>
      </w:r>
      <w:proofErr w:type="spellStart"/>
      <w:r>
        <w:t>Jes</w:t>
      </w:r>
      <w:proofErr w:type="spellEnd"/>
      <w:r>
        <w:t xml:space="preserve"> Staley who is the </w:t>
      </w:r>
      <w:r w:rsidRPr="001377C2">
        <w:t xml:space="preserve">managing partner at </w:t>
      </w:r>
      <w:r w:rsidR="00BA32C9" w:rsidRPr="001377C2">
        <w:t>Blue Mountain</w:t>
      </w:r>
      <w:r w:rsidRPr="001377C2">
        <w:t xml:space="preserve"> Capital and member of the board of directors of </w:t>
      </w:r>
      <w:r w:rsidR="00BA32C9" w:rsidRPr="001377C2">
        <w:t>UBS</w:t>
      </w:r>
      <w:r w:rsidR="00BA32C9" w:rsidRPr="00BB79A5">
        <w:t xml:space="preserve"> (</w:t>
      </w:r>
      <w:r w:rsidR="00BB79A5" w:rsidRPr="00BB79A5">
        <w:t>Banking.barclaysus.com, 2018)</w:t>
      </w:r>
      <w:r w:rsidR="00B42642">
        <w:t>.</w:t>
      </w:r>
    </w:p>
    <w:p w:rsidR="0066621A" w:rsidRDefault="00B42642" w:rsidP="0066621A">
      <w:r>
        <w:rPr>
          <w:rFonts w:ascii="Arial" w:hAnsi="Arial" w:cs="Arial"/>
          <w:color w:val="222222"/>
          <w:sz w:val="19"/>
          <w:szCs w:val="19"/>
          <w:shd w:val="clear" w:color="auto" w:fill="EAF3FF"/>
        </w:rPr>
        <w:t> </w:t>
      </w:r>
      <w:r w:rsidR="0066621A">
        <w:t xml:space="preserve">In </w:t>
      </w:r>
      <w:r w:rsidR="0066621A" w:rsidRPr="006C4FBD">
        <w:t>May 2017 the</w:t>
      </w:r>
      <w:r w:rsidR="006C4FBD" w:rsidRPr="006C4FBD">
        <w:t xml:space="preserve"> bank </w:t>
      </w:r>
      <w:r w:rsidR="0066621A">
        <w:t xml:space="preserve">decided to </w:t>
      </w:r>
      <w:r w:rsidR="006C4FBD" w:rsidRPr="006C4FBD">
        <w:t>sell 1.5 billion pounds worth of shares of its Barclays Africa Group subsidiary</w:t>
      </w:r>
      <w:r w:rsidR="0066621A">
        <w:t xml:space="preserve"> in pursuance of the strategy of shifting focus from </w:t>
      </w:r>
      <w:r w:rsidR="0066621A" w:rsidRPr="006C4FBD">
        <w:t>Africa to the UK and US</w:t>
      </w:r>
      <w:r w:rsidR="0066621A">
        <w:t xml:space="preserve"> which are being considered as most profitable region of business</w:t>
      </w:r>
    </w:p>
    <w:p w:rsidR="006C4FBD" w:rsidRDefault="00501F76" w:rsidP="0073695D">
      <w:r>
        <w:t xml:space="preserve">Due to Brexit that delivered a negative impact over the banking </w:t>
      </w:r>
      <w:r w:rsidR="00BA32C9">
        <w:t>operon</w:t>
      </w:r>
      <w:r>
        <w:t xml:space="preserve"> the bank was forced </w:t>
      </w:r>
      <w:r w:rsidR="00B444BB">
        <w:t xml:space="preserve">to </w:t>
      </w:r>
      <w:r w:rsidR="00B444BB" w:rsidRPr="006C4FBD">
        <w:t>borrow</w:t>
      </w:r>
      <w:r w:rsidR="006C4FBD" w:rsidRPr="006C4FBD">
        <w:t xml:space="preserve"> £6bn </w:t>
      </w:r>
      <w:r w:rsidR="00C505B8">
        <w:t xml:space="preserve">from the Bank of England </w:t>
      </w:r>
      <w:r w:rsidR="00455CB5">
        <w:t xml:space="preserve">during </w:t>
      </w:r>
      <w:r w:rsidR="00BA32C9">
        <w:t>April, June</w:t>
      </w:r>
      <w:r w:rsidR="006C4FBD" w:rsidRPr="006C4FBD">
        <w:t xml:space="preserve"> 2017</w:t>
      </w:r>
      <w:r w:rsidR="006856E3">
        <w:t>(Lea</w:t>
      </w:r>
      <w:r w:rsidR="00BA32C9">
        <w:t xml:space="preserve">, </w:t>
      </w:r>
      <w:r w:rsidR="00BA32C9" w:rsidRPr="006856E3">
        <w:t>2017</w:t>
      </w:r>
      <w:r w:rsidR="006856E3">
        <w:t>)</w:t>
      </w:r>
    </w:p>
    <w:p w:rsidR="000A2FDB" w:rsidRDefault="000A2FDB" w:rsidP="0073695D"/>
    <w:p w:rsidR="000A2FDB" w:rsidRDefault="000A2FDB" w:rsidP="0073695D"/>
    <w:p w:rsidR="000A2FDB" w:rsidRDefault="000A2FDB" w:rsidP="0073695D"/>
    <w:p w:rsidR="000A2FDB" w:rsidRDefault="000A2FDB" w:rsidP="0073695D"/>
    <w:p w:rsidR="000A2FDB" w:rsidRDefault="000A2FDB" w:rsidP="0073695D"/>
    <w:p w:rsidR="000A2FDB" w:rsidRDefault="000A2FDB" w:rsidP="0073695D"/>
    <w:p w:rsidR="00B444BB" w:rsidRDefault="00B444BB" w:rsidP="00B444BB">
      <w:pPr>
        <w:pStyle w:val="Heading1"/>
      </w:pPr>
      <w:bookmarkStart w:id="1" w:name="_Toc522767947"/>
      <w:bookmarkStart w:id="2" w:name="_Toc522039093"/>
      <w:r w:rsidRPr="001C0468">
        <w:lastRenderedPageBreak/>
        <w:t>Part b)</w:t>
      </w:r>
      <w:bookmarkEnd w:id="1"/>
      <w:r>
        <w:t xml:space="preserve"> </w:t>
      </w:r>
    </w:p>
    <w:p w:rsidR="00BA32C9" w:rsidRDefault="00B444BB" w:rsidP="000A2FDB">
      <w:pPr>
        <w:pStyle w:val="Heading1"/>
      </w:pPr>
      <w:bookmarkStart w:id="3" w:name="_Toc522767948"/>
      <w:r>
        <w:t xml:space="preserve">Review of the key </w:t>
      </w:r>
      <w:bookmarkEnd w:id="2"/>
      <w:r w:rsidR="006922DD">
        <w:t>banking Ratios</w:t>
      </w:r>
      <w:bookmarkEnd w:id="3"/>
    </w:p>
    <w:p w:rsidR="00D42B3D" w:rsidRPr="00D42B3D" w:rsidRDefault="00D42B3D" w:rsidP="006922DD">
      <w:pPr>
        <w:pStyle w:val="Heading2"/>
        <w:framePr w:wrap="around"/>
        <w:pBdr>
          <w:top w:val="single" w:sz="8" w:space="1" w:color="4F81BD" w:themeColor="accent1"/>
          <w:left w:val="single" w:sz="8" w:space="4" w:color="4F81BD" w:themeColor="accent1"/>
          <w:bottom w:val="single" w:sz="8" w:space="1" w:color="4F81BD" w:themeColor="accent1"/>
          <w:right w:val="single" w:sz="8" w:space="4" w:color="4F81BD" w:themeColor="accent1"/>
        </w:pBdr>
        <w:shd w:val="clear" w:color="auto" w:fill="FDE9D9" w:themeFill="accent6" w:themeFillTint="33"/>
      </w:pPr>
      <w:bookmarkStart w:id="4" w:name="_Toc522039094"/>
      <w:bookmarkStart w:id="5" w:name="_Toc522767949"/>
      <w:r w:rsidRPr="00D85CAD">
        <w:t>Barclays</w:t>
      </w:r>
      <w:r w:rsidRPr="00D42B3D">
        <w:t xml:space="preserve"> bank- capitalization performance (5 years):</w:t>
      </w:r>
      <w:bookmarkEnd w:id="4"/>
      <w:bookmarkEnd w:id="5"/>
    </w:p>
    <w:p w:rsidR="00B444BB" w:rsidRDefault="00B444BB" w:rsidP="0073695D"/>
    <w:p w:rsidR="00BA32C9" w:rsidRDefault="00BA32C9" w:rsidP="00910655"/>
    <w:p w:rsidR="00BA32C9" w:rsidRDefault="00910655" w:rsidP="0073695D">
      <w:r w:rsidRPr="00910655">
        <w:t>Common equity tier 1 capital ratio</w:t>
      </w:r>
      <w:r>
        <w:t>, CET-1</w:t>
      </w:r>
      <w:r w:rsidRPr="00910655">
        <w:t>:</w:t>
      </w:r>
    </w:p>
    <w:tbl>
      <w:tblPr>
        <w:tblW w:w="8952" w:type="dxa"/>
        <w:tblInd w:w="95"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Look w:val="04A0" w:firstRow="1" w:lastRow="0" w:firstColumn="1" w:lastColumn="0" w:noHBand="0" w:noVBand="1"/>
      </w:tblPr>
      <w:tblGrid>
        <w:gridCol w:w="4152"/>
        <w:gridCol w:w="960"/>
        <w:gridCol w:w="960"/>
        <w:gridCol w:w="960"/>
        <w:gridCol w:w="960"/>
        <w:gridCol w:w="960"/>
      </w:tblGrid>
      <w:tr w:rsidR="007E09D1" w:rsidRPr="007E09D1" w:rsidTr="000266C1">
        <w:trPr>
          <w:trHeight w:val="330"/>
        </w:trPr>
        <w:tc>
          <w:tcPr>
            <w:tcW w:w="4152" w:type="dxa"/>
            <w:shd w:val="clear" w:color="000000" w:fill="FFFFFF"/>
            <w:noWrap/>
            <w:vAlign w:val="bottom"/>
            <w:hideMark/>
          </w:tcPr>
          <w:p w:rsidR="007E09D1" w:rsidRPr="007E09D1" w:rsidRDefault="007E09D1" w:rsidP="007E09D1">
            <w:pPr>
              <w:spacing w:after="0" w:line="240" w:lineRule="auto"/>
              <w:rPr>
                <w:rFonts w:eastAsia="Times New Roman" w:cs="Times New Roman"/>
                <w:color w:val="000000"/>
                <w:szCs w:val="24"/>
                <w:lang w:val="en-US"/>
              </w:rPr>
            </w:pPr>
          </w:p>
        </w:tc>
        <w:tc>
          <w:tcPr>
            <w:tcW w:w="960" w:type="dxa"/>
            <w:shd w:val="clear" w:color="000000" w:fill="FFFFFF"/>
            <w:noWrap/>
            <w:vAlign w:val="bottom"/>
            <w:hideMark/>
          </w:tcPr>
          <w:p w:rsidR="007E09D1" w:rsidRPr="007E09D1" w:rsidRDefault="007E09D1" w:rsidP="007E09D1">
            <w:pPr>
              <w:spacing w:after="0" w:line="240" w:lineRule="auto"/>
              <w:rPr>
                <w:rFonts w:eastAsia="Times New Roman" w:cs="Times New Roman"/>
                <w:color w:val="000000"/>
                <w:szCs w:val="24"/>
                <w:lang w:val="en-US"/>
              </w:rPr>
            </w:pPr>
            <w:r w:rsidRPr="007E09D1">
              <w:rPr>
                <w:rFonts w:eastAsia="Times New Roman" w:cs="Times New Roman"/>
                <w:color w:val="000000"/>
                <w:szCs w:val="24"/>
              </w:rPr>
              <w:t>2013</w:t>
            </w:r>
          </w:p>
        </w:tc>
        <w:tc>
          <w:tcPr>
            <w:tcW w:w="960" w:type="dxa"/>
            <w:shd w:val="clear" w:color="000000" w:fill="FFFFFF"/>
            <w:noWrap/>
            <w:vAlign w:val="bottom"/>
            <w:hideMark/>
          </w:tcPr>
          <w:p w:rsidR="007E09D1" w:rsidRPr="007E09D1" w:rsidRDefault="007E09D1" w:rsidP="007E09D1">
            <w:pPr>
              <w:spacing w:after="0" w:line="240" w:lineRule="auto"/>
              <w:rPr>
                <w:rFonts w:eastAsia="Times New Roman" w:cs="Times New Roman"/>
                <w:color w:val="000000"/>
                <w:szCs w:val="24"/>
                <w:lang w:val="en-US"/>
              </w:rPr>
            </w:pPr>
            <w:r w:rsidRPr="007E09D1">
              <w:rPr>
                <w:rFonts w:eastAsia="Times New Roman" w:cs="Times New Roman"/>
                <w:color w:val="000000"/>
                <w:szCs w:val="24"/>
              </w:rPr>
              <w:t>2014</w:t>
            </w:r>
          </w:p>
        </w:tc>
        <w:tc>
          <w:tcPr>
            <w:tcW w:w="960" w:type="dxa"/>
            <w:shd w:val="clear" w:color="000000" w:fill="FFFFFF"/>
            <w:noWrap/>
            <w:vAlign w:val="bottom"/>
            <w:hideMark/>
          </w:tcPr>
          <w:p w:rsidR="007E09D1" w:rsidRPr="007E09D1" w:rsidRDefault="007E09D1" w:rsidP="007E09D1">
            <w:pPr>
              <w:spacing w:after="0" w:line="240" w:lineRule="auto"/>
              <w:rPr>
                <w:rFonts w:eastAsia="Times New Roman" w:cs="Times New Roman"/>
                <w:color w:val="000000"/>
                <w:szCs w:val="24"/>
                <w:lang w:val="en-US"/>
              </w:rPr>
            </w:pPr>
            <w:r w:rsidRPr="007E09D1">
              <w:rPr>
                <w:rFonts w:eastAsia="Times New Roman" w:cs="Times New Roman"/>
                <w:color w:val="000000"/>
                <w:szCs w:val="24"/>
              </w:rPr>
              <w:t>2015</w:t>
            </w:r>
          </w:p>
        </w:tc>
        <w:tc>
          <w:tcPr>
            <w:tcW w:w="960" w:type="dxa"/>
            <w:shd w:val="clear" w:color="000000" w:fill="FFFFFF"/>
            <w:noWrap/>
            <w:vAlign w:val="bottom"/>
            <w:hideMark/>
          </w:tcPr>
          <w:p w:rsidR="007E09D1" w:rsidRPr="007E09D1" w:rsidRDefault="007E09D1" w:rsidP="007E09D1">
            <w:pPr>
              <w:spacing w:after="0" w:line="240" w:lineRule="auto"/>
              <w:rPr>
                <w:rFonts w:eastAsia="Times New Roman" w:cs="Times New Roman"/>
                <w:color w:val="000000"/>
                <w:szCs w:val="24"/>
                <w:lang w:val="en-US"/>
              </w:rPr>
            </w:pPr>
            <w:r w:rsidRPr="007E09D1">
              <w:rPr>
                <w:rFonts w:eastAsia="Times New Roman" w:cs="Times New Roman"/>
                <w:color w:val="000000"/>
                <w:szCs w:val="24"/>
              </w:rPr>
              <w:t>2016</w:t>
            </w:r>
          </w:p>
        </w:tc>
        <w:tc>
          <w:tcPr>
            <w:tcW w:w="960" w:type="dxa"/>
            <w:shd w:val="clear" w:color="000000" w:fill="FFFFFF"/>
            <w:noWrap/>
            <w:vAlign w:val="bottom"/>
            <w:hideMark/>
          </w:tcPr>
          <w:p w:rsidR="007E09D1" w:rsidRPr="007E09D1" w:rsidRDefault="007E09D1" w:rsidP="007E09D1">
            <w:pPr>
              <w:spacing w:after="0" w:line="240" w:lineRule="auto"/>
              <w:rPr>
                <w:rFonts w:eastAsia="Times New Roman" w:cs="Times New Roman"/>
                <w:color w:val="000000"/>
                <w:szCs w:val="24"/>
                <w:lang w:val="en-US"/>
              </w:rPr>
            </w:pPr>
            <w:r w:rsidRPr="007E09D1">
              <w:rPr>
                <w:rFonts w:eastAsia="Times New Roman" w:cs="Times New Roman"/>
                <w:color w:val="000000"/>
                <w:szCs w:val="24"/>
              </w:rPr>
              <w:t>2017</w:t>
            </w:r>
          </w:p>
        </w:tc>
      </w:tr>
      <w:tr w:rsidR="007E09D1" w:rsidRPr="007E09D1" w:rsidTr="000266C1">
        <w:trPr>
          <w:trHeight w:val="645"/>
        </w:trPr>
        <w:tc>
          <w:tcPr>
            <w:tcW w:w="4152" w:type="dxa"/>
            <w:shd w:val="clear" w:color="000000" w:fill="FFFFFF"/>
            <w:noWrap/>
            <w:vAlign w:val="bottom"/>
            <w:hideMark/>
          </w:tcPr>
          <w:p w:rsidR="007E09D1" w:rsidRPr="007E09D1" w:rsidRDefault="007E09D1" w:rsidP="007E09D1">
            <w:pPr>
              <w:spacing w:after="0" w:line="240" w:lineRule="auto"/>
              <w:rPr>
                <w:rFonts w:eastAsia="Times New Roman" w:cs="Times New Roman"/>
                <w:color w:val="000000"/>
                <w:szCs w:val="24"/>
                <w:lang w:val="en-US"/>
              </w:rPr>
            </w:pPr>
            <w:r w:rsidRPr="007E09D1">
              <w:rPr>
                <w:rFonts w:eastAsia="Times New Roman" w:cs="Times New Roman"/>
                <w:color w:val="000000"/>
                <w:szCs w:val="24"/>
              </w:rPr>
              <w:t>common equity tier 1 capital ratios ,CET-1</w:t>
            </w:r>
          </w:p>
        </w:tc>
        <w:tc>
          <w:tcPr>
            <w:tcW w:w="960" w:type="dxa"/>
            <w:shd w:val="clear" w:color="000000" w:fill="FFFFFF"/>
            <w:noWrap/>
            <w:vAlign w:val="bottom"/>
            <w:hideMark/>
          </w:tcPr>
          <w:p w:rsidR="007E09D1" w:rsidRPr="007E09D1" w:rsidRDefault="007E09D1" w:rsidP="007E09D1">
            <w:pPr>
              <w:spacing w:after="0" w:line="240" w:lineRule="auto"/>
              <w:rPr>
                <w:rFonts w:eastAsia="Times New Roman" w:cs="Times New Roman"/>
                <w:color w:val="000000"/>
                <w:szCs w:val="24"/>
                <w:lang w:val="en-US"/>
              </w:rPr>
            </w:pPr>
            <w:r w:rsidRPr="007E09D1">
              <w:rPr>
                <w:rFonts w:eastAsia="Times New Roman" w:cs="Times New Roman"/>
                <w:color w:val="000000"/>
                <w:szCs w:val="24"/>
              </w:rPr>
              <w:t>9.10%</w:t>
            </w:r>
          </w:p>
        </w:tc>
        <w:tc>
          <w:tcPr>
            <w:tcW w:w="960" w:type="dxa"/>
            <w:shd w:val="clear" w:color="000000" w:fill="FFFFFF"/>
            <w:noWrap/>
            <w:vAlign w:val="bottom"/>
            <w:hideMark/>
          </w:tcPr>
          <w:p w:rsidR="007E09D1" w:rsidRPr="007E09D1" w:rsidRDefault="007E09D1" w:rsidP="007E09D1">
            <w:pPr>
              <w:spacing w:after="0" w:line="240" w:lineRule="auto"/>
              <w:rPr>
                <w:rFonts w:eastAsia="Times New Roman" w:cs="Times New Roman"/>
                <w:color w:val="000000"/>
                <w:szCs w:val="24"/>
                <w:lang w:val="en-US"/>
              </w:rPr>
            </w:pPr>
            <w:r w:rsidRPr="007E09D1">
              <w:rPr>
                <w:rFonts w:eastAsia="Times New Roman" w:cs="Times New Roman"/>
                <w:color w:val="000000"/>
                <w:szCs w:val="24"/>
                <w:lang w:val="en-US"/>
              </w:rPr>
              <w:t>10.30%</w:t>
            </w:r>
          </w:p>
        </w:tc>
        <w:tc>
          <w:tcPr>
            <w:tcW w:w="960" w:type="dxa"/>
            <w:shd w:val="clear" w:color="000000" w:fill="FFFFFF"/>
            <w:noWrap/>
            <w:vAlign w:val="bottom"/>
            <w:hideMark/>
          </w:tcPr>
          <w:p w:rsidR="007E09D1" w:rsidRPr="007E09D1" w:rsidRDefault="007E09D1" w:rsidP="007E09D1">
            <w:pPr>
              <w:spacing w:after="0" w:line="240" w:lineRule="auto"/>
              <w:rPr>
                <w:rFonts w:eastAsia="Times New Roman" w:cs="Times New Roman"/>
                <w:color w:val="000000"/>
                <w:szCs w:val="24"/>
                <w:lang w:val="en-US"/>
              </w:rPr>
            </w:pPr>
            <w:r w:rsidRPr="007E09D1">
              <w:rPr>
                <w:rFonts w:eastAsia="Times New Roman" w:cs="Times New Roman"/>
                <w:color w:val="000000"/>
                <w:szCs w:val="24"/>
              </w:rPr>
              <w:t>11.40%</w:t>
            </w:r>
          </w:p>
        </w:tc>
        <w:tc>
          <w:tcPr>
            <w:tcW w:w="960" w:type="dxa"/>
            <w:shd w:val="clear" w:color="000000" w:fill="FFFFFF"/>
            <w:noWrap/>
            <w:vAlign w:val="bottom"/>
            <w:hideMark/>
          </w:tcPr>
          <w:p w:rsidR="007E09D1" w:rsidRPr="007E09D1" w:rsidRDefault="007E09D1" w:rsidP="007E09D1">
            <w:pPr>
              <w:spacing w:after="0" w:line="240" w:lineRule="auto"/>
              <w:rPr>
                <w:rFonts w:eastAsia="Times New Roman" w:cs="Times New Roman"/>
                <w:color w:val="000000"/>
                <w:szCs w:val="24"/>
                <w:lang w:val="en-US"/>
              </w:rPr>
            </w:pPr>
            <w:r w:rsidRPr="007E09D1">
              <w:rPr>
                <w:rFonts w:eastAsia="Times New Roman" w:cs="Times New Roman"/>
                <w:color w:val="000000"/>
                <w:szCs w:val="24"/>
              </w:rPr>
              <w:t>12.40%</w:t>
            </w:r>
          </w:p>
        </w:tc>
        <w:tc>
          <w:tcPr>
            <w:tcW w:w="960" w:type="dxa"/>
            <w:shd w:val="clear" w:color="000000" w:fill="FFFFFF"/>
            <w:noWrap/>
            <w:vAlign w:val="bottom"/>
            <w:hideMark/>
          </w:tcPr>
          <w:p w:rsidR="007E09D1" w:rsidRPr="007E09D1" w:rsidRDefault="007E09D1" w:rsidP="007E09D1">
            <w:pPr>
              <w:spacing w:after="0" w:line="240" w:lineRule="auto"/>
              <w:rPr>
                <w:rFonts w:eastAsia="Times New Roman" w:cs="Times New Roman"/>
                <w:color w:val="000000"/>
                <w:szCs w:val="24"/>
                <w:lang w:val="en-US"/>
              </w:rPr>
            </w:pPr>
            <w:r w:rsidRPr="007E09D1">
              <w:rPr>
                <w:rFonts w:eastAsia="Times New Roman" w:cs="Times New Roman"/>
                <w:color w:val="000000"/>
                <w:szCs w:val="24"/>
              </w:rPr>
              <w:t>13.30%</w:t>
            </w:r>
          </w:p>
        </w:tc>
      </w:tr>
    </w:tbl>
    <w:p w:rsidR="006922DD" w:rsidRDefault="00DE0E45" w:rsidP="00DE0E45">
      <w:pPr>
        <w:jc w:val="center"/>
      </w:pPr>
      <w:r>
        <w:t>Table-1-CET-1</w:t>
      </w:r>
    </w:p>
    <w:p w:rsidR="00910655" w:rsidRDefault="00910655" w:rsidP="00910655">
      <w:r>
        <w:t xml:space="preserve">The bank’s capitalization quality has been defined in terms of the capability of the capital held by the bank to absorb loss. According to the requirements of the </w:t>
      </w:r>
      <w:r w:rsidRPr="005D739E">
        <w:t>Basel III rules</w:t>
      </w:r>
      <w:r>
        <w:t xml:space="preserve"> the equity capital out of the total core capital of the bank should be 4.5% of the RWA or the (risk weighted asset) of the bank. This minimum equity capital maintenance requirement has been imposed upon the banks once the financial crisis of 2010 took place when lots of big banks disclosed that the volume of equity capital held by the bank is not at all sufficient for absorbing the loss before the banks are going to be insolvent</w:t>
      </w:r>
      <w:r w:rsidR="008D33FD">
        <w:t>(</w:t>
      </w:r>
      <w:r w:rsidR="008D33FD" w:rsidRPr="008D33FD">
        <w:t>Miles</w:t>
      </w:r>
      <w:r w:rsidR="008D33FD">
        <w:t xml:space="preserve"> </w:t>
      </w:r>
      <w:r w:rsidR="008D33FD" w:rsidRPr="008D33FD">
        <w:rPr>
          <w:i/>
        </w:rPr>
        <w:t>et al</w:t>
      </w:r>
      <w:r w:rsidR="008D33FD">
        <w:t>.,2013)</w:t>
      </w:r>
      <w:r>
        <w:t>.</w:t>
      </w:r>
    </w:p>
    <w:p w:rsidR="00910655" w:rsidRDefault="00910655" w:rsidP="00910655">
      <w:r>
        <w:t xml:space="preserve">The concept of risk weighted asset refers to the asset value where each asset has received a weight in accordance to the degree of risk of that has been posed by the </w:t>
      </w:r>
      <w:proofErr w:type="gramStart"/>
      <w:r>
        <w:t>asset</w:t>
      </w:r>
      <w:r w:rsidR="0075534F">
        <w:rPr>
          <w:color w:val="000000" w:themeColor="text1"/>
        </w:rPr>
        <w:t>(</w:t>
      </w:r>
      <w:proofErr w:type="spellStart"/>
      <w:proofErr w:type="gramEnd"/>
      <w:r w:rsidR="0075534F">
        <w:rPr>
          <w:color w:val="000000" w:themeColor="text1"/>
        </w:rPr>
        <w:t>Home.barclays</w:t>
      </w:r>
      <w:proofErr w:type="spellEnd"/>
      <w:r w:rsidR="0075534F">
        <w:rPr>
          <w:color w:val="000000" w:themeColor="text1"/>
        </w:rPr>
        <w:t>, 2014</w:t>
      </w:r>
      <w:r w:rsidR="0075534F" w:rsidRPr="009D39FF">
        <w:rPr>
          <w:color w:val="000000" w:themeColor="text1"/>
        </w:rPr>
        <w:t>)</w:t>
      </w:r>
      <w:r>
        <w:t>.</w:t>
      </w:r>
    </w:p>
    <w:p w:rsidR="00041B76" w:rsidRPr="00A542E6" w:rsidRDefault="00041B76" w:rsidP="00041B76">
      <w:pPr>
        <w:rPr>
          <w:color w:val="000000" w:themeColor="text1"/>
        </w:rPr>
      </w:pPr>
      <w:r w:rsidRPr="00A542E6">
        <w:rPr>
          <w:color w:val="000000" w:themeColor="text1"/>
        </w:rPr>
        <w:t>Looking at the Common equity tier 1 capital ratio of Barclays bank for the duration of 2013-2017 it can be seen that the ratio is much healthier compared to the minimum required ratio of the bank of 4.5% .Not only that the bank  has registered a  Common equity tier 1 capital ratio but the ratio is  gradually rising over years during the period of study from 2013-2017.This indicates that during the period of study the bank has  successfully managed to increase the volume of core equity capital compared to the holding of risky assets by the bank</w:t>
      </w:r>
      <w:r w:rsidR="0045731E">
        <w:rPr>
          <w:color w:val="000000" w:themeColor="text1"/>
        </w:rPr>
        <w:t>(</w:t>
      </w:r>
      <w:r w:rsidR="0045731E" w:rsidRPr="0045731E">
        <w:rPr>
          <w:color w:val="000000" w:themeColor="text1"/>
        </w:rPr>
        <w:t>Miles</w:t>
      </w:r>
      <w:r w:rsidR="0045731E">
        <w:rPr>
          <w:color w:val="000000" w:themeColor="text1"/>
        </w:rPr>
        <w:t xml:space="preserve"> </w:t>
      </w:r>
      <w:r w:rsidR="0045731E" w:rsidRPr="0045731E">
        <w:rPr>
          <w:i/>
          <w:color w:val="000000" w:themeColor="text1"/>
        </w:rPr>
        <w:t>et al</w:t>
      </w:r>
      <w:r w:rsidR="0045731E">
        <w:rPr>
          <w:color w:val="000000" w:themeColor="text1"/>
        </w:rPr>
        <w:t>.,2013)</w:t>
      </w:r>
      <w:r w:rsidRPr="00A542E6">
        <w:rPr>
          <w:color w:val="000000" w:themeColor="text1"/>
        </w:rPr>
        <w:t>.</w:t>
      </w:r>
    </w:p>
    <w:p w:rsidR="00041B76" w:rsidRPr="00A542E6" w:rsidRDefault="00041B76" w:rsidP="00041B76">
      <w:pPr>
        <w:rPr>
          <w:color w:val="000000" w:themeColor="text1"/>
        </w:rPr>
      </w:pPr>
      <w:r w:rsidRPr="00A542E6">
        <w:rPr>
          <w:color w:val="000000" w:themeColor="text1"/>
        </w:rPr>
        <w:t xml:space="preserve">Thus over the years the </w:t>
      </w:r>
      <w:r w:rsidR="00A542E6" w:rsidRPr="00A542E6">
        <w:rPr>
          <w:color w:val="000000" w:themeColor="text1"/>
        </w:rPr>
        <w:t xml:space="preserve">Barclays bank </w:t>
      </w:r>
      <w:r w:rsidRPr="00A542E6">
        <w:rPr>
          <w:color w:val="000000" w:themeColor="text1"/>
        </w:rPr>
        <w:t xml:space="preserve">has managed to increase its loss absorbing capacity and the bank is now considered as a financial institution which is strongly capable to handle any kind </w:t>
      </w:r>
      <w:r w:rsidRPr="00A542E6">
        <w:rPr>
          <w:color w:val="000000" w:themeColor="text1"/>
        </w:rPr>
        <w:lastRenderedPageBreak/>
        <w:t xml:space="preserve">of financial distress. Thus the 5 years Common equity tier 1 capital ratio of the </w:t>
      </w:r>
      <w:r w:rsidR="00A542E6" w:rsidRPr="00A542E6">
        <w:rPr>
          <w:color w:val="000000" w:themeColor="text1"/>
        </w:rPr>
        <w:t xml:space="preserve">Barclays bank </w:t>
      </w:r>
      <w:r w:rsidRPr="00A542E6">
        <w:rPr>
          <w:color w:val="000000" w:themeColor="text1"/>
        </w:rPr>
        <w:t>is demonstrating that the shareholders will be quiet secured if they invest in the shares of the bank</w:t>
      </w:r>
      <w:r w:rsidR="009D39FF" w:rsidRPr="009D39FF">
        <w:t xml:space="preserve"> </w:t>
      </w:r>
      <w:r w:rsidR="009D39FF" w:rsidRPr="009D39FF">
        <w:rPr>
          <w:color w:val="000000" w:themeColor="text1"/>
        </w:rPr>
        <w:t>(</w:t>
      </w:r>
      <w:proofErr w:type="spellStart"/>
      <w:r w:rsidR="009D39FF" w:rsidRPr="009D39FF">
        <w:rPr>
          <w:color w:val="000000" w:themeColor="text1"/>
        </w:rPr>
        <w:t>Home.barclays</w:t>
      </w:r>
      <w:proofErr w:type="spellEnd"/>
      <w:r w:rsidR="009D39FF" w:rsidRPr="009D39FF">
        <w:rPr>
          <w:color w:val="000000" w:themeColor="text1"/>
        </w:rPr>
        <w:t>, 2017)</w:t>
      </w:r>
      <w:r w:rsidRPr="00A542E6">
        <w:rPr>
          <w:color w:val="000000" w:themeColor="text1"/>
        </w:rPr>
        <w:t>.</w:t>
      </w:r>
    </w:p>
    <w:p w:rsidR="00041B76" w:rsidRDefault="00041B76" w:rsidP="00910655"/>
    <w:p w:rsidR="00910655" w:rsidRDefault="00F51BC2" w:rsidP="00F51BC2">
      <w:pPr>
        <w:pStyle w:val="Heading2"/>
        <w:framePr w:wrap="around"/>
        <w:pBdr>
          <w:top w:val="single" w:sz="8" w:space="1" w:color="4F81BD" w:themeColor="accent1"/>
          <w:left w:val="single" w:sz="8" w:space="4" w:color="4F81BD" w:themeColor="accent1"/>
          <w:bottom w:val="single" w:sz="8" w:space="1" w:color="4F81BD" w:themeColor="accent1"/>
          <w:right w:val="single" w:sz="8" w:space="4" w:color="4F81BD" w:themeColor="accent1"/>
        </w:pBdr>
        <w:shd w:val="clear" w:color="auto" w:fill="FDE9D9" w:themeFill="accent6" w:themeFillTint="33"/>
      </w:pPr>
      <w:bookmarkStart w:id="6" w:name="_Toc522767950"/>
      <w:r w:rsidRPr="00D85CAD">
        <w:t>Barclays</w:t>
      </w:r>
      <w:r w:rsidRPr="00F51BC2">
        <w:t xml:space="preserve"> bank -liquidity performance (5 years):</w:t>
      </w:r>
      <w:bookmarkEnd w:id="6"/>
    </w:p>
    <w:p w:rsidR="00F51BC2" w:rsidRDefault="00F51BC2" w:rsidP="00F51BC2"/>
    <w:p w:rsidR="00F51BC2" w:rsidRDefault="00F51BC2" w:rsidP="00F51BC2"/>
    <w:tbl>
      <w:tblPr>
        <w:tblW w:w="9184" w:type="dxa"/>
        <w:tblInd w:w="95"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Look w:val="04A0" w:firstRow="1" w:lastRow="0" w:firstColumn="1" w:lastColumn="0" w:noHBand="0" w:noVBand="1"/>
      </w:tblPr>
      <w:tblGrid>
        <w:gridCol w:w="4152"/>
        <w:gridCol w:w="960"/>
        <w:gridCol w:w="960"/>
        <w:gridCol w:w="1076"/>
        <w:gridCol w:w="1076"/>
        <w:gridCol w:w="960"/>
      </w:tblGrid>
      <w:tr w:rsidR="00F51BC2" w:rsidRPr="00F51BC2" w:rsidTr="000266C1">
        <w:trPr>
          <w:trHeight w:val="330"/>
        </w:trPr>
        <w:tc>
          <w:tcPr>
            <w:tcW w:w="4152" w:type="dxa"/>
            <w:shd w:val="clear" w:color="000000" w:fill="FFFFFF"/>
            <w:noWrap/>
            <w:vAlign w:val="bottom"/>
            <w:hideMark/>
          </w:tcPr>
          <w:p w:rsidR="00F51BC2" w:rsidRPr="00F51BC2" w:rsidRDefault="00286EA9" w:rsidP="00F51BC2">
            <w:pPr>
              <w:spacing w:after="0" w:line="240" w:lineRule="auto"/>
              <w:rPr>
                <w:rFonts w:eastAsia="Times New Roman" w:cs="Times New Roman"/>
                <w:color w:val="000000"/>
                <w:szCs w:val="24"/>
                <w:lang w:val="en-US"/>
              </w:rPr>
            </w:pPr>
            <w:r>
              <w:rPr>
                <w:rFonts w:eastAsia="Times New Roman" w:cs="Times New Roman"/>
                <w:color w:val="000000"/>
                <w:szCs w:val="24"/>
              </w:rPr>
              <w:t>R</w:t>
            </w:r>
            <w:r w:rsidR="00F51BC2" w:rsidRPr="00F51BC2">
              <w:rPr>
                <w:rFonts w:eastAsia="Times New Roman" w:cs="Times New Roman"/>
                <w:color w:val="000000"/>
                <w:szCs w:val="24"/>
              </w:rPr>
              <w:t xml:space="preserve">atios analysis </w:t>
            </w:r>
          </w:p>
        </w:tc>
        <w:tc>
          <w:tcPr>
            <w:tcW w:w="960" w:type="dxa"/>
            <w:shd w:val="clear" w:color="000000" w:fill="FFFFFF"/>
            <w:noWrap/>
            <w:vAlign w:val="bottom"/>
            <w:hideMark/>
          </w:tcPr>
          <w:p w:rsidR="00F51BC2" w:rsidRPr="00F51BC2" w:rsidRDefault="00F51BC2" w:rsidP="00F51BC2">
            <w:pPr>
              <w:spacing w:after="0" w:line="240" w:lineRule="auto"/>
              <w:rPr>
                <w:rFonts w:eastAsia="Times New Roman" w:cs="Times New Roman"/>
                <w:color w:val="000000"/>
                <w:szCs w:val="24"/>
                <w:lang w:val="en-US"/>
              </w:rPr>
            </w:pPr>
            <w:r w:rsidRPr="00F51BC2">
              <w:rPr>
                <w:rFonts w:eastAsia="Times New Roman" w:cs="Times New Roman"/>
                <w:color w:val="000000"/>
                <w:szCs w:val="24"/>
              </w:rPr>
              <w:t>2013</w:t>
            </w:r>
          </w:p>
        </w:tc>
        <w:tc>
          <w:tcPr>
            <w:tcW w:w="960" w:type="dxa"/>
            <w:shd w:val="clear" w:color="000000" w:fill="FFFFFF"/>
            <w:noWrap/>
            <w:vAlign w:val="bottom"/>
            <w:hideMark/>
          </w:tcPr>
          <w:p w:rsidR="00F51BC2" w:rsidRPr="00F51BC2" w:rsidRDefault="00F51BC2" w:rsidP="00F51BC2">
            <w:pPr>
              <w:spacing w:after="0" w:line="240" w:lineRule="auto"/>
              <w:rPr>
                <w:rFonts w:eastAsia="Times New Roman" w:cs="Times New Roman"/>
                <w:color w:val="000000"/>
                <w:szCs w:val="24"/>
                <w:lang w:val="en-US"/>
              </w:rPr>
            </w:pPr>
            <w:r w:rsidRPr="00F51BC2">
              <w:rPr>
                <w:rFonts w:eastAsia="Times New Roman" w:cs="Times New Roman"/>
                <w:color w:val="000000"/>
                <w:szCs w:val="24"/>
              </w:rPr>
              <w:t>2014</w:t>
            </w:r>
          </w:p>
        </w:tc>
        <w:tc>
          <w:tcPr>
            <w:tcW w:w="1076" w:type="dxa"/>
            <w:shd w:val="clear" w:color="000000" w:fill="FFFFFF"/>
            <w:noWrap/>
            <w:vAlign w:val="bottom"/>
            <w:hideMark/>
          </w:tcPr>
          <w:p w:rsidR="00F51BC2" w:rsidRPr="00F51BC2" w:rsidRDefault="00F51BC2" w:rsidP="00F51BC2">
            <w:pPr>
              <w:spacing w:after="0" w:line="240" w:lineRule="auto"/>
              <w:rPr>
                <w:rFonts w:eastAsia="Times New Roman" w:cs="Times New Roman"/>
                <w:color w:val="000000"/>
                <w:szCs w:val="24"/>
                <w:lang w:val="en-US"/>
              </w:rPr>
            </w:pPr>
            <w:r w:rsidRPr="00F51BC2">
              <w:rPr>
                <w:rFonts w:eastAsia="Times New Roman" w:cs="Times New Roman"/>
                <w:color w:val="000000"/>
                <w:szCs w:val="24"/>
              </w:rPr>
              <w:t>2015</w:t>
            </w:r>
          </w:p>
        </w:tc>
        <w:tc>
          <w:tcPr>
            <w:tcW w:w="1076" w:type="dxa"/>
            <w:shd w:val="clear" w:color="000000" w:fill="FFFFFF"/>
            <w:noWrap/>
            <w:vAlign w:val="bottom"/>
            <w:hideMark/>
          </w:tcPr>
          <w:p w:rsidR="00F51BC2" w:rsidRPr="00F51BC2" w:rsidRDefault="00F51BC2" w:rsidP="00F51BC2">
            <w:pPr>
              <w:spacing w:after="0" w:line="240" w:lineRule="auto"/>
              <w:rPr>
                <w:rFonts w:eastAsia="Times New Roman" w:cs="Times New Roman"/>
                <w:color w:val="000000"/>
                <w:szCs w:val="24"/>
                <w:lang w:val="en-US"/>
              </w:rPr>
            </w:pPr>
            <w:r w:rsidRPr="00F51BC2">
              <w:rPr>
                <w:rFonts w:eastAsia="Times New Roman" w:cs="Times New Roman"/>
                <w:color w:val="000000"/>
                <w:szCs w:val="24"/>
              </w:rPr>
              <w:t>2016</w:t>
            </w:r>
          </w:p>
        </w:tc>
        <w:tc>
          <w:tcPr>
            <w:tcW w:w="960" w:type="dxa"/>
            <w:shd w:val="clear" w:color="000000" w:fill="FFFFFF"/>
            <w:noWrap/>
            <w:vAlign w:val="bottom"/>
            <w:hideMark/>
          </w:tcPr>
          <w:p w:rsidR="00F51BC2" w:rsidRPr="00F51BC2" w:rsidRDefault="00F51BC2" w:rsidP="00F51BC2">
            <w:pPr>
              <w:spacing w:after="0" w:line="240" w:lineRule="auto"/>
              <w:rPr>
                <w:rFonts w:eastAsia="Times New Roman" w:cs="Times New Roman"/>
                <w:color w:val="000000"/>
                <w:szCs w:val="24"/>
                <w:lang w:val="en-US"/>
              </w:rPr>
            </w:pPr>
            <w:r w:rsidRPr="00F51BC2">
              <w:rPr>
                <w:rFonts w:eastAsia="Times New Roman" w:cs="Times New Roman"/>
                <w:color w:val="000000"/>
                <w:szCs w:val="24"/>
              </w:rPr>
              <w:t>2017</w:t>
            </w:r>
          </w:p>
        </w:tc>
      </w:tr>
      <w:tr w:rsidR="00F51BC2" w:rsidRPr="00F51BC2" w:rsidTr="000266C1">
        <w:trPr>
          <w:trHeight w:val="630"/>
        </w:trPr>
        <w:tc>
          <w:tcPr>
            <w:tcW w:w="4152" w:type="dxa"/>
            <w:shd w:val="clear" w:color="000000" w:fill="FFFFFF"/>
            <w:noWrap/>
            <w:vAlign w:val="bottom"/>
            <w:hideMark/>
          </w:tcPr>
          <w:p w:rsidR="00F51BC2" w:rsidRPr="00F51BC2" w:rsidRDefault="00F51BC2" w:rsidP="00F51BC2">
            <w:pPr>
              <w:spacing w:after="0" w:line="240" w:lineRule="auto"/>
              <w:rPr>
                <w:rFonts w:eastAsia="Times New Roman" w:cs="Times New Roman"/>
                <w:color w:val="000000"/>
                <w:szCs w:val="24"/>
                <w:lang w:val="en-US"/>
              </w:rPr>
            </w:pPr>
            <w:r w:rsidRPr="00F51BC2">
              <w:rPr>
                <w:rFonts w:eastAsia="Times New Roman" w:cs="Times New Roman"/>
                <w:color w:val="000000"/>
                <w:szCs w:val="24"/>
              </w:rPr>
              <w:t>liquidity coverage ratios</w:t>
            </w:r>
            <w:r w:rsidR="000266C1">
              <w:rPr>
                <w:rFonts w:eastAsia="Times New Roman" w:cs="Times New Roman"/>
                <w:color w:val="000000"/>
                <w:szCs w:val="24"/>
              </w:rPr>
              <w:t>(LCR)</w:t>
            </w:r>
          </w:p>
        </w:tc>
        <w:tc>
          <w:tcPr>
            <w:tcW w:w="960" w:type="dxa"/>
            <w:shd w:val="clear" w:color="000000" w:fill="FFFFFF"/>
            <w:noWrap/>
            <w:vAlign w:val="bottom"/>
            <w:hideMark/>
          </w:tcPr>
          <w:p w:rsidR="00F51BC2" w:rsidRPr="00F51BC2" w:rsidRDefault="00F51BC2" w:rsidP="00F51BC2">
            <w:pPr>
              <w:spacing w:after="0" w:line="240" w:lineRule="auto"/>
              <w:rPr>
                <w:rFonts w:eastAsia="Times New Roman" w:cs="Times New Roman"/>
                <w:color w:val="000000"/>
                <w:szCs w:val="24"/>
                <w:lang w:val="en-US"/>
              </w:rPr>
            </w:pPr>
            <w:r w:rsidRPr="00F51BC2">
              <w:rPr>
                <w:rFonts w:eastAsia="Times New Roman" w:cs="Times New Roman"/>
                <w:color w:val="000000"/>
                <w:szCs w:val="24"/>
              </w:rPr>
              <w:t> </w:t>
            </w:r>
          </w:p>
        </w:tc>
        <w:tc>
          <w:tcPr>
            <w:tcW w:w="960" w:type="dxa"/>
            <w:shd w:val="clear" w:color="000000" w:fill="FFFFFF"/>
            <w:noWrap/>
            <w:vAlign w:val="bottom"/>
            <w:hideMark/>
          </w:tcPr>
          <w:p w:rsidR="00F51BC2" w:rsidRPr="00F51BC2" w:rsidRDefault="00F51BC2" w:rsidP="00F51BC2">
            <w:pPr>
              <w:spacing w:after="0" w:line="240" w:lineRule="auto"/>
              <w:rPr>
                <w:rFonts w:eastAsia="Times New Roman" w:cs="Times New Roman"/>
                <w:color w:val="000000"/>
                <w:szCs w:val="24"/>
                <w:lang w:val="en-US"/>
              </w:rPr>
            </w:pPr>
            <w:r w:rsidRPr="00F51BC2">
              <w:rPr>
                <w:rFonts w:eastAsia="Times New Roman" w:cs="Times New Roman"/>
                <w:color w:val="000000"/>
                <w:szCs w:val="24"/>
              </w:rPr>
              <w:t> </w:t>
            </w:r>
          </w:p>
        </w:tc>
        <w:tc>
          <w:tcPr>
            <w:tcW w:w="1076" w:type="dxa"/>
            <w:shd w:val="clear" w:color="000000" w:fill="FFFFFF"/>
            <w:noWrap/>
            <w:vAlign w:val="bottom"/>
            <w:hideMark/>
          </w:tcPr>
          <w:p w:rsidR="00F51BC2" w:rsidRPr="00F51BC2" w:rsidRDefault="00F51BC2" w:rsidP="00F51BC2">
            <w:pPr>
              <w:spacing w:after="0" w:line="240" w:lineRule="auto"/>
              <w:rPr>
                <w:rFonts w:eastAsia="Times New Roman" w:cs="Times New Roman"/>
                <w:color w:val="000000"/>
                <w:szCs w:val="24"/>
                <w:lang w:val="en-US"/>
              </w:rPr>
            </w:pPr>
            <w:r w:rsidRPr="00F51BC2">
              <w:rPr>
                <w:rFonts w:eastAsia="Times New Roman" w:cs="Times New Roman"/>
                <w:color w:val="000000"/>
                <w:szCs w:val="24"/>
              </w:rPr>
              <w:t>100.00%</w:t>
            </w:r>
          </w:p>
        </w:tc>
        <w:tc>
          <w:tcPr>
            <w:tcW w:w="1076" w:type="dxa"/>
            <w:shd w:val="clear" w:color="000000" w:fill="FFFFFF"/>
            <w:noWrap/>
            <w:vAlign w:val="bottom"/>
            <w:hideMark/>
          </w:tcPr>
          <w:p w:rsidR="00F51BC2" w:rsidRPr="00F51BC2" w:rsidRDefault="00F51BC2" w:rsidP="00F51BC2">
            <w:pPr>
              <w:spacing w:after="0" w:line="240" w:lineRule="auto"/>
              <w:rPr>
                <w:rFonts w:eastAsia="Times New Roman" w:cs="Times New Roman"/>
                <w:color w:val="000000"/>
                <w:szCs w:val="24"/>
                <w:lang w:val="en-US"/>
              </w:rPr>
            </w:pPr>
            <w:r w:rsidRPr="00F51BC2">
              <w:rPr>
                <w:rFonts w:eastAsia="Times New Roman" w:cs="Times New Roman"/>
                <w:color w:val="000000"/>
                <w:szCs w:val="24"/>
              </w:rPr>
              <w:t>131.00%</w:t>
            </w:r>
          </w:p>
        </w:tc>
        <w:tc>
          <w:tcPr>
            <w:tcW w:w="960" w:type="dxa"/>
            <w:shd w:val="clear" w:color="000000" w:fill="FFFFFF"/>
            <w:noWrap/>
            <w:vAlign w:val="bottom"/>
            <w:hideMark/>
          </w:tcPr>
          <w:p w:rsidR="00F51BC2" w:rsidRPr="00F51BC2" w:rsidRDefault="00F51BC2" w:rsidP="00F51BC2">
            <w:pPr>
              <w:spacing w:after="0" w:line="240" w:lineRule="auto"/>
              <w:rPr>
                <w:rFonts w:eastAsia="Times New Roman" w:cs="Times New Roman"/>
                <w:color w:val="000000"/>
                <w:szCs w:val="24"/>
                <w:lang w:val="en-US"/>
              </w:rPr>
            </w:pPr>
            <w:r w:rsidRPr="00F51BC2">
              <w:rPr>
                <w:rFonts w:eastAsia="Times New Roman" w:cs="Times New Roman"/>
                <w:color w:val="000000"/>
                <w:szCs w:val="24"/>
              </w:rPr>
              <w:t>142%</w:t>
            </w:r>
          </w:p>
        </w:tc>
      </w:tr>
    </w:tbl>
    <w:p w:rsidR="00DE0E45" w:rsidRDefault="00DE0E45" w:rsidP="00DE0E45">
      <w:pPr>
        <w:jc w:val="center"/>
      </w:pPr>
      <w:r>
        <w:t>Table-2-LCR</w:t>
      </w:r>
    </w:p>
    <w:p w:rsidR="00F51BC2" w:rsidRDefault="00F51BC2" w:rsidP="00F51BC2"/>
    <w:p w:rsidR="000266C1" w:rsidRDefault="000266C1" w:rsidP="000266C1">
      <w:r>
        <w:t xml:space="preserve">The liquidity condition of the bank during the period under study has been assessed in terms of the </w:t>
      </w:r>
      <w:proofErr w:type="gramStart"/>
      <w:r w:rsidRPr="00B32134">
        <w:rPr>
          <w:rFonts w:ascii="Calibri" w:eastAsia="Times New Roman" w:hAnsi="Calibri" w:cs="Times New Roman"/>
          <w:color w:val="000000"/>
          <w:lang w:val="en-US"/>
        </w:rPr>
        <w:t>LCR(</w:t>
      </w:r>
      <w:proofErr w:type="gramEnd"/>
      <w:r w:rsidRPr="00B32134">
        <w:rPr>
          <w:rFonts w:ascii="Calibri" w:eastAsia="Times New Roman" w:hAnsi="Calibri" w:cs="Times New Roman"/>
          <w:color w:val="000000"/>
          <w:lang w:val="en-US"/>
        </w:rPr>
        <w:t>Liquidity Coverage Ratio)</w:t>
      </w:r>
      <w:r>
        <w:rPr>
          <w:rFonts w:ascii="Calibri" w:eastAsia="Times New Roman" w:hAnsi="Calibri" w:cs="Times New Roman"/>
          <w:color w:val="000000"/>
          <w:lang w:val="en-US"/>
        </w:rPr>
        <w:t xml:space="preserve">.The liquidity </w:t>
      </w:r>
      <w:r w:rsidRPr="00B32134">
        <w:rPr>
          <w:rFonts w:ascii="Calibri" w:eastAsia="Times New Roman" w:hAnsi="Calibri" w:cs="Times New Roman"/>
          <w:color w:val="000000"/>
          <w:lang w:val="en-US"/>
        </w:rPr>
        <w:t>Coverage Ratio</w:t>
      </w:r>
      <w:r>
        <w:rPr>
          <w:rFonts w:ascii="Calibri" w:eastAsia="Times New Roman" w:hAnsi="Calibri" w:cs="Times New Roman"/>
          <w:color w:val="000000"/>
          <w:lang w:val="en-US"/>
        </w:rPr>
        <w:t xml:space="preserve"> has  to be maintained by the banking organization as per </w:t>
      </w:r>
      <w:r w:rsidRPr="008C0703">
        <w:t>the Basel III  requirement where the high-quality liquid assets (HQLAs)</w:t>
      </w:r>
      <w:r>
        <w:t xml:space="preserve"> of the bank should be sufficient enough for </w:t>
      </w:r>
      <w:r w:rsidRPr="008C0703">
        <w:t xml:space="preserve"> cover</w:t>
      </w:r>
      <w:r>
        <w:t>ing</w:t>
      </w:r>
      <w:r w:rsidRPr="008C0703">
        <w:t xml:space="preserve"> 100% of its stressed net cash requirements over 30 days.</w:t>
      </w:r>
      <w:r>
        <w:t xml:space="preserve"> The main purpose of maintaining this ratio is to make the bank capable to serve its creditors and other loan demanding consumers in a stressed market situation when a large number of customers of the bank have withdrawn their money from the bank. This liquidity requirement has been imposed under the Basel-III requirements on the banks of European Union where the banks have to maintained substantial amount of high quality liquid asset so that 100% of net stressed cash situation for a period of 30 days can be served </w:t>
      </w:r>
      <w:r w:rsidR="00DE0E45">
        <w:t>smoothly</w:t>
      </w:r>
      <w:r w:rsidR="00DE0E45">
        <w:rPr>
          <w:color w:val="000000" w:themeColor="text1"/>
        </w:rPr>
        <w:t xml:space="preserve"> (</w:t>
      </w:r>
      <w:proofErr w:type="spellStart"/>
      <w:r w:rsidR="009D39FF">
        <w:rPr>
          <w:color w:val="000000" w:themeColor="text1"/>
        </w:rPr>
        <w:t>Home.barclays</w:t>
      </w:r>
      <w:proofErr w:type="spellEnd"/>
      <w:r w:rsidR="009D39FF">
        <w:rPr>
          <w:color w:val="000000" w:themeColor="text1"/>
        </w:rPr>
        <w:t>, 2016</w:t>
      </w:r>
      <w:r w:rsidR="009D39FF" w:rsidRPr="009D39FF">
        <w:rPr>
          <w:color w:val="000000" w:themeColor="text1"/>
        </w:rPr>
        <w:t>)</w:t>
      </w:r>
      <w:r w:rsidR="009D39FF" w:rsidRPr="00A542E6">
        <w:rPr>
          <w:color w:val="000000" w:themeColor="text1"/>
        </w:rPr>
        <w:t>.</w:t>
      </w:r>
    </w:p>
    <w:p w:rsidR="000266C1" w:rsidRDefault="000266C1" w:rsidP="000266C1">
      <w:r>
        <w:t>As this ratio requirement has been imposed on the banks from 2015, January, so the LCR available for the bank from 2015 onwards</w:t>
      </w:r>
      <w:r w:rsidR="00943F2A">
        <w:t>.</w:t>
      </w:r>
      <w:r w:rsidRPr="00F54DF7">
        <w:t xml:space="preserve"> </w:t>
      </w:r>
    </w:p>
    <w:p w:rsidR="000266C1" w:rsidRDefault="000266C1" w:rsidP="000266C1">
      <w:r>
        <w:t xml:space="preserve">The liquidity Coverage ratio appears as a method for adding some short term elasticity to the cash holding capacity of the bank so that any short term cash crunch can be handled by the bank without disturbing the current banking operation y ensuring substantial amount of holding of the high quality liquid </w:t>
      </w:r>
      <w:r w:rsidR="00DE0E45">
        <w:t>asset (</w:t>
      </w:r>
      <w:r w:rsidR="00BA32C9">
        <w:t>Kester</w:t>
      </w:r>
      <w:r w:rsidR="00536081">
        <w:t xml:space="preserve"> and </w:t>
      </w:r>
      <w:r w:rsidR="00BA32C9">
        <w:t>Bach</w:t>
      </w:r>
      <w:r w:rsidR="00536081">
        <w:t xml:space="preserve">, </w:t>
      </w:r>
      <w:r w:rsidR="00536081" w:rsidRPr="00536081">
        <w:t>2012</w:t>
      </w:r>
      <w:r w:rsidR="00536081">
        <w:t>)</w:t>
      </w:r>
      <w:r>
        <w:t>.</w:t>
      </w:r>
    </w:p>
    <w:p w:rsidR="00765A77" w:rsidRPr="008163BA" w:rsidRDefault="00765A77" w:rsidP="00765A77">
      <w:pPr>
        <w:rPr>
          <w:color w:val="000000" w:themeColor="text1"/>
        </w:rPr>
      </w:pPr>
      <w:r w:rsidRPr="008163BA">
        <w:rPr>
          <w:color w:val="000000" w:themeColor="text1"/>
        </w:rPr>
        <w:lastRenderedPageBreak/>
        <w:t xml:space="preserve">From 2015 onwards a </w:t>
      </w:r>
      <w:r w:rsidR="00DE0E45" w:rsidRPr="008163BA">
        <w:rPr>
          <w:color w:val="000000" w:themeColor="text1"/>
        </w:rPr>
        <w:t>rising trend</w:t>
      </w:r>
      <w:r w:rsidRPr="008163BA">
        <w:rPr>
          <w:color w:val="000000" w:themeColor="text1"/>
        </w:rPr>
        <w:t xml:space="preserve"> can be observed in the LCR of </w:t>
      </w:r>
      <w:r w:rsidR="00BD594A" w:rsidRPr="008163BA">
        <w:rPr>
          <w:color w:val="000000" w:themeColor="text1"/>
        </w:rPr>
        <w:t xml:space="preserve">Barclays Bank </w:t>
      </w:r>
      <w:r w:rsidRPr="008163BA">
        <w:rPr>
          <w:color w:val="000000" w:themeColor="text1"/>
        </w:rPr>
        <w:t xml:space="preserve">and this is an indication of the fact that the high quality asset holding of the bank has registered a </w:t>
      </w:r>
      <w:r w:rsidR="00BD594A" w:rsidRPr="008163BA">
        <w:rPr>
          <w:color w:val="000000" w:themeColor="text1"/>
        </w:rPr>
        <w:t xml:space="preserve">growing </w:t>
      </w:r>
      <w:r w:rsidRPr="008163BA">
        <w:rPr>
          <w:color w:val="000000" w:themeColor="text1"/>
        </w:rPr>
        <w:t xml:space="preserve">trend </w:t>
      </w:r>
      <w:r w:rsidR="00BD594A" w:rsidRPr="008163BA">
        <w:rPr>
          <w:color w:val="000000" w:themeColor="text1"/>
        </w:rPr>
        <w:t>and the LCR ratios of the ban</w:t>
      </w:r>
      <w:r w:rsidRPr="008163BA">
        <w:rPr>
          <w:color w:val="000000" w:themeColor="text1"/>
        </w:rPr>
        <w:t xml:space="preserve">k is quite stable as the ratio suggests that </w:t>
      </w:r>
      <w:r w:rsidR="00537D09" w:rsidRPr="008163BA">
        <w:rPr>
          <w:color w:val="000000" w:themeColor="text1"/>
        </w:rPr>
        <w:t xml:space="preserve">on an average </w:t>
      </w:r>
      <w:r w:rsidRPr="008163BA">
        <w:rPr>
          <w:color w:val="000000" w:themeColor="text1"/>
        </w:rPr>
        <w:t>the high quality asset holding of the bank is more</w:t>
      </w:r>
      <w:r w:rsidR="008163BA" w:rsidRPr="008163BA">
        <w:rPr>
          <w:color w:val="000000" w:themeColor="text1"/>
        </w:rPr>
        <w:t xml:space="preserve"> than 124</w:t>
      </w:r>
      <w:r w:rsidRPr="008163BA">
        <w:rPr>
          <w:color w:val="000000" w:themeColor="text1"/>
        </w:rPr>
        <w:t>% of the stress cash situation that the bank may face with in a period of 30 days.</w:t>
      </w:r>
    </w:p>
    <w:p w:rsidR="00765A77" w:rsidRPr="008163BA" w:rsidRDefault="00765A77" w:rsidP="00765A77">
      <w:pPr>
        <w:rPr>
          <w:color w:val="000000" w:themeColor="text1"/>
        </w:rPr>
      </w:pPr>
      <w:r w:rsidRPr="008163BA">
        <w:rPr>
          <w:color w:val="000000" w:themeColor="text1"/>
        </w:rPr>
        <w:t xml:space="preserve">Thus on an average it can be suggested that the liquidity position of the chosen bank is strong enough for handling the short term stress cash situation </w:t>
      </w:r>
    </w:p>
    <w:p w:rsidR="00765A77" w:rsidRDefault="00765A77" w:rsidP="000266C1"/>
    <w:p w:rsidR="000266C1" w:rsidRDefault="00C84591" w:rsidP="00C84591">
      <w:pPr>
        <w:pStyle w:val="Heading2"/>
        <w:framePr w:wrap="around"/>
        <w:pBdr>
          <w:top w:val="single" w:sz="8" w:space="1" w:color="4F81BD" w:themeColor="accent1"/>
          <w:left w:val="single" w:sz="8" w:space="4" w:color="4F81BD" w:themeColor="accent1"/>
          <w:bottom w:val="single" w:sz="8" w:space="1" w:color="4F81BD" w:themeColor="accent1"/>
          <w:right w:val="single" w:sz="8" w:space="4" w:color="4F81BD" w:themeColor="accent1"/>
          <w:between w:val="single" w:sz="8" w:space="1" w:color="4F81BD" w:themeColor="accent1"/>
          <w:bar w:val="single" w:sz="8" w:color="4F81BD" w:themeColor="accent1"/>
        </w:pBdr>
        <w:shd w:val="clear" w:color="auto" w:fill="FDE9D9" w:themeFill="accent6" w:themeFillTint="33"/>
      </w:pPr>
      <w:bookmarkStart w:id="7" w:name="_Toc522767951"/>
      <w:r w:rsidRPr="00D85CAD">
        <w:t>Barclay’s</w:t>
      </w:r>
      <w:r w:rsidR="00D7127E">
        <w:t xml:space="preserve"> bank-Asset quality performance (5 years):</w:t>
      </w:r>
      <w:bookmarkEnd w:id="7"/>
    </w:p>
    <w:p w:rsidR="005E7FCD" w:rsidRDefault="005E7FCD" w:rsidP="005E7FCD"/>
    <w:p w:rsidR="005E7FCD" w:rsidRDefault="005E7FCD" w:rsidP="005E7FCD"/>
    <w:tbl>
      <w:tblPr>
        <w:tblW w:w="9186" w:type="dxa"/>
        <w:tblInd w:w="94"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Look w:val="04A0" w:firstRow="1" w:lastRow="0" w:firstColumn="1" w:lastColumn="0" w:noHBand="0" w:noVBand="1"/>
      </w:tblPr>
      <w:tblGrid>
        <w:gridCol w:w="4154"/>
        <w:gridCol w:w="960"/>
        <w:gridCol w:w="960"/>
        <w:gridCol w:w="1076"/>
        <w:gridCol w:w="1076"/>
        <w:gridCol w:w="960"/>
      </w:tblGrid>
      <w:tr w:rsidR="00286EA9" w:rsidRPr="00286EA9" w:rsidTr="00286EA9">
        <w:trPr>
          <w:trHeight w:val="330"/>
        </w:trPr>
        <w:tc>
          <w:tcPr>
            <w:tcW w:w="4154" w:type="dxa"/>
            <w:shd w:val="clear" w:color="000000" w:fill="FFFFFF"/>
            <w:noWrap/>
            <w:vAlign w:val="bottom"/>
            <w:hideMark/>
          </w:tcPr>
          <w:p w:rsidR="00286EA9" w:rsidRPr="00286EA9" w:rsidRDefault="00286EA9" w:rsidP="00286EA9">
            <w:pPr>
              <w:spacing w:after="0" w:line="240" w:lineRule="auto"/>
              <w:rPr>
                <w:rFonts w:eastAsia="Times New Roman" w:cs="Times New Roman"/>
                <w:color w:val="000000"/>
                <w:szCs w:val="24"/>
                <w:lang w:val="en-US"/>
              </w:rPr>
            </w:pPr>
            <w:r w:rsidRPr="00286EA9">
              <w:rPr>
                <w:rFonts w:eastAsia="Times New Roman" w:cs="Times New Roman"/>
                <w:color w:val="000000"/>
                <w:szCs w:val="24"/>
              </w:rPr>
              <w:t xml:space="preserve">ratios analysis </w:t>
            </w:r>
          </w:p>
        </w:tc>
        <w:tc>
          <w:tcPr>
            <w:tcW w:w="960" w:type="dxa"/>
            <w:shd w:val="clear" w:color="000000" w:fill="FFFFFF"/>
            <w:noWrap/>
            <w:vAlign w:val="bottom"/>
            <w:hideMark/>
          </w:tcPr>
          <w:p w:rsidR="00286EA9" w:rsidRPr="00286EA9" w:rsidRDefault="00286EA9" w:rsidP="00286EA9">
            <w:pPr>
              <w:spacing w:after="0" w:line="240" w:lineRule="auto"/>
              <w:rPr>
                <w:rFonts w:eastAsia="Times New Roman" w:cs="Times New Roman"/>
                <w:color w:val="000000"/>
                <w:szCs w:val="24"/>
                <w:lang w:val="en-US"/>
              </w:rPr>
            </w:pPr>
            <w:r w:rsidRPr="00286EA9">
              <w:rPr>
                <w:rFonts w:eastAsia="Times New Roman" w:cs="Times New Roman"/>
                <w:color w:val="000000"/>
                <w:szCs w:val="24"/>
              </w:rPr>
              <w:t>2013</w:t>
            </w:r>
          </w:p>
        </w:tc>
        <w:tc>
          <w:tcPr>
            <w:tcW w:w="960" w:type="dxa"/>
            <w:shd w:val="clear" w:color="000000" w:fill="FFFFFF"/>
            <w:noWrap/>
            <w:vAlign w:val="bottom"/>
            <w:hideMark/>
          </w:tcPr>
          <w:p w:rsidR="00286EA9" w:rsidRPr="00286EA9" w:rsidRDefault="00286EA9" w:rsidP="00286EA9">
            <w:pPr>
              <w:spacing w:after="0" w:line="240" w:lineRule="auto"/>
              <w:rPr>
                <w:rFonts w:eastAsia="Times New Roman" w:cs="Times New Roman"/>
                <w:color w:val="000000"/>
                <w:szCs w:val="24"/>
                <w:lang w:val="en-US"/>
              </w:rPr>
            </w:pPr>
            <w:r w:rsidRPr="00286EA9">
              <w:rPr>
                <w:rFonts w:eastAsia="Times New Roman" w:cs="Times New Roman"/>
                <w:color w:val="000000"/>
                <w:szCs w:val="24"/>
              </w:rPr>
              <w:t>2014</w:t>
            </w:r>
          </w:p>
        </w:tc>
        <w:tc>
          <w:tcPr>
            <w:tcW w:w="1076" w:type="dxa"/>
            <w:shd w:val="clear" w:color="000000" w:fill="FFFFFF"/>
            <w:noWrap/>
            <w:vAlign w:val="bottom"/>
            <w:hideMark/>
          </w:tcPr>
          <w:p w:rsidR="00286EA9" w:rsidRPr="00286EA9" w:rsidRDefault="00286EA9" w:rsidP="00286EA9">
            <w:pPr>
              <w:spacing w:after="0" w:line="240" w:lineRule="auto"/>
              <w:rPr>
                <w:rFonts w:eastAsia="Times New Roman" w:cs="Times New Roman"/>
                <w:color w:val="000000"/>
                <w:szCs w:val="24"/>
                <w:lang w:val="en-US"/>
              </w:rPr>
            </w:pPr>
            <w:r w:rsidRPr="00286EA9">
              <w:rPr>
                <w:rFonts w:eastAsia="Times New Roman" w:cs="Times New Roman"/>
                <w:color w:val="000000"/>
                <w:szCs w:val="24"/>
              </w:rPr>
              <w:t>2015</w:t>
            </w:r>
          </w:p>
        </w:tc>
        <w:tc>
          <w:tcPr>
            <w:tcW w:w="1076" w:type="dxa"/>
            <w:shd w:val="clear" w:color="000000" w:fill="FFFFFF"/>
            <w:noWrap/>
            <w:vAlign w:val="bottom"/>
            <w:hideMark/>
          </w:tcPr>
          <w:p w:rsidR="00286EA9" w:rsidRPr="00286EA9" w:rsidRDefault="00286EA9" w:rsidP="00286EA9">
            <w:pPr>
              <w:spacing w:after="0" w:line="240" w:lineRule="auto"/>
              <w:rPr>
                <w:rFonts w:eastAsia="Times New Roman" w:cs="Times New Roman"/>
                <w:color w:val="000000"/>
                <w:szCs w:val="24"/>
                <w:lang w:val="en-US"/>
              </w:rPr>
            </w:pPr>
            <w:r w:rsidRPr="00286EA9">
              <w:rPr>
                <w:rFonts w:eastAsia="Times New Roman" w:cs="Times New Roman"/>
                <w:color w:val="000000"/>
                <w:szCs w:val="24"/>
              </w:rPr>
              <w:t>2016</w:t>
            </w:r>
          </w:p>
        </w:tc>
        <w:tc>
          <w:tcPr>
            <w:tcW w:w="960" w:type="dxa"/>
            <w:shd w:val="clear" w:color="000000" w:fill="FFFFFF"/>
            <w:noWrap/>
            <w:vAlign w:val="bottom"/>
            <w:hideMark/>
          </w:tcPr>
          <w:p w:rsidR="00286EA9" w:rsidRPr="00286EA9" w:rsidRDefault="00286EA9" w:rsidP="00286EA9">
            <w:pPr>
              <w:spacing w:after="0" w:line="240" w:lineRule="auto"/>
              <w:rPr>
                <w:rFonts w:eastAsia="Times New Roman" w:cs="Times New Roman"/>
                <w:color w:val="000000"/>
                <w:szCs w:val="24"/>
                <w:lang w:val="en-US"/>
              </w:rPr>
            </w:pPr>
            <w:r w:rsidRPr="00286EA9">
              <w:rPr>
                <w:rFonts w:eastAsia="Times New Roman" w:cs="Times New Roman"/>
                <w:color w:val="000000"/>
                <w:szCs w:val="24"/>
              </w:rPr>
              <w:t>2017</w:t>
            </w:r>
          </w:p>
        </w:tc>
      </w:tr>
      <w:tr w:rsidR="00286EA9" w:rsidRPr="00286EA9" w:rsidTr="00286EA9">
        <w:trPr>
          <w:trHeight w:val="300"/>
        </w:trPr>
        <w:tc>
          <w:tcPr>
            <w:tcW w:w="4154" w:type="dxa"/>
            <w:shd w:val="clear" w:color="auto" w:fill="auto"/>
            <w:noWrap/>
            <w:vAlign w:val="bottom"/>
            <w:hideMark/>
          </w:tcPr>
          <w:p w:rsidR="00286EA9" w:rsidRPr="00286EA9" w:rsidRDefault="00286EA9" w:rsidP="00286EA9">
            <w:pPr>
              <w:spacing w:after="0" w:line="240" w:lineRule="auto"/>
              <w:jc w:val="left"/>
              <w:rPr>
                <w:rFonts w:eastAsia="Times New Roman" w:cs="Times New Roman"/>
                <w:color w:val="000000"/>
                <w:lang w:val="en-US"/>
              </w:rPr>
            </w:pPr>
            <w:r w:rsidRPr="00286EA9">
              <w:rPr>
                <w:rFonts w:eastAsia="Times New Roman" w:cs="Times New Roman"/>
                <w:color w:val="000000"/>
                <w:sz w:val="22"/>
                <w:lang w:val="en-US"/>
              </w:rPr>
              <w:t>Loan to deposit ratio</w:t>
            </w:r>
            <w:r w:rsidR="00F93E13" w:rsidRPr="00F93E13">
              <w:rPr>
                <w:rFonts w:eastAsia="Times New Roman" w:cs="Times New Roman"/>
                <w:color w:val="000000"/>
                <w:sz w:val="22"/>
                <w:lang w:val="en-US"/>
              </w:rPr>
              <w:t>(</w:t>
            </w:r>
            <w:r w:rsidR="00BA32C9" w:rsidRPr="00F93E13">
              <w:rPr>
                <w:rFonts w:eastAsia="Times New Roman" w:cs="Times New Roman"/>
                <w:color w:val="000000"/>
                <w:sz w:val="22"/>
                <w:lang w:val="en-US"/>
              </w:rPr>
              <w:t>Barclays</w:t>
            </w:r>
            <w:r w:rsidR="00F93E13" w:rsidRPr="00F93E13">
              <w:rPr>
                <w:rFonts w:eastAsia="Times New Roman" w:cs="Times New Roman"/>
                <w:color w:val="000000"/>
                <w:sz w:val="22"/>
                <w:lang w:val="en-US"/>
              </w:rPr>
              <w:t>, 2017)</w:t>
            </w:r>
          </w:p>
        </w:tc>
        <w:tc>
          <w:tcPr>
            <w:tcW w:w="960" w:type="dxa"/>
            <w:shd w:val="clear" w:color="auto" w:fill="auto"/>
            <w:noWrap/>
            <w:vAlign w:val="bottom"/>
            <w:hideMark/>
          </w:tcPr>
          <w:p w:rsidR="00286EA9" w:rsidRPr="00286EA9" w:rsidRDefault="00286EA9" w:rsidP="00286EA9">
            <w:pPr>
              <w:spacing w:after="0" w:line="240" w:lineRule="auto"/>
              <w:jc w:val="right"/>
              <w:rPr>
                <w:rFonts w:eastAsia="Times New Roman" w:cs="Times New Roman"/>
                <w:color w:val="000000"/>
                <w:lang w:val="en-US"/>
              </w:rPr>
            </w:pPr>
            <w:r w:rsidRPr="00286EA9">
              <w:rPr>
                <w:rFonts w:eastAsia="Times New Roman" w:cs="Times New Roman"/>
                <w:color w:val="000000"/>
                <w:sz w:val="22"/>
                <w:lang w:val="en-US"/>
              </w:rPr>
              <w:t>91%</w:t>
            </w:r>
          </w:p>
        </w:tc>
        <w:tc>
          <w:tcPr>
            <w:tcW w:w="960" w:type="dxa"/>
            <w:shd w:val="clear" w:color="auto" w:fill="auto"/>
            <w:noWrap/>
            <w:vAlign w:val="bottom"/>
            <w:hideMark/>
          </w:tcPr>
          <w:p w:rsidR="00286EA9" w:rsidRPr="00286EA9" w:rsidRDefault="00286EA9" w:rsidP="00286EA9">
            <w:pPr>
              <w:spacing w:after="0" w:line="240" w:lineRule="auto"/>
              <w:jc w:val="right"/>
              <w:rPr>
                <w:rFonts w:eastAsia="Times New Roman" w:cs="Times New Roman"/>
                <w:color w:val="000000"/>
                <w:lang w:val="en-US"/>
              </w:rPr>
            </w:pPr>
            <w:r w:rsidRPr="00286EA9">
              <w:rPr>
                <w:rFonts w:eastAsia="Times New Roman" w:cs="Times New Roman"/>
                <w:color w:val="000000"/>
                <w:sz w:val="22"/>
                <w:lang w:val="en-US"/>
              </w:rPr>
              <w:t>89%</w:t>
            </w:r>
          </w:p>
        </w:tc>
        <w:tc>
          <w:tcPr>
            <w:tcW w:w="1076" w:type="dxa"/>
            <w:shd w:val="clear" w:color="auto" w:fill="auto"/>
            <w:noWrap/>
            <w:vAlign w:val="bottom"/>
            <w:hideMark/>
          </w:tcPr>
          <w:p w:rsidR="00286EA9" w:rsidRPr="00286EA9" w:rsidRDefault="00286EA9" w:rsidP="00286EA9">
            <w:pPr>
              <w:spacing w:after="0" w:line="240" w:lineRule="auto"/>
              <w:jc w:val="right"/>
              <w:rPr>
                <w:rFonts w:eastAsia="Times New Roman" w:cs="Times New Roman"/>
                <w:color w:val="000000"/>
                <w:lang w:val="en-US"/>
              </w:rPr>
            </w:pPr>
            <w:r w:rsidRPr="00286EA9">
              <w:rPr>
                <w:rFonts w:eastAsia="Times New Roman" w:cs="Times New Roman"/>
                <w:color w:val="000000"/>
                <w:sz w:val="22"/>
                <w:lang w:val="en-US"/>
              </w:rPr>
              <w:t>95%</w:t>
            </w:r>
          </w:p>
        </w:tc>
        <w:tc>
          <w:tcPr>
            <w:tcW w:w="1076" w:type="dxa"/>
            <w:shd w:val="clear" w:color="auto" w:fill="auto"/>
            <w:noWrap/>
            <w:vAlign w:val="bottom"/>
            <w:hideMark/>
          </w:tcPr>
          <w:p w:rsidR="00286EA9" w:rsidRPr="00286EA9" w:rsidRDefault="00286EA9" w:rsidP="00286EA9">
            <w:pPr>
              <w:spacing w:after="0" w:line="240" w:lineRule="auto"/>
              <w:jc w:val="right"/>
              <w:rPr>
                <w:rFonts w:eastAsia="Times New Roman" w:cs="Times New Roman"/>
                <w:color w:val="000000"/>
                <w:lang w:val="en-US"/>
              </w:rPr>
            </w:pPr>
            <w:r w:rsidRPr="00286EA9">
              <w:rPr>
                <w:rFonts w:eastAsia="Times New Roman" w:cs="Times New Roman"/>
                <w:color w:val="000000"/>
                <w:sz w:val="22"/>
                <w:lang w:val="en-US"/>
              </w:rPr>
              <w:t>89%</w:t>
            </w:r>
          </w:p>
        </w:tc>
        <w:tc>
          <w:tcPr>
            <w:tcW w:w="960" w:type="dxa"/>
            <w:shd w:val="clear" w:color="auto" w:fill="auto"/>
            <w:noWrap/>
            <w:vAlign w:val="bottom"/>
            <w:hideMark/>
          </w:tcPr>
          <w:p w:rsidR="00286EA9" w:rsidRPr="00286EA9" w:rsidRDefault="00286EA9" w:rsidP="00286EA9">
            <w:pPr>
              <w:spacing w:after="0" w:line="240" w:lineRule="auto"/>
              <w:jc w:val="right"/>
              <w:rPr>
                <w:rFonts w:eastAsia="Times New Roman" w:cs="Times New Roman"/>
                <w:color w:val="000000"/>
                <w:lang w:val="en-US"/>
              </w:rPr>
            </w:pPr>
            <w:r w:rsidRPr="00286EA9">
              <w:rPr>
                <w:rFonts w:eastAsia="Times New Roman" w:cs="Times New Roman"/>
                <w:color w:val="000000"/>
                <w:sz w:val="22"/>
                <w:lang w:val="en-US"/>
              </w:rPr>
              <w:t>80%</w:t>
            </w:r>
          </w:p>
        </w:tc>
      </w:tr>
    </w:tbl>
    <w:p w:rsidR="005E7FCD" w:rsidRDefault="00DE0E45" w:rsidP="000A2FDB">
      <w:pPr>
        <w:jc w:val="center"/>
      </w:pPr>
      <w:r>
        <w:t>Table-3-</w:t>
      </w:r>
      <w:r w:rsidRPr="00DE0E45">
        <w:rPr>
          <w:rFonts w:eastAsia="Times New Roman" w:cs="Times New Roman"/>
          <w:color w:val="000000"/>
          <w:sz w:val="22"/>
          <w:lang w:val="en-US"/>
        </w:rPr>
        <w:t xml:space="preserve"> </w:t>
      </w:r>
      <w:r w:rsidRPr="00286EA9">
        <w:rPr>
          <w:rFonts w:eastAsia="Times New Roman" w:cs="Times New Roman"/>
          <w:color w:val="000000"/>
          <w:sz w:val="22"/>
          <w:lang w:val="en-US"/>
        </w:rPr>
        <w:t>Loan to deposit ratio</w:t>
      </w:r>
    </w:p>
    <w:p w:rsidR="0072575E" w:rsidRPr="00E73BC0" w:rsidRDefault="00261C47" w:rsidP="0072575E">
      <w:pPr>
        <w:rPr>
          <w:color w:val="000000" w:themeColor="text1"/>
        </w:rPr>
      </w:pPr>
      <w:r w:rsidRPr="00E73BC0">
        <w:rPr>
          <w:color w:val="000000" w:themeColor="text1"/>
        </w:rPr>
        <w:t xml:space="preserve">The loan-to-deposit ratio is </w:t>
      </w:r>
      <w:r w:rsidR="001961C7" w:rsidRPr="00E73BC0">
        <w:rPr>
          <w:color w:val="000000" w:themeColor="text1"/>
        </w:rPr>
        <w:t>utilised to</w:t>
      </w:r>
      <w:r w:rsidR="0072575E" w:rsidRPr="00E73BC0">
        <w:rPr>
          <w:color w:val="000000" w:themeColor="text1"/>
        </w:rPr>
        <w:t xml:space="preserve"> assess a bank's </w:t>
      </w:r>
      <w:r w:rsidR="001961C7" w:rsidRPr="00E73BC0">
        <w:rPr>
          <w:color w:val="000000" w:themeColor="text1"/>
        </w:rPr>
        <w:t xml:space="preserve">asset quality with respect to the loan given out by the </w:t>
      </w:r>
      <w:r w:rsidR="00563596" w:rsidRPr="00E73BC0">
        <w:rPr>
          <w:color w:val="000000" w:themeColor="text1"/>
        </w:rPr>
        <w:t>bank in</w:t>
      </w:r>
      <w:r w:rsidR="0014145A" w:rsidRPr="00E73BC0">
        <w:rPr>
          <w:color w:val="000000" w:themeColor="text1"/>
        </w:rPr>
        <w:t xml:space="preserve"> comparison to the available deposit </w:t>
      </w:r>
      <w:r w:rsidR="00563596" w:rsidRPr="00E73BC0">
        <w:rPr>
          <w:color w:val="000000" w:themeColor="text1"/>
        </w:rPr>
        <w:t>that is</w:t>
      </w:r>
      <w:r w:rsidR="0014145A" w:rsidRPr="00E73BC0">
        <w:rPr>
          <w:color w:val="000000" w:themeColor="text1"/>
        </w:rPr>
        <w:t xml:space="preserve"> at the disposal of the </w:t>
      </w:r>
      <w:r w:rsidR="007E62E5" w:rsidRPr="00E73BC0">
        <w:rPr>
          <w:color w:val="000000" w:themeColor="text1"/>
        </w:rPr>
        <w:t>bank for</w:t>
      </w:r>
      <w:r w:rsidR="0014145A" w:rsidRPr="00E73BC0">
        <w:rPr>
          <w:color w:val="000000" w:themeColor="text1"/>
        </w:rPr>
        <w:t xml:space="preserve"> the same period. The ratio</w:t>
      </w:r>
      <w:r w:rsidR="0072575E" w:rsidRPr="00E73BC0">
        <w:rPr>
          <w:color w:val="000000" w:themeColor="text1"/>
        </w:rPr>
        <w:t xml:space="preserve"> is expressed as a percentage. If the ratio is too high, it means that the ba</w:t>
      </w:r>
      <w:r w:rsidR="00C9012B" w:rsidRPr="00E73BC0">
        <w:rPr>
          <w:color w:val="000000" w:themeColor="text1"/>
        </w:rPr>
        <w:t xml:space="preserve">nk may not have enough liquid </w:t>
      </w:r>
      <w:r w:rsidR="00563596" w:rsidRPr="00E73BC0">
        <w:rPr>
          <w:color w:val="000000" w:themeColor="text1"/>
        </w:rPr>
        <w:t>assets</w:t>
      </w:r>
      <w:r w:rsidR="00C9012B" w:rsidRPr="00E73BC0">
        <w:rPr>
          <w:color w:val="000000" w:themeColor="text1"/>
        </w:rPr>
        <w:t xml:space="preserve"> to</w:t>
      </w:r>
      <w:r w:rsidR="0072575E" w:rsidRPr="00E73BC0">
        <w:rPr>
          <w:color w:val="000000" w:themeColor="text1"/>
        </w:rPr>
        <w:t xml:space="preserve"> cover any unforeseen</w:t>
      </w:r>
      <w:r w:rsidR="00C9012B" w:rsidRPr="00E73BC0">
        <w:rPr>
          <w:color w:val="000000" w:themeColor="text1"/>
        </w:rPr>
        <w:t xml:space="preserve"> </w:t>
      </w:r>
      <w:r w:rsidR="00563596" w:rsidRPr="00E73BC0">
        <w:rPr>
          <w:color w:val="000000" w:themeColor="text1"/>
        </w:rPr>
        <w:t>withdrawal</w:t>
      </w:r>
      <w:r w:rsidR="00C9012B" w:rsidRPr="00E73BC0">
        <w:rPr>
          <w:color w:val="000000" w:themeColor="text1"/>
        </w:rPr>
        <w:t xml:space="preserve"> demand of deposits made by the clients. On the other </w:t>
      </w:r>
      <w:r w:rsidR="00563596" w:rsidRPr="00E73BC0">
        <w:rPr>
          <w:color w:val="000000" w:themeColor="text1"/>
        </w:rPr>
        <w:t>hand if</w:t>
      </w:r>
      <w:r w:rsidR="0072575E" w:rsidRPr="00E73BC0">
        <w:rPr>
          <w:color w:val="000000" w:themeColor="text1"/>
        </w:rPr>
        <w:t xml:space="preserve"> th</w:t>
      </w:r>
      <w:r w:rsidR="00563596" w:rsidRPr="00E73BC0">
        <w:rPr>
          <w:color w:val="000000" w:themeColor="text1"/>
        </w:rPr>
        <w:t xml:space="preserve">e ratio is too low, the bank is </w:t>
      </w:r>
      <w:r w:rsidR="00C844D8" w:rsidRPr="00E73BC0">
        <w:rPr>
          <w:color w:val="000000" w:themeColor="text1"/>
        </w:rPr>
        <w:t>probably not</w:t>
      </w:r>
      <w:r w:rsidR="0072575E" w:rsidRPr="00E73BC0">
        <w:rPr>
          <w:color w:val="000000" w:themeColor="text1"/>
        </w:rPr>
        <w:t xml:space="preserve"> </w:t>
      </w:r>
      <w:r w:rsidR="00563596" w:rsidRPr="00E73BC0">
        <w:rPr>
          <w:color w:val="000000" w:themeColor="text1"/>
        </w:rPr>
        <w:t xml:space="preserve">earning as much as possible </w:t>
      </w:r>
      <w:r w:rsidR="00C844D8" w:rsidRPr="00E73BC0">
        <w:rPr>
          <w:color w:val="000000" w:themeColor="text1"/>
        </w:rPr>
        <w:t>by giving</w:t>
      </w:r>
      <w:r w:rsidR="00563596" w:rsidRPr="00E73BC0">
        <w:rPr>
          <w:color w:val="000000" w:themeColor="text1"/>
        </w:rPr>
        <w:t xml:space="preserve"> out the loan</w:t>
      </w:r>
      <w:r w:rsidR="0072575E" w:rsidRPr="00E73BC0">
        <w:rPr>
          <w:color w:val="000000" w:themeColor="text1"/>
        </w:rPr>
        <w:t>.  A loan-to-de</w:t>
      </w:r>
      <w:r w:rsidR="00C844D8" w:rsidRPr="00E73BC0">
        <w:rPr>
          <w:color w:val="000000" w:themeColor="text1"/>
        </w:rPr>
        <w:t>posit ratio of 100 percent implies</w:t>
      </w:r>
      <w:r w:rsidR="0072575E" w:rsidRPr="00E73BC0">
        <w:rPr>
          <w:color w:val="000000" w:themeColor="text1"/>
        </w:rPr>
        <w:t xml:space="preserve"> that a bank </w:t>
      </w:r>
      <w:r w:rsidR="00C844D8" w:rsidRPr="00E73BC0">
        <w:rPr>
          <w:color w:val="000000" w:themeColor="text1"/>
        </w:rPr>
        <w:t xml:space="preserve">has manage to </w:t>
      </w:r>
      <w:r w:rsidR="0072575E" w:rsidRPr="00E73BC0">
        <w:rPr>
          <w:color w:val="000000" w:themeColor="text1"/>
        </w:rPr>
        <w:t>lend one dollar to customers for every</w:t>
      </w:r>
      <w:r w:rsidR="00C844D8" w:rsidRPr="00E73BC0">
        <w:rPr>
          <w:color w:val="000000" w:themeColor="text1"/>
        </w:rPr>
        <w:t xml:space="preserve"> dollar it receives as</w:t>
      </w:r>
      <w:r w:rsidR="0072575E" w:rsidRPr="00E73BC0">
        <w:rPr>
          <w:color w:val="000000" w:themeColor="text1"/>
        </w:rPr>
        <w:t xml:space="preserve"> </w:t>
      </w:r>
      <w:r w:rsidR="00B2582D" w:rsidRPr="00E73BC0">
        <w:rPr>
          <w:color w:val="000000" w:themeColor="text1"/>
        </w:rPr>
        <w:t>deposits</w:t>
      </w:r>
      <w:r w:rsidR="00B2582D">
        <w:rPr>
          <w:color w:val="000000" w:themeColor="text1"/>
        </w:rPr>
        <w:t xml:space="preserve"> (</w:t>
      </w:r>
      <w:r w:rsidR="00B2582D" w:rsidRPr="00B2582D">
        <w:rPr>
          <w:color w:val="000000" w:themeColor="text1"/>
        </w:rPr>
        <w:t>Allen</w:t>
      </w:r>
      <w:r w:rsidR="00B2582D">
        <w:rPr>
          <w:color w:val="000000" w:themeColor="text1"/>
        </w:rPr>
        <w:t xml:space="preserve"> </w:t>
      </w:r>
      <w:r w:rsidR="00B2582D" w:rsidRPr="00B2582D">
        <w:rPr>
          <w:i/>
          <w:color w:val="000000" w:themeColor="text1"/>
        </w:rPr>
        <w:t>et al</w:t>
      </w:r>
      <w:r w:rsidR="00B2582D">
        <w:rPr>
          <w:color w:val="000000" w:themeColor="text1"/>
        </w:rPr>
        <w:t>.</w:t>
      </w:r>
      <w:r w:rsidR="00BA32C9">
        <w:rPr>
          <w:color w:val="000000" w:themeColor="text1"/>
        </w:rPr>
        <w:t>, 2012</w:t>
      </w:r>
      <w:r w:rsidR="00B2582D">
        <w:rPr>
          <w:color w:val="000000" w:themeColor="text1"/>
        </w:rPr>
        <w:t>).</w:t>
      </w:r>
    </w:p>
    <w:p w:rsidR="0072575E" w:rsidRPr="00E73BC0" w:rsidRDefault="00261C47" w:rsidP="0072575E">
      <w:pPr>
        <w:rPr>
          <w:color w:val="000000" w:themeColor="text1"/>
        </w:rPr>
      </w:pPr>
      <w:r w:rsidRPr="00E73BC0">
        <w:rPr>
          <w:color w:val="000000" w:themeColor="text1"/>
        </w:rPr>
        <w:t xml:space="preserve">As interest rate </w:t>
      </w:r>
      <w:r w:rsidR="00C844D8" w:rsidRPr="00E73BC0">
        <w:rPr>
          <w:color w:val="000000" w:themeColor="text1"/>
        </w:rPr>
        <w:t>decreases the</w:t>
      </w:r>
      <w:r w:rsidRPr="00E73BC0">
        <w:rPr>
          <w:color w:val="000000" w:themeColor="text1"/>
        </w:rPr>
        <w:t xml:space="preserve"> ratio rises and </w:t>
      </w:r>
      <w:r w:rsidR="00C844D8" w:rsidRPr="00E73BC0">
        <w:rPr>
          <w:color w:val="000000" w:themeColor="text1"/>
        </w:rPr>
        <w:t xml:space="preserve">vice versa. </w:t>
      </w:r>
      <w:r w:rsidR="00455CB5" w:rsidRPr="00E73BC0">
        <w:rPr>
          <w:color w:val="000000" w:themeColor="text1"/>
        </w:rPr>
        <w:t xml:space="preserve">The reduction in interest rate increases the activity of taking loan and decreases investment </w:t>
      </w:r>
      <w:r w:rsidR="00821373" w:rsidRPr="00E73BC0">
        <w:rPr>
          <w:color w:val="000000" w:themeColor="text1"/>
        </w:rPr>
        <w:t>activities</w:t>
      </w:r>
      <w:r w:rsidR="00821373" w:rsidRPr="00F93E13">
        <w:rPr>
          <w:rFonts w:eastAsia="Times New Roman" w:cs="Times New Roman"/>
          <w:color w:val="000000"/>
          <w:sz w:val="22"/>
          <w:lang w:val="en-US"/>
        </w:rPr>
        <w:t xml:space="preserve"> (</w:t>
      </w:r>
      <w:r w:rsidR="00BA32C9" w:rsidRPr="00F93E13">
        <w:rPr>
          <w:rFonts w:eastAsia="Times New Roman" w:cs="Times New Roman"/>
          <w:color w:val="000000"/>
          <w:sz w:val="22"/>
          <w:lang w:val="en-US"/>
        </w:rPr>
        <w:t>Barclays</w:t>
      </w:r>
      <w:r w:rsidR="00F93E13" w:rsidRPr="00F93E13">
        <w:rPr>
          <w:rFonts w:eastAsia="Times New Roman" w:cs="Times New Roman"/>
          <w:color w:val="000000"/>
          <w:sz w:val="22"/>
          <w:lang w:val="en-US"/>
        </w:rPr>
        <w:t>, 201</w:t>
      </w:r>
      <w:r w:rsidR="00821373">
        <w:rPr>
          <w:rFonts w:eastAsia="Times New Roman" w:cs="Times New Roman"/>
          <w:color w:val="000000"/>
          <w:sz w:val="22"/>
          <w:lang w:val="en-US"/>
        </w:rPr>
        <w:t>4</w:t>
      </w:r>
      <w:r w:rsidR="00F93E13" w:rsidRPr="00F93E13">
        <w:rPr>
          <w:rFonts w:eastAsia="Times New Roman" w:cs="Times New Roman"/>
          <w:color w:val="000000"/>
          <w:sz w:val="22"/>
          <w:lang w:val="en-US"/>
        </w:rPr>
        <w:t>)</w:t>
      </w:r>
      <w:r w:rsidR="00455CB5" w:rsidRPr="00E73BC0">
        <w:rPr>
          <w:color w:val="000000" w:themeColor="text1"/>
        </w:rPr>
        <w:t>.</w:t>
      </w:r>
    </w:p>
    <w:p w:rsidR="000031AA" w:rsidRDefault="000031AA" w:rsidP="0072575E">
      <w:pPr>
        <w:rPr>
          <w:color w:val="000000" w:themeColor="text1"/>
        </w:rPr>
      </w:pPr>
      <w:r w:rsidRPr="00E73BC0">
        <w:rPr>
          <w:color w:val="000000" w:themeColor="text1"/>
        </w:rPr>
        <w:t xml:space="preserve">In case  of the Barclays Bank a </w:t>
      </w:r>
      <w:r w:rsidR="000F16FB" w:rsidRPr="00E73BC0">
        <w:rPr>
          <w:color w:val="000000" w:themeColor="text1"/>
        </w:rPr>
        <w:t>s</w:t>
      </w:r>
      <w:r w:rsidRPr="00E73BC0">
        <w:rPr>
          <w:color w:val="000000" w:themeColor="text1"/>
        </w:rPr>
        <w:t xml:space="preserve">light declining trend can be observed in </w:t>
      </w:r>
      <w:r w:rsidR="000F16FB" w:rsidRPr="00E73BC0">
        <w:rPr>
          <w:color w:val="000000" w:themeColor="text1"/>
        </w:rPr>
        <w:t xml:space="preserve">loan-to-deposit ratio of the bank over years during the period of study from 2013-2017 and this indicates that the bank </w:t>
      </w:r>
      <w:r w:rsidR="00943F70" w:rsidRPr="00E73BC0">
        <w:rPr>
          <w:color w:val="000000" w:themeColor="text1"/>
        </w:rPr>
        <w:t xml:space="preserve">is controlling their loan offering capacity in a post brexit environment due to </w:t>
      </w:r>
      <w:r w:rsidR="00C738B2" w:rsidRPr="00E73BC0">
        <w:rPr>
          <w:color w:val="000000" w:themeColor="text1"/>
        </w:rPr>
        <w:t>reduction in deposit volume of the bank</w:t>
      </w:r>
      <w:r w:rsidR="00821373" w:rsidRPr="00F93E13">
        <w:rPr>
          <w:rFonts w:eastAsia="Times New Roman" w:cs="Times New Roman"/>
          <w:color w:val="000000"/>
          <w:sz w:val="22"/>
          <w:lang w:val="en-US"/>
        </w:rPr>
        <w:t>(</w:t>
      </w:r>
      <w:r w:rsidR="00BA32C9" w:rsidRPr="00F93E13">
        <w:rPr>
          <w:rFonts w:eastAsia="Times New Roman" w:cs="Times New Roman"/>
          <w:color w:val="000000"/>
          <w:sz w:val="22"/>
          <w:lang w:val="en-US"/>
        </w:rPr>
        <w:t>Barclays</w:t>
      </w:r>
      <w:r w:rsidR="00821373" w:rsidRPr="00F93E13">
        <w:rPr>
          <w:rFonts w:eastAsia="Times New Roman" w:cs="Times New Roman"/>
          <w:color w:val="000000"/>
          <w:sz w:val="22"/>
          <w:lang w:val="en-US"/>
        </w:rPr>
        <w:t>, 201</w:t>
      </w:r>
      <w:r w:rsidR="00821373">
        <w:rPr>
          <w:rFonts w:eastAsia="Times New Roman" w:cs="Times New Roman"/>
          <w:color w:val="000000"/>
          <w:sz w:val="22"/>
          <w:lang w:val="en-US"/>
        </w:rPr>
        <w:t>5</w:t>
      </w:r>
      <w:r w:rsidR="00821373" w:rsidRPr="00F93E13">
        <w:rPr>
          <w:rFonts w:eastAsia="Times New Roman" w:cs="Times New Roman"/>
          <w:color w:val="000000"/>
          <w:sz w:val="22"/>
          <w:lang w:val="en-US"/>
        </w:rPr>
        <w:t>)</w:t>
      </w:r>
      <w:r w:rsidR="00C738B2" w:rsidRPr="00E73BC0">
        <w:rPr>
          <w:color w:val="000000" w:themeColor="text1"/>
        </w:rPr>
        <w:t>.</w:t>
      </w:r>
    </w:p>
    <w:p w:rsidR="00BA32C9" w:rsidRPr="00E73BC0" w:rsidRDefault="00BA32C9" w:rsidP="0072575E">
      <w:pPr>
        <w:rPr>
          <w:color w:val="000000" w:themeColor="text1"/>
        </w:rPr>
      </w:pPr>
    </w:p>
    <w:p w:rsidR="00286EA9" w:rsidRDefault="00286EA9" w:rsidP="007A6CE8">
      <w:pPr>
        <w:pStyle w:val="Heading2"/>
        <w:framePr w:wrap="around"/>
        <w:pBdr>
          <w:top w:val="single" w:sz="8" w:space="1" w:color="4F81BD" w:themeColor="accent1"/>
          <w:left w:val="single" w:sz="8" w:space="4" w:color="4F81BD" w:themeColor="accent1"/>
          <w:bottom w:val="single" w:sz="8" w:space="1" w:color="4F81BD" w:themeColor="accent1"/>
          <w:right w:val="single" w:sz="8" w:space="4" w:color="4F81BD" w:themeColor="accent1"/>
          <w:between w:val="single" w:sz="8" w:space="0" w:color="4F81BD" w:themeColor="accent1"/>
          <w:bar w:val="single" w:sz="8" w:color="4F81BD" w:themeColor="accent1"/>
        </w:pBdr>
        <w:shd w:val="clear" w:color="auto" w:fill="FDE9D9" w:themeFill="accent6" w:themeFillTint="33"/>
      </w:pPr>
      <w:bookmarkStart w:id="8" w:name="_Toc522767952"/>
      <w:r>
        <w:t>Comparison:</w:t>
      </w:r>
      <w:r w:rsidRPr="00286EA9">
        <w:t xml:space="preserve"> </w:t>
      </w:r>
      <w:r w:rsidRPr="00D85CAD">
        <w:t>Barclay’s</w:t>
      </w:r>
      <w:r>
        <w:t xml:space="preserve"> bank &amp; </w:t>
      </w:r>
      <w:r w:rsidR="007A6CE8">
        <w:t>RBS (Royal Bank of Scotland)</w:t>
      </w:r>
      <w:bookmarkEnd w:id="8"/>
    </w:p>
    <w:p w:rsidR="007A6CE8" w:rsidRDefault="007A6CE8" w:rsidP="007A6CE8"/>
    <w:p w:rsidR="007A6CE8" w:rsidRDefault="007A6CE8" w:rsidP="007A6CE8"/>
    <w:p w:rsidR="007A6CE8" w:rsidRPr="00492E11" w:rsidRDefault="007A6CE8" w:rsidP="007A6CE8">
      <w:pPr>
        <w:rPr>
          <w:u w:val="single"/>
        </w:rPr>
      </w:pPr>
      <w:r w:rsidRPr="00492E11">
        <w:rPr>
          <w:u w:val="single"/>
        </w:rPr>
        <w:t>Common equity tier 1 capital ratio, CET-1:</w:t>
      </w:r>
    </w:p>
    <w:tbl>
      <w:tblPr>
        <w:tblW w:w="8952" w:type="dxa"/>
        <w:tblInd w:w="95"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Look w:val="04A0" w:firstRow="1" w:lastRow="0" w:firstColumn="1" w:lastColumn="0" w:noHBand="0" w:noVBand="1"/>
      </w:tblPr>
      <w:tblGrid>
        <w:gridCol w:w="4152"/>
        <w:gridCol w:w="960"/>
        <w:gridCol w:w="960"/>
        <w:gridCol w:w="960"/>
        <w:gridCol w:w="960"/>
        <w:gridCol w:w="960"/>
      </w:tblGrid>
      <w:tr w:rsidR="00C471BB" w:rsidRPr="007E09D1" w:rsidTr="00CE4ECF">
        <w:trPr>
          <w:trHeight w:val="330"/>
        </w:trPr>
        <w:tc>
          <w:tcPr>
            <w:tcW w:w="4152" w:type="dxa"/>
            <w:shd w:val="clear" w:color="000000" w:fill="FFFFFF"/>
            <w:noWrap/>
            <w:vAlign w:val="bottom"/>
            <w:hideMark/>
          </w:tcPr>
          <w:p w:rsidR="00C471BB" w:rsidRPr="007E09D1" w:rsidRDefault="00CD0816" w:rsidP="00CE4ECF">
            <w:pPr>
              <w:spacing w:after="0" w:line="240" w:lineRule="auto"/>
              <w:rPr>
                <w:rFonts w:eastAsia="Times New Roman" w:cs="Times New Roman"/>
                <w:color w:val="000000"/>
                <w:szCs w:val="24"/>
                <w:lang w:val="en-US"/>
              </w:rPr>
            </w:pPr>
            <w:r w:rsidRPr="00D85CAD">
              <w:t>Barclays</w:t>
            </w:r>
            <w:r>
              <w:t xml:space="preserve"> bank</w:t>
            </w:r>
          </w:p>
        </w:tc>
        <w:tc>
          <w:tcPr>
            <w:tcW w:w="960" w:type="dxa"/>
            <w:shd w:val="clear" w:color="000000" w:fill="FFFFFF"/>
            <w:noWrap/>
            <w:vAlign w:val="bottom"/>
            <w:hideMark/>
          </w:tcPr>
          <w:p w:rsidR="00C471BB" w:rsidRPr="007E09D1" w:rsidRDefault="00C471BB" w:rsidP="00CE4ECF">
            <w:pPr>
              <w:spacing w:after="0" w:line="240" w:lineRule="auto"/>
              <w:rPr>
                <w:rFonts w:eastAsia="Times New Roman" w:cs="Times New Roman"/>
                <w:color w:val="000000"/>
                <w:szCs w:val="24"/>
                <w:lang w:val="en-US"/>
              </w:rPr>
            </w:pPr>
            <w:r w:rsidRPr="007E09D1">
              <w:rPr>
                <w:rFonts w:eastAsia="Times New Roman" w:cs="Times New Roman"/>
                <w:color w:val="000000"/>
                <w:szCs w:val="24"/>
              </w:rPr>
              <w:t>2013</w:t>
            </w:r>
          </w:p>
        </w:tc>
        <w:tc>
          <w:tcPr>
            <w:tcW w:w="960" w:type="dxa"/>
            <w:shd w:val="clear" w:color="000000" w:fill="FFFFFF"/>
            <w:noWrap/>
            <w:vAlign w:val="bottom"/>
            <w:hideMark/>
          </w:tcPr>
          <w:p w:rsidR="00C471BB" w:rsidRPr="007E09D1" w:rsidRDefault="00C471BB" w:rsidP="00CE4ECF">
            <w:pPr>
              <w:spacing w:after="0" w:line="240" w:lineRule="auto"/>
              <w:rPr>
                <w:rFonts w:eastAsia="Times New Roman" w:cs="Times New Roman"/>
                <w:color w:val="000000"/>
                <w:szCs w:val="24"/>
                <w:lang w:val="en-US"/>
              </w:rPr>
            </w:pPr>
            <w:r w:rsidRPr="007E09D1">
              <w:rPr>
                <w:rFonts w:eastAsia="Times New Roman" w:cs="Times New Roman"/>
                <w:color w:val="000000"/>
                <w:szCs w:val="24"/>
              </w:rPr>
              <w:t>2014</w:t>
            </w:r>
          </w:p>
        </w:tc>
        <w:tc>
          <w:tcPr>
            <w:tcW w:w="960" w:type="dxa"/>
            <w:shd w:val="clear" w:color="000000" w:fill="FFFFFF"/>
            <w:noWrap/>
            <w:vAlign w:val="bottom"/>
            <w:hideMark/>
          </w:tcPr>
          <w:p w:rsidR="00C471BB" w:rsidRPr="007E09D1" w:rsidRDefault="00C471BB" w:rsidP="00CE4ECF">
            <w:pPr>
              <w:spacing w:after="0" w:line="240" w:lineRule="auto"/>
              <w:rPr>
                <w:rFonts w:eastAsia="Times New Roman" w:cs="Times New Roman"/>
                <w:color w:val="000000"/>
                <w:szCs w:val="24"/>
                <w:lang w:val="en-US"/>
              </w:rPr>
            </w:pPr>
            <w:r w:rsidRPr="007E09D1">
              <w:rPr>
                <w:rFonts w:eastAsia="Times New Roman" w:cs="Times New Roman"/>
                <w:color w:val="000000"/>
                <w:szCs w:val="24"/>
              </w:rPr>
              <w:t>2015</w:t>
            </w:r>
          </w:p>
        </w:tc>
        <w:tc>
          <w:tcPr>
            <w:tcW w:w="960" w:type="dxa"/>
            <w:shd w:val="clear" w:color="000000" w:fill="FFFFFF"/>
            <w:noWrap/>
            <w:vAlign w:val="bottom"/>
            <w:hideMark/>
          </w:tcPr>
          <w:p w:rsidR="00C471BB" w:rsidRPr="007E09D1" w:rsidRDefault="00C471BB" w:rsidP="00CE4ECF">
            <w:pPr>
              <w:spacing w:after="0" w:line="240" w:lineRule="auto"/>
              <w:rPr>
                <w:rFonts w:eastAsia="Times New Roman" w:cs="Times New Roman"/>
                <w:color w:val="000000"/>
                <w:szCs w:val="24"/>
                <w:lang w:val="en-US"/>
              </w:rPr>
            </w:pPr>
            <w:r w:rsidRPr="007E09D1">
              <w:rPr>
                <w:rFonts w:eastAsia="Times New Roman" w:cs="Times New Roman"/>
                <w:color w:val="000000"/>
                <w:szCs w:val="24"/>
              </w:rPr>
              <w:t>2016</w:t>
            </w:r>
          </w:p>
        </w:tc>
        <w:tc>
          <w:tcPr>
            <w:tcW w:w="960" w:type="dxa"/>
            <w:shd w:val="clear" w:color="000000" w:fill="FFFFFF"/>
            <w:noWrap/>
            <w:vAlign w:val="bottom"/>
            <w:hideMark/>
          </w:tcPr>
          <w:p w:rsidR="00C471BB" w:rsidRPr="007E09D1" w:rsidRDefault="00C471BB" w:rsidP="00CE4ECF">
            <w:pPr>
              <w:spacing w:after="0" w:line="240" w:lineRule="auto"/>
              <w:rPr>
                <w:rFonts w:eastAsia="Times New Roman" w:cs="Times New Roman"/>
                <w:color w:val="000000"/>
                <w:szCs w:val="24"/>
                <w:lang w:val="en-US"/>
              </w:rPr>
            </w:pPr>
            <w:r w:rsidRPr="007E09D1">
              <w:rPr>
                <w:rFonts w:eastAsia="Times New Roman" w:cs="Times New Roman"/>
                <w:color w:val="000000"/>
                <w:szCs w:val="24"/>
              </w:rPr>
              <w:t>2017</w:t>
            </w:r>
          </w:p>
        </w:tc>
      </w:tr>
      <w:tr w:rsidR="00C471BB" w:rsidRPr="007E09D1" w:rsidTr="00CE4ECF">
        <w:trPr>
          <w:trHeight w:val="645"/>
        </w:trPr>
        <w:tc>
          <w:tcPr>
            <w:tcW w:w="4152" w:type="dxa"/>
            <w:shd w:val="clear" w:color="000000" w:fill="FFFFFF"/>
            <w:noWrap/>
            <w:vAlign w:val="bottom"/>
            <w:hideMark/>
          </w:tcPr>
          <w:p w:rsidR="00C471BB" w:rsidRPr="007E09D1" w:rsidRDefault="00C471BB" w:rsidP="00CE4ECF">
            <w:pPr>
              <w:spacing w:after="0" w:line="240" w:lineRule="auto"/>
              <w:rPr>
                <w:rFonts w:eastAsia="Times New Roman" w:cs="Times New Roman"/>
                <w:color w:val="000000"/>
                <w:szCs w:val="24"/>
                <w:lang w:val="en-US"/>
              </w:rPr>
            </w:pPr>
            <w:r w:rsidRPr="007E09D1">
              <w:rPr>
                <w:rFonts w:eastAsia="Times New Roman" w:cs="Times New Roman"/>
                <w:color w:val="000000"/>
                <w:szCs w:val="24"/>
              </w:rPr>
              <w:t>common equity tier 1 capital ratios ,CET-1</w:t>
            </w:r>
          </w:p>
        </w:tc>
        <w:tc>
          <w:tcPr>
            <w:tcW w:w="960" w:type="dxa"/>
            <w:shd w:val="clear" w:color="000000" w:fill="FFFFFF"/>
            <w:noWrap/>
            <w:vAlign w:val="bottom"/>
            <w:hideMark/>
          </w:tcPr>
          <w:p w:rsidR="00C471BB" w:rsidRPr="007E09D1" w:rsidRDefault="00C471BB" w:rsidP="00CE4ECF">
            <w:pPr>
              <w:spacing w:after="0" w:line="240" w:lineRule="auto"/>
              <w:rPr>
                <w:rFonts w:eastAsia="Times New Roman" w:cs="Times New Roman"/>
                <w:color w:val="000000"/>
                <w:szCs w:val="24"/>
                <w:lang w:val="en-US"/>
              </w:rPr>
            </w:pPr>
            <w:r w:rsidRPr="007E09D1">
              <w:rPr>
                <w:rFonts w:eastAsia="Times New Roman" w:cs="Times New Roman"/>
                <w:color w:val="000000"/>
                <w:szCs w:val="24"/>
              </w:rPr>
              <w:t>9.10%</w:t>
            </w:r>
          </w:p>
        </w:tc>
        <w:tc>
          <w:tcPr>
            <w:tcW w:w="960" w:type="dxa"/>
            <w:shd w:val="clear" w:color="000000" w:fill="FFFFFF"/>
            <w:noWrap/>
            <w:vAlign w:val="bottom"/>
            <w:hideMark/>
          </w:tcPr>
          <w:p w:rsidR="00C471BB" w:rsidRPr="007E09D1" w:rsidRDefault="00C471BB" w:rsidP="00CE4ECF">
            <w:pPr>
              <w:spacing w:after="0" w:line="240" w:lineRule="auto"/>
              <w:rPr>
                <w:rFonts w:eastAsia="Times New Roman" w:cs="Times New Roman"/>
                <w:color w:val="000000"/>
                <w:szCs w:val="24"/>
                <w:lang w:val="en-US"/>
              </w:rPr>
            </w:pPr>
            <w:r w:rsidRPr="007E09D1">
              <w:rPr>
                <w:rFonts w:eastAsia="Times New Roman" w:cs="Times New Roman"/>
                <w:color w:val="000000"/>
                <w:szCs w:val="24"/>
                <w:lang w:val="en-US"/>
              </w:rPr>
              <w:t>10.30%</w:t>
            </w:r>
          </w:p>
        </w:tc>
        <w:tc>
          <w:tcPr>
            <w:tcW w:w="960" w:type="dxa"/>
            <w:shd w:val="clear" w:color="000000" w:fill="FFFFFF"/>
            <w:noWrap/>
            <w:vAlign w:val="bottom"/>
            <w:hideMark/>
          </w:tcPr>
          <w:p w:rsidR="00C471BB" w:rsidRPr="007E09D1" w:rsidRDefault="00C471BB" w:rsidP="00CE4ECF">
            <w:pPr>
              <w:spacing w:after="0" w:line="240" w:lineRule="auto"/>
              <w:rPr>
                <w:rFonts w:eastAsia="Times New Roman" w:cs="Times New Roman"/>
                <w:color w:val="000000"/>
                <w:szCs w:val="24"/>
                <w:lang w:val="en-US"/>
              </w:rPr>
            </w:pPr>
            <w:r w:rsidRPr="007E09D1">
              <w:rPr>
                <w:rFonts w:eastAsia="Times New Roman" w:cs="Times New Roman"/>
                <w:color w:val="000000"/>
                <w:szCs w:val="24"/>
              </w:rPr>
              <w:t>11.40%</w:t>
            </w:r>
          </w:p>
        </w:tc>
        <w:tc>
          <w:tcPr>
            <w:tcW w:w="960" w:type="dxa"/>
            <w:shd w:val="clear" w:color="000000" w:fill="FFFFFF"/>
            <w:noWrap/>
            <w:vAlign w:val="bottom"/>
            <w:hideMark/>
          </w:tcPr>
          <w:p w:rsidR="00C471BB" w:rsidRPr="007E09D1" w:rsidRDefault="00C471BB" w:rsidP="00CE4ECF">
            <w:pPr>
              <w:spacing w:after="0" w:line="240" w:lineRule="auto"/>
              <w:rPr>
                <w:rFonts w:eastAsia="Times New Roman" w:cs="Times New Roman"/>
                <w:color w:val="000000"/>
                <w:szCs w:val="24"/>
                <w:lang w:val="en-US"/>
              </w:rPr>
            </w:pPr>
            <w:r w:rsidRPr="007E09D1">
              <w:rPr>
                <w:rFonts w:eastAsia="Times New Roman" w:cs="Times New Roman"/>
                <w:color w:val="000000"/>
                <w:szCs w:val="24"/>
              </w:rPr>
              <w:t>12.40%</w:t>
            </w:r>
          </w:p>
        </w:tc>
        <w:tc>
          <w:tcPr>
            <w:tcW w:w="960" w:type="dxa"/>
            <w:shd w:val="clear" w:color="000000" w:fill="FFFFFF"/>
            <w:noWrap/>
            <w:vAlign w:val="bottom"/>
            <w:hideMark/>
          </w:tcPr>
          <w:p w:rsidR="00C471BB" w:rsidRPr="007E09D1" w:rsidRDefault="00C471BB" w:rsidP="00CE4ECF">
            <w:pPr>
              <w:spacing w:after="0" w:line="240" w:lineRule="auto"/>
              <w:rPr>
                <w:rFonts w:eastAsia="Times New Roman" w:cs="Times New Roman"/>
                <w:color w:val="000000"/>
                <w:szCs w:val="24"/>
                <w:lang w:val="en-US"/>
              </w:rPr>
            </w:pPr>
            <w:r w:rsidRPr="007E09D1">
              <w:rPr>
                <w:rFonts w:eastAsia="Times New Roman" w:cs="Times New Roman"/>
                <w:color w:val="000000"/>
                <w:szCs w:val="24"/>
              </w:rPr>
              <w:t>13.30%</w:t>
            </w:r>
          </w:p>
        </w:tc>
      </w:tr>
    </w:tbl>
    <w:p w:rsidR="007A6CE8" w:rsidRDefault="00EB44B5" w:rsidP="00EB44B5">
      <w:pPr>
        <w:jc w:val="center"/>
      </w:pPr>
      <w:r>
        <w:t>Table-4-</w:t>
      </w:r>
      <w:r w:rsidRPr="00EB44B5">
        <w:rPr>
          <w:rFonts w:eastAsia="Times New Roman" w:cs="Times New Roman"/>
          <w:color w:val="000000"/>
          <w:szCs w:val="24"/>
        </w:rPr>
        <w:t xml:space="preserve"> </w:t>
      </w:r>
      <w:r w:rsidRPr="007E09D1">
        <w:rPr>
          <w:rFonts w:eastAsia="Times New Roman" w:cs="Times New Roman"/>
          <w:color w:val="000000"/>
          <w:szCs w:val="24"/>
        </w:rPr>
        <w:t>CET-1</w:t>
      </w:r>
      <w:r>
        <w:rPr>
          <w:rFonts w:eastAsia="Times New Roman" w:cs="Times New Roman"/>
          <w:color w:val="000000"/>
          <w:szCs w:val="24"/>
        </w:rPr>
        <w:t>-</w:t>
      </w:r>
      <w:r w:rsidRPr="00EB44B5">
        <w:t xml:space="preserve"> </w:t>
      </w:r>
      <w:r w:rsidRPr="00D85CAD">
        <w:t>Barclays</w:t>
      </w:r>
      <w:r>
        <w:t xml:space="preserve"> bank</w:t>
      </w:r>
    </w:p>
    <w:tbl>
      <w:tblPr>
        <w:tblW w:w="7020" w:type="dxa"/>
        <w:jc w:val="center"/>
        <w:tblLook w:val="04A0" w:firstRow="1" w:lastRow="0" w:firstColumn="1" w:lastColumn="0" w:noHBand="0" w:noVBand="1"/>
      </w:tblPr>
      <w:tblGrid>
        <w:gridCol w:w="2220"/>
        <w:gridCol w:w="960"/>
        <w:gridCol w:w="960"/>
        <w:gridCol w:w="960"/>
        <w:gridCol w:w="960"/>
        <w:gridCol w:w="960"/>
      </w:tblGrid>
      <w:tr w:rsidR="00CD0816" w:rsidRPr="00CD0816" w:rsidTr="00EB44B5">
        <w:trPr>
          <w:trHeight w:val="330"/>
          <w:jc w:val="center"/>
        </w:trPr>
        <w:tc>
          <w:tcPr>
            <w:tcW w:w="2220" w:type="dxa"/>
            <w:tcBorders>
              <w:top w:val="single" w:sz="8" w:space="0" w:color="auto"/>
              <w:left w:val="single" w:sz="8" w:space="0" w:color="auto"/>
              <w:bottom w:val="single" w:sz="8" w:space="0" w:color="auto"/>
              <w:right w:val="single" w:sz="8" w:space="0" w:color="auto"/>
            </w:tcBorders>
            <w:shd w:val="clear" w:color="auto" w:fill="auto"/>
            <w:noWrap/>
            <w:hideMark/>
          </w:tcPr>
          <w:p w:rsidR="00CD0816" w:rsidRPr="00CD0816" w:rsidRDefault="00CD0816" w:rsidP="00CD0816">
            <w:pPr>
              <w:spacing w:after="0" w:line="240" w:lineRule="auto"/>
              <w:rPr>
                <w:rFonts w:eastAsia="Times New Roman" w:cs="Times New Roman"/>
                <w:color w:val="000000"/>
                <w:szCs w:val="24"/>
                <w:lang w:val="en-US"/>
              </w:rPr>
            </w:pPr>
            <w:r w:rsidRPr="00CD0816">
              <w:rPr>
                <w:rFonts w:eastAsia="Times New Roman" w:cs="Times New Roman"/>
                <w:color w:val="000000"/>
                <w:szCs w:val="24"/>
                <w:lang w:val="en-US"/>
              </w:rPr>
              <w:t> </w:t>
            </w:r>
            <w:r w:rsidRPr="00E4710F">
              <w:rPr>
                <w:rFonts w:eastAsia="Times New Roman" w:cs="Times New Roman"/>
                <w:color w:val="000000"/>
                <w:szCs w:val="24"/>
                <w:lang w:val="en-US"/>
              </w:rPr>
              <w:t>RBS-Royal Bank of Scotland</w:t>
            </w:r>
          </w:p>
        </w:tc>
        <w:tc>
          <w:tcPr>
            <w:tcW w:w="960" w:type="dxa"/>
            <w:tcBorders>
              <w:top w:val="single" w:sz="8" w:space="0" w:color="auto"/>
              <w:left w:val="nil"/>
              <w:bottom w:val="single" w:sz="8" w:space="0" w:color="auto"/>
              <w:right w:val="single" w:sz="8" w:space="0" w:color="auto"/>
            </w:tcBorders>
            <w:shd w:val="clear" w:color="auto" w:fill="auto"/>
            <w:noWrap/>
            <w:hideMark/>
          </w:tcPr>
          <w:p w:rsidR="00CD0816" w:rsidRPr="00CD0816" w:rsidRDefault="00CD0816" w:rsidP="00CD0816">
            <w:pPr>
              <w:spacing w:after="0" w:line="240" w:lineRule="auto"/>
              <w:jc w:val="right"/>
              <w:rPr>
                <w:rFonts w:eastAsia="Times New Roman" w:cs="Times New Roman"/>
                <w:color w:val="000000"/>
                <w:szCs w:val="24"/>
                <w:lang w:val="en-US"/>
              </w:rPr>
            </w:pPr>
            <w:r w:rsidRPr="00CD0816">
              <w:rPr>
                <w:rFonts w:eastAsia="Times New Roman" w:cs="Times New Roman"/>
                <w:color w:val="000000"/>
                <w:szCs w:val="24"/>
                <w:lang w:val="en-US"/>
              </w:rPr>
              <w:t>2013</w:t>
            </w:r>
          </w:p>
        </w:tc>
        <w:tc>
          <w:tcPr>
            <w:tcW w:w="960" w:type="dxa"/>
            <w:tcBorders>
              <w:top w:val="single" w:sz="8" w:space="0" w:color="auto"/>
              <w:left w:val="nil"/>
              <w:bottom w:val="single" w:sz="8" w:space="0" w:color="auto"/>
              <w:right w:val="single" w:sz="8" w:space="0" w:color="auto"/>
            </w:tcBorders>
            <w:shd w:val="clear" w:color="auto" w:fill="auto"/>
            <w:noWrap/>
            <w:hideMark/>
          </w:tcPr>
          <w:p w:rsidR="00CD0816" w:rsidRPr="00CD0816" w:rsidRDefault="00CD0816" w:rsidP="00CD0816">
            <w:pPr>
              <w:spacing w:after="0" w:line="240" w:lineRule="auto"/>
              <w:jc w:val="right"/>
              <w:rPr>
                <w:rFonts w:eastAsia="Times New Roman" w:cs="Times New Roman"/>
                <w:color w:val="000000"/>
                <w:szCs w:val="24"/>
                <w:lang w:val="en-US"/>
              </w:rPr>
            </w:pPr>
            <w:r w:rsidRPr="00CD0816">
              <w:rPr>
                <w:rFonts w:eastAsia="Times New Roman" w:cs="Times New Roman"/>
                <w:color w:val="000000"/>
                <w:szCs w:val="24"/>
                <w:lang w:val="en-US"/>
              </w:rPr>
              <w:t>2014</w:t>
            </w:r>
          </w:p>
        </w:tc>
        <w:tc>
          <w:tcPr>
            <w:tcW w:w="960" w:type="dxa"/>
            <w:tcBorders>
              <w:top w:val="single" w:sz="8" w:space="0" w:color="auto"/>
              <w:left w:val="nil"/>
              <w:bottom w:val="single" w:sz="8" w:space="0" w:color="auto"/>
              <w:right w:val="single" w:sz="8" w:space="0" w:color="auto"/>
            </w:tcBorders>
            <w:shd w:val="clear" w:color="auto" w:fill="auto"/>
            <w:noWrap/>
            <w:hideMark/>
          </w:tcPr>
          <w:p w:rsidR="00CD0816" w:rsidRPr="00CD0816" w:rsidRDefault="00CD0816" w:rsidP="00CD0816">
            <w:pPr>
              <w:spacing w:after="0" w:line="240" w:lineRule="auto"/>
              <w:jc w:val="right"/>
              <w:rPr>
                <w:rFonts w:eastAsia="Times New Roman" w:cs="Times New Roman"/>
                <w:color w:val="000000"/>
                <w:szCs w:val="24"/>
                <w:lang w:val="en-US"/>
              </w:rPr>
            </w:pPr>
            <w:r w:rsidRPr="00CD0816">
              <w:rPr>
                <w:rFonts w:eastAsia="Times New Roman" w:cs="Times New Roman"/>
                <w:color w:val="000000"/>
                <w:szCs w:val="24"/>
                <w:lang w:val="en-US"/>
              </w:rPr>
              <w:t>2015</w:t>
            </w:r>
          </w:p>
        </w:tc>
        <w:tc>
          <w:tcPr>
            <w:tcW w:w="960" w:type="dxa"/>
            <w:tcBorders>
              <w:top w:val="single" w:sz="8" w:space="0" w:color="auto"/>
              <w:left w:val="nil"/>
              <w:bottom w:val="single" w:sz="8" w:space="0" w:color="auto"/>
              <w:right w:val="single" w:sz="8" w:space="0" w:color="auto"/>
            </w:tcBorders>
            <w:shd w:val="clear" w:color="auto" w:fill="auto"/>
            <w:noWrap/>
            <w:hideMark/>
          </w:tcPr>
          <w:p w:rsidR="00CD0816" w:rsidRPr="00CD0816" w:rsidRDefault="00CD0816" w:rsidP="00CD0816">
            <w:pPr>
              <w:spacing w:after="0" w:line="240" w:lineRule="auto"/>
              <w:jc w:val="right"/>
              <w:rPr>
                <w:rFonts w:eastAsia="Times New Roman" w:cs="Times New Roman"/>
                <w:color w:val="000000"/>
                <w:szCs w:val="24"/>
                <w:lang w:val="en-US"/>
              </w:rPr>
            </w:pPr>
            <w:r w:rsidRPr="00CD0816">
              <w:rPr>
                <w:rFonts w:eastAsia="Times New Roman" w:cs="Times New Roman"/>
                <w:color w:val="000000"/>
                <w:szCs w:val="24"/>
                <w:lang w:val="en-US"/>
              </w:rPr>
              <w:t>2016</w:t>
            </w:r>
          </w:p>
        </w:tc>
        <w:tc>
          <w:tcPr>
            <w:tcW w:w="960" w:type="dxa"/>
            <w:tcBorders>
              <w:top w:val="single" w:sz="8" w:space="0" w:color="auto"/>
              <w:left w:val="nil"/>
              <w:bottom w:val="single" w:sz="8" w:space="0" w:color="auto"/>
              <w:right w:val="single" w:sz="8" w:space="0" w:color="auto"/>
            </w:tcBorders>
            <w:shd w:val="clear" w:color="auto" w:fill="auto"/>
            <w:noWrap/>
            <w:hideMark/>
          </w:tcPr>
          <w:p w:rsidR="00CD0816" w:rsidRPr="00CD0816" w:rsidRDefault="00CD0816" w:rsidP="00CD0816">
            <w:pPr>
              <w:spacing w:after="0" w:line="240" w:lineRule="auto"/>
              <w:jc w:val="right"/>
              <w:rPr>
                <w:rFonts w:eastAsia="Times New Roman" w:cs="Times New Roman"/>
                <w:color w:val="000000"/>
                <w:szCs w:val="24"/>
                <w:lang w:val="en-US"/>
              </w:rPr>
            </w:pPr>
            <w:r w:rsidRPr="00CD0816">
              <w:rPr>
                <w:rFonts w:eastAsia="Times New Roman" w:cs="Times New Roman"/>
                <w:color w:val="000000"/>
                <w:szCs w:val="24"/>
                <w:lang w:val="en-US"/>
              </w:rPr>
              <w:t>2017</w:t>
            </w:r>
          </w:p>
        </w:tc>
      </w:tr>
      <w:tr w:rsidR="00CD0816" w:rsidRPr="00CD0816" w:rsidTr="00EB44B5">
        <w:trPr>
          <w:trHeight w:val="1590"/>
          <w:jc w:val="center"/>
        </w:trPr>
        <w:tc>
          <w:tcPr>
            <w:tcW w:w="2220" w:type="dxa"/>
            <w:tcBorders>
              <w:top w:val="nil"/>
              <w:left w:val="single" w:sz="8" w:space="0" w:color="auto"/>
              <w:bottom w:val="single" w:sz="8" w:space="0" w:color="auto"/>
              <w:right w:val="single" w:sz="8" w:space="0" w:color="auto"/>
            </w:tcBorders>
            <w:shd w:val="clear" w:color="auto" w:fill="auto"/>
            <w:hideMark/>
          </w:tcPr>
          <w:p w:rsidR="00CD0816" w:rsidRPr="00CD0816" w:rsidRDefault="00CD0816" w:rsidP="00CD0816">
            <w:pPr>
              <w:spacing w:after="0" w:line="240" w:lineRule="auto"/>
              <w:rPr>
                <w:rFonts w:eastAsia="Times New Roman" w:cs="Times New Roman"/>
                <w:color w:val="000000"/>
                <w:szCs w:val="24"/>
                <w:lang w:val="en-US"/>
              </w:rPr>
            </w:pPr>
            <w:r w:rsidRPr="007E09D1">
              <w:rPr>
                <w:rFonts w:eastAsia="Times New Roman" w:cs="Times New Roman"/>
                <w:color w:val="000000"/>
                <w:szCs w:val="24"/>
              </w:rPr>
              <w:t>common equity tier 1 capital ratios ,CET-1</w:t>
            </w:r>
          </w:p>
        </w:tc>
        <w:tc>
          <w:tcPr>
            <w:tcW w:w="960" w:type="dxa"/>
            <w:tcBorders>
              <w:top w:val="nil"/>
              <w:left w:val="nil"/>
              <w:bottom w:val="single" w:sz="8" w:space="0" w:color="auto"/>
              <w:right w:val="single" w:sz="8" w:space="0" w:color="auto"/>
            </w:tcBorders>
            <w:shd w:val="clear" w:color="auto" w:fill="auto"/>
            <w:noWrap/>
            <w:hideMark/>
          </w:tcPr>
          <w:p w:rsidR="00CD0816" w:rsidRPr="00CD0816" w:rsidRDefault="00CD0816" w:rsidP="00CD0816">
            <w:pPr>
              <w:spacing w:after="0" w:line="240" w:lineRule="auto"/>
              <w:jc w:val="right"/>
              <w:rPr>
                <w:rFonts w:eastAsia="Times New Roman" w:cs="Times New Roman"/>
                <w:color w:val="000000"/>
                <w:szCs w:val="24"/>
                <w:lang w:val="en-US"/>
              </w:rPr>
            </w:pPr>
            <w:r w:rsidRPr="00CD0816">
              <w:rPr>
                <w:rFonts w:eastAsia="Times New Roman" w:cs="Times New Roman"/>
                <w:color w:val="000000"/>
                <w:szCs w:val="24"/>
                <w:lang w:val="en-US"/>
              </w:rPr>
              <w:t>8.60%</w:t>
            </w:r>
          </w:p>
        </w:tc>
        <w:tc>
          <w:tcPr>
            <w:tcW w:w="960" w:type="dxa"/>
            <w:tcBorders>
              <w:top w:val="nil"/>
              <w:left w:val="nil"/>
              <w:bottom w:val="single" w:sz="8" w:space="0" w:color="auto"/>
              <w:right w:val="single" w:sz="8" w:space="0" w:color="auto"/>
            </w:tcBorders>
            <w:shd w:val="clear" w:color="auto" w:fill="auto"/>
            <w:noWrap/>
            <w:hideMark/>
          </w:tcPr>
          <w:p w:rsidR="00CD0816" w:rsidRPr="00CD0816" w:rsidRDefault="00CD0816" w:rsidP="00CD0816">
            <w:pPr>
              <w:spacing w:after="0" w:line="240" w:lineRule="auto"/>
              <w:jc w:val="right"/>
              <w:rPr>
                <w:rFonts w:eastAsia="Times New Roman" w:cs="Times New Roman"/>
                <w:color w:val="000000"/>
                <w:szCs w:val="24"/>
                <w:lang w:val="en-US"/>
              </w:rPr>
            </w:pPr>
            <w:r w:rsidRPr="00CD0816">
              <w:rPr>
                <w:rFonts w:eastAsia="Times New Roman" w:cs="Times New Roman"/>
                <w:color w:val="000000"/>
                <w:szCs w:val="24"/>
                <w:lang w:val="en-US"/>
              </w:rPr>
              <w:t>11.20%</w:t>
            </w:r>
          </w:p>
        </w:tc>
        <w:tc>
          <w:tcPr>
            <w:tcW w:w="960" w:type="dxa"/>
            <w:tcBorders>
              <w:top w:val="nil"/>
              <w:left w:val="nil"/>
              <w:bottom w:val="single" w:sz="8" w:space="0" w:color="auto"/>
              <w:right w:val="single" w:sz="8" w:space="0" w:color="auto"/>
            </w:tcBorders>
            <w:shd w:val="clear" w:color="auto" w:fill="auto"/>
            <w:noWrap/>
            <w:hideMark/>
          </w:tcPr>
          <w:p w:rsidR="00CD0816" w:rsidRPr="00CD0816" w:rsidRDefault="00CD0816" w:rsidP="00CD0816">
            <w:pPr>
              <w:spacing w:after="0" w:line="240" w:lineRule="auto"/>
              <w:jc w:val="right"/>
              <w:rPr>
                <w:rFonts w:eastAsia="Times New Roman" w:cs="Times New Roman"/>
                <w:color w:val="000000"/>
                <w:szCs w:val="24"/>
                <w:lang w:val="en-US"/>
              </w:rPr>
            </w:pPr>
            <w:r w:rsidRPr="00CD0816">
              <w:rPr>
                <w:rFonts w:eastAsia="Times New Roman" w:cs="Times New Roman"/>
                <w:color w:val="000000"/>
                <w:szCs w:val="24"/>
                <w:lang w:val="en-US"/>
              </w:rPr>
              <w:t>15.50%</w:t>
            </w:r>
          </w:p>
        </w:tc>
        <w:tc>
          <w:tcPr>
            <w:tcW w:w="960" w:type="dxa"/>
            <w:tcBorders>
              <w:top w:val="nil"/>
              <w:left w:val="nil"/>
              <w:bottom w:val="single" w:sz="8" w:space="0" w:color="auto"/>
              <w:right w:val="single" w:sz="8" w:space="0" w:color="auto"/>
            </w:tcBorders>
            <w:shd w:val="clear" w:color="auto" w:fill="auto"/>
            <w:noWrap/>
            <w:hideMark/>
          </w:tcPr>
          <w:p w:rsidR="00CD0816" w:rsidRPr="00CD0816" w:rsidRDefault="00CD0816" w:rsidP="00CD0816">
            <w:pPr>
              <w:spacing w:after="0" w:line="240" w:lineRule="auto"/>
              <w:jc w:val="right"/>
              <w:rPr>
                <w:rFonts w:eastAsia="Times New Roman" w:cs="Times New Roman"/>
                <w:color w:val="000000"/>
                <w:szCs w:val="24"/>
                <w:lang w:val="en-US"/>
              </w:rPr>
            </w:pPr>
            <w:r w:rsidRPr="00CD0816">
              <w:rPr>
                <w:rFonts w:eastAsia="Times New Roman" w:cs="Times New Roman"/>
                <w:color w:val="000000"/>
                <w:szCs w:val="24"/>
                <w:lang w:val="en-US"/>
              </w:rPr>
              <w:t>13.40%</w:t>
            </w:r>
          </w:p>
        </w:tc>
        <w:tc>
          <w:tcPr>
            <w:tcW w:w="960" w:type="dxa"/>
            <w:tcBorders>
              <w:top w:val="nil"/>
              <w:left w:val="nil"/>
              <w:bottom w:val="single" w:sz="8" w:space="0" w:color="auto"/>
              <w:right w:val="single" w:sz="8" w:space="0" w:color="auto"/>
            </w:tcBorders>
            <w:shd w:val="clear" w:color="auto" w:fill="auto"/>
            <w:noWrap/>
            <w:hideMark/>
          </w:tcPr>
          <w:p w:rsidR="00CD0816" w:rsidRPr="00CD0816" w:rsidRDefault="00CD0816" w:rsidP="00CD0816">
            <w:pPr>
              <w:spacing w:after="0" w:line="240" w:lineRule="auto"/>
              <w:jc w:val="right"/>
              <w:rPr>
                <w:rFonts w:eastAsia="Times New Roman" w:cs="Times New Roman"/>
                <w:color w:val="000000"/>
                <w:szCs w:val="24"/>
                <w:lang w:val="en-US"/>
              </w:rPr>
            </w:pPr>
            <w:r w:rsidRPr="00CD0816">
              <w:rPr>
                <w:rFonts w:eastAsia="Times New Roman" w:cs="Times New Roman"/>
                <w:color w:val="000000"/>
                <w:szCs w:val="24"/>
                <w:lang w:val="en-US"/>
              </w:rPr>
              <w:t>15.90%</w:t>
            </w:r>
          </w:p>
        </w:tc>
      </w:tr>
    </w:tbl>
    <w:p w:rsidR="00CD0816" w:rsidRDefault="00EB44B5" w:rsidP="000A2FDB">
      <w:pPr>
        <w:jc w:val="center"/>
      </w:pPr>
      <w:r>
        <w:t>Table-5-</w:t>
      </w:r>
      <w:r w:rsidRPr="00EB44B5">
        <w:rPr>
          <w:rFonts w:eastAsia="Times New Roman" w:cs="Times New Roman"/>
          <w:color w:val="000000"/>
          <w:szCs w:val="24"/>
        </w:rPr>
        <w:t xml:space="preserve"> </w:t>
      </w:r>
      <w:r w:rsidRPr="007E09D1">
        <w:rPr>
          <w:rFonts w:eastAsia="Times New Roman" w:cs="Times New Roman"/>
          <w:color w:val="000000"/>
          <w:szCs w:val="24"/>
        </w:rPr>
        <w:t>CET-1</w:t>
      </w:r>
      <w:r>
        <w:rPr>
          <w:rFonts w:eastAsia="Times New Roman" w:cs="Times New Roman"/>
          <w:color w:val="000000"/>
          <w:szCs w:val="24"/>
        </w:rPr>
        <w:t>-</w:t>
      </w:r>
      <w:r w:rsidRPr="00EB44B5">
        <w:t xml:space="preserve"> </w:t>
      </w:r>
      <w:r>
        <w:t>RBS</w:t>
      </w:r>
    </w:p>
    <w:p w:rsidR="000E2C47" w:rsidRDefault="00492E11" w:rsidP="007A6CE8">
      <w:r>
        <w:t xml:space="preserve">Looking at the </w:t>
      </w:r>
      <w:r w:rsidRPr="007E09D1">
        <w:rPr>
          <w:rFonts w:eastAsia="Times New Roman" w:cs="Times New Roman"/>
          <w:color w:val="000000"/>
          <w:szCs w:val="24"/>
        </w:rPr>
        <w:t>common equity tier 1 capital ratios</w:t>
      </w:r>
      <w:r>
        <w:rPr>
          <w:rFonts w:eastAsia="Times New Roman" w:cs="Times New Roman"/>
          <w:color w:val="000000"/>
          <w:szCs w:val="24"/>
        </w:rPr>
        <w:t xml:space="preserve"> it can be seen that in 2013 the </w:t>
      </w:r>
      <w:r w:rsidR="002F0ACD">
        <w:t>equity capital out of th</w:t>
      </w:r>
      <w:r w:rsidR="00D202E6">
        <w:t xml:space="preserve">e total core capital of </w:t>
      </w:r>
      <w:r w:rsidR="00D202E6" w:rsidRPr="00D85CAD">
        <w:t>Barclays</w:t>
      </w:r>
      <w:r w:rsidR="00D202E6">
        <w:t xml:space="preserve"> bank was 9.10</w:t>
      </w:r>
      <w:r w:rsidR="002F0ACD">
        <w:t>% of the RWA or the risk weighted as</w:t>
      </w:r>
      <w:r w:rsidR="00D202E6">
        <w:t xml:space="preserve">set and that of RBS is </w:t>
      </w:r>
      <w:r w:rsidR="00420CB3">
        <w:t>8</w:t>
      </w:r>
      <w:r w:rsidR="00D202E6">
        <w:t>.</w:t>
      </w:r>
      <w:r w:rsidR="00420CB3">
        <w:t>6</w:t>
      </w:r>
      <w:r w:rsidR="00D202E6">
        <w:t>0% of the RWA</w:t>
      </w:r>
      <w:r w:rsidR="00420CB3">
        <w:t xml:space="preserve">. Afterwards over </w:t>
      </w:r>
      <w:r w:rsidR="00124E51">
        <w:t xml:space="preserve">the </w:t>
      </w:r>
      <w:r w:rsidR="00420CB3">
        <w:t xml:space="preserve">years the ratios of RBS has become </w:t>
      </w:r>
      <w:r w:rsidR="002C3A19">
        <w:t>stronger</w:t>
      </w:r>
      <w:r w:rsidR="00420CB3">
        <w:t xml:space="preserve"> than that of </w:t>
      </w:r>
      <w:r w:rsidR="00420CB3" w:rsidRPr="00D85CAD">
        <w:t>Barclays</w:t>
      </w:r>
      <w:r w:rsidR="00420CB3">
        <w:t xml:space="preserve"> bank. This indicates that </w:t>
      </w:r>
      <w:r w:rsidR="0095181A">
        <w:t xml:space="preserve">RBS has shown greater efficiency in expanding the volume of equity in core capital as a percentage of </w:t>
      </w:r>
      <w:r w:rsidR="001C22F3">
        <w:t xml:space="preserve">risk weighted asset in comparison to </w:t>
      </w:r>
      <w:r w:rsidR="001C22F3" w:rsidRPr="00D85CAD">
        <w:t>Barclays</w:t>
      </w:r>
      <w:r w:rsidR="001C22F3">
        <w:t xml:space="preserve"> bank.</w:t>
      </w:r>
    </w:p>
    <w:p w:rsidR="00FA07BC" w:rsidRDefault="00FA07BC" w:rsidP="007A6CE8">
      <w:r>
        <w:t xml:space="preserve">So </w:t>
      </w:r>
      <w:r w:rsidR="00CD3EC9">
        <w:t>inves</w:t>
      </w:r>
      <w:r>
        <w:t xml:space="preserve">tors will feel more secured to invest in RBS due to strong </w:t>
      </w:r>
      <w:r w:rsidR="00CD3EC9">
        <w:t>equity capital support of the bank.</w:t>
      </w:r>
    </w:p>
    <w:p w:rsidR="00C471BB" w:rsidRDefault="00C471BB" w:rsidP="007A6CE8">
      <w:pPr>
        <w:rPr>
          <w:rFonts w:eastAsia="Times New Roman" w:cs="Times New Roman"/>
          <w:color w:val="000000"/>
          <w:szCs w:val="24"/>
        </w:rPr>
      </w:pPr>
      <w:r w:rsidRPr="00F51BC2">
        <w:rPr>
          <w:rFonts w:eastAsia="Times New Roman" w:cs="Times New Roman"/>
          <w:color w:val="000000"/>
          <w:szCs w:val="24"/>
        </w:rPr>
        <w:t>Liquidity coverage ratios</w:t>
      </w:r>
      <w:r>
        <w:rPr>
          <w:rFonts w:eastAsia="Times New Roman" w:cs="Times New Roman"/>
          <w:color w:val="000000"/>
          <w:szCs w:val="24"/>
        </w:rPr>
        <w:t xml:space="preserve"> (LCR):</w:t>
      </w:r>
    </w:p>
    <w:tbl>
      <w:tblPr>
        <w:tblW w:w="9184" w:type="dxa"/>
        <w:tblInd w:w="95"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Look w:val="04A0" w:firstRow="1" w:lastRow="0" w:firstColumn="1" w:lastColumn="0" w:noHBand="0" w:noVBand="1"/>
      </w:tblPr>
      <w:tblGrid>
        <w:gridCol w:w="4152"/>
        <w:gridCol w:w="960"/>
        <w:gridCol w:w="960"/>
        <w:gridCol w:w="1076"/>
        <w:gridCol w:w="1076"/>
        <w:gridCol w:w="960"/>
      </w:tblGrid>
      <w:tr w:rsidR="00C471BB" w:rsidRPr="00F51BC2" w:rsidTr="00CE4ECF">
        <w:trPr>
          <w:trHeight w:val="330"/>
        </w:trPr>
        <w:tc>
          <w:tcPr>
            <w:tcW w:w="4152" w:type="dxa"/>
            <w:shd w:val="clear" w:color="000000" w:fill="FFFFFF"/>
            <w:noWrap/>
            <w:vAlign w:val="bottom"/>
            <w:hideMark/>
          </w:tcPr>
          <w:p w:rsidR="00C471BB" w:rsidRPr="00F51BC2" w:rsidRDefault="00CD0816" w:rsidP="00CE4ECF">
            <w:pPr>
              <w:spacing w:after="0" w:line="240" w:lineRule="auto"/>
              <w:rPr>
                <w:rFonts w:eastAsia="Times New Roman" w:cs="Times New Roman"/>
                <w:color w:val="000000"/>
                <w:szCs w:val="24"/>
                <w:lang w:val="en-US"/>
              </w:rPr>
            </w:pPr>
            <w:r w:rsidRPr="00D85CAD">
              <w:t>Barclays</w:t>
            </w:r>
            <w:r>
              <w:t xml:space="preserve"> bank</w:t>
            </w:r>
          </w:p>
        </w:tc>
        <w:tc>
          <w:tcPr>
            <w:tcW w:w="960" w:type="dxa"/>
            <w:shd w:val="clear" w:color="000000" w:fill="FFFFFF"/>
            <w:noWrap/>
            <w:vAlign w:val="bottom"/>
            <w:hideMark/>
          </w:tcPr>
          <w:p w:rsidR="00C471BB" w:rsidRPr="00F51BC2" w:rsidRDefault="00C471BB" w:rsidP="00CE4ECF">
            <w:pPr>
              <w:spacing w:after="0" w:line="240" w:lineRule="auto"/>
              <w:rPr>
                <w:rFonts w:eastAsia="Times New Roman" w:cs="Times New Roman"/>
                <w:color w:val="000000"/>
                <w:szCs w:val="24"/>
                <w:lang w:val="en-US"/>
              </w:rPr>
            </w:pPr>
            <w:r w:rsidRPr="00F51BC2">
              <w:rPr>
                <w:rFonts w:eastAsia="Times New Roman" w:cs="Times New Roman"/>
                <w:color w:val="000000"/>
                <w:szCs w:val="24"/>
              </w:rPr>
              <w:t>2013</w:t>
            </w:r>
          </w:p>
        </w:tc>
        <w:tc>
          <w:tcPr>
            <w:tcW w:w="960" w:type="dxa"/>
            <w:shd w:val="clear" w:color="000000" w:fill="FFFFFF"/>
            <w:noWrap/>
            <w:vAlign w:val="bottom"/>
            <w:hideMark/>
          </w:tcPr>
          <w:p w:rsidR="00C471BB" w:rsidRPr="00F51BC2" w:rsidRDefault="00C471BB" w:rsidP="00CE4ECF">
            <w:pPr>
              <w:spacing w:after="0" w:line="240" w:lineRule="auto"/>
              <w:rPr>
                <w:rFonts w:eastAsia="Times New Roman" w:cs="Times New Roman"/>
                <w:color w:val="000000"/>
                <w:szCs w:val="24"/>
                <w:lang w:val="en-US"/>
              </w:rPr>
            </w:pPr>
            <w:r w:rsidRPr="00F51BC2">
              <w:rPr>
                <w:rFonts w:eastAsia="Times New Roman" w:cs="Times New Roman"/>
                <w:color w:val="000000"/>
                <w:szCs w:val="24"/>
              </w:rPr>
              <w:t>2014</w:t>
            </w:r>
          </w:p>
        </w:tc>
        <w:tc>
          <w:tcPr>
            <w:tcW w:w="1076" w:type="dxa"/>
            <w:shd w:val="clear" w:color="000000" w:fill="FFFFFF"/>
            <w:noWrap/>
            <w:vAlign w:val="bottom"/>
            <w:hideMark/>
          </w:tcPr>
          <w:p w:rsidR="00C471BB" w:rsidRPr="00F51BC2" w:rsidRDefault="00C471BB" w:rsidP="00CE4ECF">
            <w:pPr>
              <w:spacing w:after="0" w:line="240" w:lineRule="auto"/>
              <w:rPr>
                <w:rFonts w:eastAsia="Times New Roman" w:cs="Times New Roman"/>
                <w:color w:val="000000"/>
                <w:szCs w:val="24"/>
                <w:lang w:val="en-US"/>
              </w:rPr>
            </w:pPr>
            <w:r w:rsidRPr="00F51BC2">
              <w:rPr>
                <w:rFonts w:eastAsia="Times New Roman" w:cs="Times New Roman"/>
                <w:color w:val="000000"/>
                <w:szCs w:val="24"/>
              </w:rPr>
              <w:t>2015</w:t>
            </w:r>
          </w:p>
        </w:tc>
        <w:tc>
          <w:tcPr>
            <w:tcW w:w="1076" w:type="dxa"/>
            <w:shd w:val="clear" w:color="000000" w:fill="FFFFFF"/>
            <w:noWrap/>
            <w:vAlign w:val="bottom"/>
            <w:hideMark/>
          </w:tcPr>
          <w:p w:rsidR="00C471BB" w:rsidRPr="00F51BC2" w:rsidRDefault="00C471BB" w:rsidP="00CE4ECF">
            <w:pPr>
              <w:spacing w:after="0" w:line="240" w:lineRule="auto"/>
              <w:rPr>
                <w:rFonts w:eastAsia="Times New Roman" w:cs="Times New Roman"/>
                <w:color w:val="000000"/>
                <w:szCs w:val="24"/>
                <w:lang w:val="en-US"/>
              </w:rPr>
            </w:pPr>
            <w:r w:rsidRPr="00F51BC2">
              <w:rPr>
                <w:rFonts w:eastAsia="Times New Roman" w:cs="Times New Roman"/>
                <w:color w:val="000000"/>
                <w:szCs w:val="24"/>
              </w:rPr>
              <w:t>2016</w:t>
            </w:r>
          </w:p>
        </w:tc>
        <w:tc>
          <w:tcPr>
            <w:tcW w:w="960" w:type="dxa"/>
            <w:shd w:val="clear" w:color="000000" w:fill="FFFFFF"/>
            <w:noWrap/>
            <w:vAlign w:val="bottom"/>
            <w:hideMark/>
          </w:tcPr>
          <w:p w:rsidR="00C471BB" w:rsidRPr="00F51BC2" w:rsidRDefault="00C471BB" w:rsidP="00CE4ECF">
            <w:pPr>
              <w:spacing w:after="0" w:line="240" w:lineRule="auto"/>
              <w:rPr>
                <w:rFonts w:eastAsia="Times New Roman" w:cs="Times New Roman"/>
                <w:color w:val="000000"/>
                <w:szCs w:val="24"/>
                <w:lang w:val="en-US"/>
              </w:rPr>
            </w:pPr>
            <w:r w:rsidRPr="00F51BC2">
              <w:rPr>
                <w:rFonts w:eastAsia="Times New Roman" w:cs="Times New Roman"/>
                <w:color w:val="000000"/>
                <w:szCs w:val="24"/>
              </w:rPr>
              <w:t>2017</w:t>
            </w:r>
          </w:p>
        </w:tc>
      </w:tr>
      <w:tr w:rsidR="00C471BB" w:rsidRPr="00F51BC2" w:rsidTr="00CE4ECF">
        <w:trPr>
          <w:trHeight w:val="630"/>
        </w:trPr>
        <w:tc>
          <w:tcPr>
            <w:tcW w:w="4152" w:type="dxa"/>
            <w:shd w:val="clear" w:color="000000" w:fill="FFFFFF"/>
            <w:noWrap/>
            <w:vAlign w:val="bottom"/>
            <w:hideMark/>
          </w:tcPr>
          <w:p w:rsidR="00C471BB" w:rsidRPr="00F51BC2" w:rsidRDefault="00C471BB" w:rsidP="00CE4ECF">
            <w:pPr>
              <w:spacing w:after="0" w:line="240" w:lineRule="auto"/>
              <w:rPr>
                <w:rFonts w:eastAsia="Times New Roman" w:cs="Times New Roman"/>
                <w:color w:val="000000"/>
                <w:szCs w:val="24"/>
                <w:lang w:val="en-US"/>
              </w:rPr>
            </w:pPr>
            <w:r w:rsidRPr="00F51BC2">
              <w:rPr>
                <w:rFonts w:eastAsia="Times New Roman" w:cs="Times New Roman"/>
                <w:color w:val="000000"/>
                <w:szCs w:val="24"/>
              </w:rPr>
              <w:t>liquidity coverage ratios</w:t>
            </w:r>
            <w:r>
              <w:rPr>
                <w:rFonts w:eastAsia="Times New Roman" w:cs="Times New Roman"/>
                <w:color w:val="000000"/>
                <w:szCs w:val="24"/>
              </w:rPr>
              <w:t>(LCR)</w:t>
            </w:r>
          </w:p>
        </w:tc>
        <w:tc>
          <w:tcPr>
            <w:tcW w:w="960" w:type="dxa"/>
            <w:shd w:val="clear" w:color="000000" w:fill="FFFFFF"/>
            <w:noWrap/>
            <w:vAlign w:val="bottom"/>
            <w:hideMark/>
          </w:tcPr>
          <w:p w:rsidR="00C471BB" w:rsidRPr="00F51BC2" w:rsidRDefault="00C471BB" w:rsidP="00CE4ECF">
            <w:pPr>
              <w:spacing w:after="0" w:line="240" w:lineRule="auto"/>
              <w:rPr>
                <w:rFonts w:eastAsia="Times New Roman" w:cs="Times New Roman"/>
                <w:color w:val="000000"/>
                <w:szCs w:val="24"/>
                <w:lang w:val="en-US"/>
              </w:rPr>
            </w:pPr>
            <w:r w:rsidRPr="00F51BC2">
              <w:rPr>
                <w:rFonts w:eastAsia="Times New Roman" w:cs="Times New Roman"/>
                <w:color w:val="000000"/>
                <w:szCs w:val="24"/>
              </w:rPr>
              <w:t> </w:t>
            </w:r>
          </w:p>
        </w:tc>
        <w:tc>
          <w:tcPr>
            <w:tcW w:w="960" w:type="dxa"/>
            <w:shd w:val="clear" w:color="000000" w:fill="FFFFFF"/>
            <w:noWrap/>
            <w:vAlign w:val="bottom"/>
            <w:hideMark/>
          </w:tcPr>
          <w:p w:rsidR="00C471BB" w:rsidRPr="00F51BC2" w:rsidRDefault="00C471BB" w:rsidP="00CE4ECF">
            <w:pPr>
              <w:spacing w:after="0" w:line="240" w:lineRule="auto"/>
              <w:rPr>
                <w:rFonts w:eastAsia="Times New Roman" w:cs="Times New Roman"/>
                <w:color w:val="000000"/>
                <w:szCs w:val="24"/>
                <w:lang w:val="en-US"/>
              </w:rPr>
            </w:pPr>
            <w:r w:rsidRPr="00F51BC2">
              <w:rPr>
                <w:rFonts w:eastAsia="Times New Roman" w:cs="Times New Roman"/>
                <w:color w:val="000000"/>
                <w:szCs w:val="24"/>
              </w:rPr>
              <w:t> </w:t>
            </w:r>
          </w:p>
        </w:tc>
        <w:tc>
          <w:tcPr>
            <w:tcW w:w="1076" w:type="dxa"/>
            <w:shd w:val="clear" w:color="000000" w:fill="FFFFFF"/>
            <w:noWrap/>
            <w:vAlign w:val="bottom"/>
            <w:hideMark/>
          </w:tcPr>
          <w:p w:rsidR="00C471BB" w:rsidRPr="00F51BC2" w:rsidRDefault="001C22F3" w:rsidP="00CE4ECF">
            <w:pPr>
              <w:spacing w:after="0" w:line="240" w:lineRule="auto"/>
              <w:rPr>
                <w:rFonts w:eastAsia="Times New Roman" w:cs="Times New Roman"/>
                <w:color w:val="000000"/>
                <w:szCs w:val="24"/>
                <w:lang w:val="en-US"/>
              </w:rPr>
            </w:pPr>
            <w:r>
              <w:rPr>
                <w:rFonts w:eastAsia="Times New Roman" w:cs="Times New Roman"/>
                <w:color w:val="000000"/>
                <w:szCs w:val="24"/>
              </w:rPr>
              <w:t>100</w:t>
            </w:r>
            <w:r w:rsidR="00C471BB" w:rsidRPr="00F51BC2">
              <w:rPr>
                <w:rFonts w:eastAsia="Times New Roman" w:cs="Times New Roman"/>
                <w:color w:val="000000"/>
                <w:szCs w:val="24"/>
              </w:rPr>
              <w:t>%</w:t>
            </w:r>
          </w:p>
        </w:tc>
        <w:tc>
          <w:tcPr>
            <w:tcW w:w="1076" w:type="dxa"/>
            <w:shd w:val="clear" w:color="000000" w:fill="FFFFFF"/>
            <w:noWrap/>
            <w:vAlign w:val="bottom"/>
            <w:hideMark/>
          </w:tcPr>
          <w:p w:rsidR="00C471BB" w:rsidRPr="00F51BC2" w:rsidRDefault="001C22F3" w:rsidP="00CE4ECF">
            <w:pPr>
              <w:spacing w:after="0" w:line="240" w:lineRule="auto"/>
              <w:rPr>
                <w:rFonts w:eastAsia="Times New Roman" w:cs="Times New Roman"/>
                <w:color w:val="000000"/>
                <w:szCs w:val="24"/>
                <w:lang w:val="en-US"/>
              </w:rPr>
            </w:pPr>
            <w:r>
              <w:rPr>
                <w:rFonts w:eastAsia="Times New Roman" w:cs="Times New Roman"/>
                <w:color w:val="000000"/>
                <w:szCs w:val="24"/>
              </w:rPr>
              <w:t>131</w:t>
            </w:r>
            <w:r w:rsidR="00C471BB" w:rsidRPr="00F51BC2">
              <w:rPr>
                <w:rFonts w:eastAsia="Times New Roman" w:cs="Times New Roman"/>
                <w:color w:val="000000"/>
                <w:szCs w:val="24"/>
              </w:rPr>
              <w:t>%</w:t>
            </w:r>
          </w:p>
        </w:tc>
        <w:tc>
          <w:tcPr>
            <w:tcW w:w="960" w:type="dxa"/>
            <w:shd w:val="clear" w:color="000000" w:fill="FFFFFF"/>
            <w:noWrap/>
            <w:vAlign w:val="bottom"/>
            <w:hideMark/>
          </w:tcPr>
          <w:p w:rsidR="00C471BB" w:rsidRPr="00F51BC2" w:rsidRDefault="00C471BB" w:rsidP="00CE4ECF">
            <w:pPr>
              <w:spacing w:after="0" w:line="240" w:lineRule="auto"/>
              <w:rPr>
                <w:rFonts w:eastAsia="Times New Roman" w:cs="Times New Roman"/>
                <w:color w:val="000000"/>
                <w:szCs w:val="24"/>
                <w:lang w:val="en-US"/>
              </w:rPr>
            </w:pPr>
            <w:r w:rsidRPr="00F51BC2">
              <w:rPr>
                <w:rFonts w:eastAsia="Times New Roman" w:cs="Times New Roman"/>
                <w:color w:val="000000"/>
                <w:szCs w:val="24"/>
              </w:rPr>
              <w:t>142%</w:t>
            </w:r>
          </w:p>
        </w:tc>
      </w:tr>
    </w:tbl>
    <w:p w:rsidR="00EB44B5" w:rsidRPr="007D0364" w:rsidRDefault="000A2FDB" w:rsidP="000A2FDB">
      <w:pPr>
        <w:rPr>
          <w:b/>
        </w:rPr>
      </w:pPr>
      <w:r>
        <w:t>T</w:t>
      </w:r>
      <w:r w:rsidR="00EB44B5">
        <w:t>able-</w:t>
      </w:r>
      <w:r w:rsidR="007D0364">
        <w:t>6</w:t>
      </w:r>
      <w:r w:rsidR="00EB44B5">
        <w:t>-</w:t>
      </w:r>
      <w:r w:rsidR="00EB44B5" w:rsidRPr="00EB44B5">
        <w:rPr>
          <w:rFonts w:eastAsia="Times New Roman" w:cs="Times New Roman"/>
          <w:color w:val="000000"/>
          <w:szCs w:val="24"/>
        </w:rPr>
        <w:t xml:space="preserve"> </w:t>
      </w:r>
      <w:r w:rsidR="007D0364">
        <w:rPr>
          <w:rFonts w:eastAsia="Times New Roman" w:cs="Times New Roman"/>
          <w:color w:val="000000"/>
          <w:szCs w:val="24"/>
        </w:rPr>
        <w:t>LCR</w:t>
      </w:r>
      <w:r w:rsidR="00EB44B5">
        <w:rPr>
          <w:rFonts w:eastAsia="Times New Roman" w:cs="Times New Roman"/>
          <w:color w:val="000000"/>
          <w:szCs w:val="24"/>
        </w:rPr>
        <w:t>-</w:t>
      </w:r>
      <w:r w:rsidR="00EB44B5" w:rsidRPr="00EB44B5">
        <w:t xml:space="preserve"> </w:t>
      </w:r>
      <w:r w:rsidR="00C7398F" w:rsidRPr="00D85CAD">
        <w:t>Barclay’s</w:t>
      </w:r>
      <w:r w:rsidR="007D0364">
        <w:t xml:space="preserve"> bank</w:t>
      </w:r>
    </w:p>
    <w:p w:rsidR="00E4710F" w:rsidRDefault="00E4710F"/>
    <w:p w:rsidR="00E4710F" w:rsidRDefault="00E4710F"/>
    <w:tbl>
      <w:tblPr>
        <w:tblW w:w="9481" w:type="dxa"/>
        <w:tblInd w:w="95" w:type="dxa"/>
        <w:tblLook w:val="04A0" w:firstRow="1" w:lastRow="0" w:firstColumn="1" w:lastColumn="0" w:noHBand="0" w:noVBand="1"/>
      </w:tblPr>
      <w:tblGrid>
        <w:gridCol w:w="5024"/>
        <w:gridCol w:w="851"/>
        <w:gridCol w:w="850"/>
        <w:gridCol w:w="1056"/>
        <w:gridCol w:w="850"/>
        <w:gridCol w:w="850"/>
      </w:tblGrid>
      <w:tr w:rsidR="00E4710F" w:rsidRPr="00E4710F" w:rsidTr="00E33645">
        <w:trPr>
          <w:trHeight w:val="330"/>
        </w:trPr>
        <w:tc>
          <w:tcPr>
            <w:tcW w:w="5024"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E4710F" w:rsidRPr="00E4710F" w:rsidRDefault="00E4710F" w:rsidP="00E4710F">
            <w:pPr>
              <w:spacing w:after="0" w:line="240" w:lineRule="auto"/>
              <w:rPr>
                <w:rFonts w:eastAsia="Times New Roman" w:cs="Times New Roman"/>
                <w:color w:val="000000"/>
                <w:szCs w:val="24"/>
                <w:lang w:val="en-US"/>
              </w:rPr>
            </w:pPr>
            <w:r w:rsidRPr="00E4710F">
              <w:rPr>
                <w:rFonts w:eastAsia="Times New Roman" w:cs="Times New Roman"/>
                <w:color w:val="000000"/>
                <w:szCs w:val="24"/>
                <w:lang w:val="en-US"/>
              </w:rPr>
              <w:t> </w:t>
            </w:r>
            <w:r w:rsidR="00E33645" w:rsidRPr="00CD0816">
              <w:rPr>
                <w:rFonts w:eastAsia="Times New Roman" w:cs="Times New Roman"/>
                <w:color w:val="000000"/>
                <w:szCs w:val="24"/>
                <w:lang w:val="en-US"/>
              </w:rPr>
              <w:t> </w:t>
            </w:r>
            <w:r w:rsidR="00E33645" w:rsidRPr="00E4710F">
              <w:rPr>
                <w:rFonts w:eastAsia="Times New Roman" w:cs="Times New Roman"/>
                <w:color w:val="000000"/>
                <w:szCs w:val="24"/>
                <w:lang w:val="en-US"/>
              </w:rPr>
              <w:t>RBS-Royal Bank of Scotland</w:t>
            </w:r>
          </w:p>
        </w:tc>
        <w:tc>
          <w:tcPr>
            <w:tcW w:w="851" w:type="dxa"/>
            <w:tcBorders>
              <w:top w:val="single" w:sz="8" w:space="0" w:color="auto"/>
              <w:left w:val="nil"/>
              <w:bottom w:val="single" w:sz="8" w:space="0" w:color="auto"/>
              <w:right w:val="single" w:sz="8" w:space="0" w:color="auto"/>
            </w:tcBorders>
            <w:shd w:val="clear" w:color="auto" w:fill="auto"/>
            <w:noWrap/>
            <w:vAlign w:val="bottom"/>
            <w:hideMark/>
          </w:tcPr>
          <w:p w:rsidR="00E4710F" w:rsidRPr="00E4710F" w:rsidRDefault="00E4710F" w:rsidP="00E4710F">
            <w:pPr>
              <w:spacing w:after="0" w:line="240" w:lineRule="auto"/>
              <w:jc w:val="right"/>
              <w:rPr>
                <w:rFonts w:eastAsia="Times New Roman" w:cs="Times New Roman"/>
                <w:color w:val="000000"/>
                <w:szCs w:val="24"/>
                <w:lang w:val="en-US"/>
              </w:rPr>
            </w:pPr>
            <w:r w:rsidRPr="00E4710F">
              <w:rPr>
                <w:rFonts w:eastAsia="Times New Roman" w:cs="Times New Roman"/>
                <w:color w:val="000000"/>
                <w:szCs w:val="24"/>
                <w:lang w:val="en-US"/>
              </w:rPr>
              <w:t>2013</w:t>
            </w:r>
          </w:p>
        </w:tc>
        <w:tc>
          <w:tcPr>
            <w:tcW w:w="850" w:type="dxa"/>
            <w:tcBorders>
              <w:top w:val="single" w:sz="8" w:space="0" w:color="auto"/>
              <w:left w:val="nil"/>
              <w:bottom w:val="single" w:sz="8" w:space="0" w:color="auto"/>
              <w:right w:val="single" w:sz="8" w:space="0" w:color="auto"/>
            </w:tcBorders>
            <w:shd w:val="clear" w:color="auto" w:fill="auto"/>
            <w:noWrap/>
            <w:vAlign w:val="bottom"/>
            <w:hideMark/>
          </w:tcPr>
          <w:p w:rsidR="00E4710F" w:rsidRPr="00E4710F" w:rsidRDefault="00E4710F" w:rsidP="00E4710F">
            <w:pPr>
              <w:spacing w:after="0" w:line="240" w:lineRule="auto"/>
              <w:jc w:val="right"/>
              <w:rPr>
                <w:rFonts w:eastAsia="Times New Roman" w:cs="Times New Roman"/>
                <w:color w:val="000000"/>
                <w:szCs w:val="24"/>
                <w:lang w:val="en-US"/>
              </w:rPr>
            </w:pPr>
            <w:r w:rsidRPr="00E4710F">
              <w:rPr>
                <w:rFonts w:eastAsia="Times New Roman" w:cs="Times New Roman"/>
                <w:color w:val="000000"/>
                <w:szCs w:val="24"/>
                <w:lang w:val="en-US"/>
              </w:rPr>
              <w:t>2014</w:t>
            </w:r>
          </w:p>
        </w:tc>
        <w:tc>
          <w:tcPr>
            <w:tcW w:w="1056" w:type="dxa"/>
            <w:tcBorders>
              <w:top w:val="single" w:sz="8" w:space="0" w:color="auto"/>
              <w:left w:val="nil"/>
              <w:bottom w:val="single" w:sz="8" w:space="0" w:color="auto"/>
              <w:right w:val="single" w:sz="8" w:space="0" w:color="auto"/>
            </w:tcBorders>
            <w:shd w:val="clear" w:color="auto" w:fill="auto"/>
            <w:noWrap/>
            <w:vAlign w:val="bottom"/>
            <w:hideMark/>
          </w:tcPr>
          <w:p w:rsidR="00E4710F" w:rsidRPr="00E4710F" w:rsidRDefault="00E4710F" w:rsidP="00E4710F">
            <w:pPr>
              <w:spacing w:after="0" w:line="240" w:lineRule="auto"/>
              <w:jc w:val="right"/>
              <w:rPr>
                <w:rFonts w:eastAsia="Times New Roman" w:cs="Times New Roman"/>
                <w:color w:val="000000"/>
                <w:szCs w:val="24"/>
                <w:lang w:val="en-US"/>
              </w:rPr>
            </w:pPr>
            <w:r w:rsidRPr="00E4710F">
              <w:rPr>
                <w:rFonts w:eastAsia="Times New Roman" w:cs="Times New Roman"/>
                <w:color w:val="000000"/>
                <w:szCs w:val="24"/>
                <w:lang w:val="en-US"/>
              </w:rPr>
              <w:t>2015</w:t>
            </w:r>
          </w:p>
        </w:tc>
        <w:tc>
          <w:tcPr>
            <w:tcW w:w="850" w:type="dxa"/>
            <w:tcBorders>
              <w:top w:val="single" w:sz="8" w:space="0" w:color="auto"/>
              <w:left w:val="nil"/>
              <w:bottom w:val="single" w:sz="8" w:space="0" w:color="auto"/>
              <w:right w:val="single" w:sz="8" w:space="0" w:color="auto"/>
            </w:tcBorders>
            <w:shd w:val="clear" w:color="auto" w:fill="auto"/>
            <w:noWrap/>
            <w:vAlign w:val="bottom"/>
            <w:hideMark/>
          </w:tcPr>
          <w:p w:rsidR="00E4710F" w:rsidRPr="00E4710F" w:rsidRDefault="00E4710F" w:rsidP="00E4710F">
            <w:pPr>
              <w:spacing w:after="0" w:line="240" w:lineRule="auto"/>
              <w:jc w:val="right"/>
              <w:rPr>
                <w:rFonts w:eastAsia="Times New Roman" w:cs="Times New Roman"/>
                <w:color w:val="000000"/>
                <w:szCs w:val="24"/>
                <w:lang w:val="en-US"/>
              </w:rPr>
            </w:pPr>
            <w:r w:rsidRPr="00E4710F">
              <w:rPr>
                <w:rFonts w:eastAsia="Times New Roman" w:cs="Times New Roman"/>
                <w:color w:val="000000"/>
                <w:szCs w:val="24"/>
                <w:lang w:val="en-US"/>
              </w:rPr>
              <w:t>2016</w:t>
            </w:r>
          </w:p>
        </w:tc>
        <w:tc>
          <w:tcPr>
            <w:tcW w:w="850" w:type="dxa"/>
            <w:tcBorders>
              <w:top w:val="single" w:sz="8" w:space="0" w:color="auto"/>
              <w:left w:val="nil"/>
              <w:bottom w:val="single" w:sz="8" w:space="0" w:color="auto"/>
              <w:right w:val="single" w:sz="8" w:space="0" w:color="auto"/>
            </w:tcBorders>
            <w:shd w:val="clear" w:color="auto" w:fill="auto"/>
            <w:noWrap/>
            <w:vAlign w:val="bottom"/>
            <w:hideMark/>
          </w:tcPr>
          <w:p w:rsidR="00E4710F" w:rsidRPr="00E4710F" w:rsidRDefault="00E4710F" w:rsidP="00E4710F">
            <w:pPr>
              <w:spacing w:after="0" w:line="240" w:lineRule="auto"/>
              <w:jc w:val="right"/>
              <w:rPr>
                <w:rFonts w:eastAsia="Times New Roman" w:cs="Times New Roman"/>
                <w:color w:val="000000"/>
                <w:szCs w:val="24"/>
                <w:lang w:val="en-US"/>
              </w:rPr>
            </w:pPr>
            <w:r w:rsidRPr="00E4710F">
              <w:rPr>
                <w:rFonts w:eastAsia="Times New Roman" w:cs="Times New Roman"/>
                <w:color w:val="000000"/>
                <w:szCs w:val="24"/>
                <w:lang w:val="en-US"/>
              </w:rPr>
              <w:t>2017</w:t>
            </w:r>
          </w:p>
        </w:tc>
      </w:tr>
      <w:tr w:rsidR="00E4710F" w:rsidRPr="00E4710F" w:rsidTr="00E33645">
        <w:trPr>
          <w:trHeight w:val="330"/>
        </w:trPr>
        <w:tc>
          <w:tcPr>
            <w:tcW w:w="5024" w:type="dxa"/>
            <w:tcBorders>
              <w:top w:val="nil"/>
              <w:left w:val="single" w:sz="8" w:space="0" w:color="auto"/>
              <w:bottom w:val="single" w:sz="8" w:space="0" w:color="auto"/>
              <w:right w:val="single" w:sz="8" w:space="0" w:color="auto"/>
            </w:tcBorders>
            <w:shd w:val="clear" w:color="auto" w:fill="auto"/>
            <w:noWrap/>
            <w:vAlign w:val="bottom"/>
            <w:hideMark/>
          </w:tcPr>
          <w:p w:rsidR="00E4710F" w:rsidRPr="00E4710F" w:rsidRDefault="00E4710F" w:rsidP="00E4710F">
            <w:pPr>
              <w:spacing w:after="0" w:line="240" w:lineRule="auto"/>
              <w:rPr>
                <w:rFonts w:eastAsia="Times New Roman" w:cs="Times New Roman"/>
                <w:color w:val="000000"/>
                <w:szCs w:val="24"/>
                <w:lang w:val="en-US"/>
              </w:rPr>
            </w:pPr>
            <w:r w:rsidRPr="00E4710F">
              <w:rPr>
                <w:rFonts w:eastAsia="Times New Roman" w:cs="Times New Roman"/>
                <w:color w:val="000000"/>
                <w:szCs w:val="24"/>
                <w:lang w:val="en-US"/>
              </w:rPr>
              <w:t>liquidity ratio</w:t>
            </w:r>
          </w:p>
        </w:tc>
        <w:tc>
          <w:tcPr>
            <w:tcW w:w="851" w:type="dxa"/>
            <w:tcBorders>
              <w:top w:val="nil"/>
              <w:left w:val="nil"/>
              <w:bottom w:val="single" w:sz="8" w:space="0" w:color="auto"/>
              <w:right w:val="single" w:sz="8" w:space="0" w:color="auto"/>
            </w:tcBorders>
            <w:shd w:val="clear" w:color="auto" w:fill="auto"/>
            <w:noWrap/>
            <w:vAlign w:val="bottom"/>
            <w:hideMark/>
          </w:tcPr>
          <w:p w:rsidR="00E4710F" w:rsidRPr="00E4710F" w:rsidRDefault="00E4710F" w:rsidP="00E4710F">
            <w:pPr>
              <w:spacing w:after="0" w:line="240" w:lineRule="auto"/>
              <w:rPr>
                <w:rFonts w:eastAsia="Times New Roman" w:cs="Times New Roman"/>
                <w:color w:val="000000"/>
                <w:szCs w:val="24"/>
                <w:lang w:val="en-US"/>
              </w:rPr>
            </w:pPr>
            <w:r w:rsidRPr="00E4710F">
              <w:rPr>
                <w:rFonts w:eastAsia="Times New Roman" w:cs="Times New Roman"/>
                <w:color w:val="000000"/>
                <w:szCs w:val="24"/>
                <w:lang w:val="en-US"/>
              </w:rPr>
              <w:t> </w:t>
            </w:r>
          </w:p>
        </w:tc>
        <w:tc>
          <w:tcPr>
            <w:tcW w:w="850" w:type="dxa"/>
            <w:tcBorders>
              <w:top w:val="nil"/>
              <w:left w:val="nil"/>
              <w:bottom w:val="single" w:sz="8" w:space="0" w:color="auto"/>
              <w:right w:val="single" w:sz="8" w:space="0" w:color="auto"/>
            </w:tcBorders>
            <w:shd w:val="clear" w:color="auto" w:fill="auto"/>
            <w:noWrap/>
            <w:vAlign w:val="bottom"/>
            <w:hideMark/>
          </w:tcPr>
          <w:p w:rsidR="00E4710F" w:rsidRPr="00E4710F" w:rsidRDefault="00E4710F" w:rsidP="00E4710F">
            <w:pPr>
              <w:spacing w:after="0" w:line="240" w:lineRule="auto"/>
              <w:rPr>
                <w:rFonts w:eastAsia="Times New Roman" w:cs="Times New Roman"/>
                <w:color w:val="000000"/>
                <w:szCs w:val="24"/>
                <w:lang w:val="en-US"/>
              </w:rPr>
            </w:pPr>
            <w:r w:rsidRPr="00E4710F">
              <w:rPr>
                <w:rFonts w:eastAsia="Times New Roman" w:cs="Times New Roman"/>
                <w:color w:val="000000"/>
                <w:szCs w:val="24"/>
                <w:lang w:val="en-US"/>
              </w:rPr>
              <w:t> </w:t>
            </w:r>
          </w:p>
        </w:tc>
        <w:tc>
          <w:tcPr>
            <w:tcW w:w="1056" w:type="dxa"/>
            <w:tcBorders>
              <w:top w:val="nil"/>
              <w:left w:val="nil"/>
              <w:bottom w:val="single" w:sz="8" w:space="0" w:color="auto"/>
              <w:right w:val="single" w:sz="8" w:space="0" w:color="auto"/>
            </w:tcBorders>
            <w:shd w:val="clear" w:color="auto" w:fill="auto"/>
            <w:noWrap/>
            <w:vAlign w:val="bottom"/>
            <w:hideMark/>
          </w:tcPr>
          <w:p w:rsidR="00E4710F" w:rsidRPr="00E4710F" w:rsidRDefault="00E4710F" w:rsidP="00E4710F">
            <w:pPr>
              <w:spacing w:after="0" w:line="240" w:lineRule="auto"/>
              <w:rPr>
                <w:rFonts w:eastAsia="Times New Roman" w:cs="Times New Roman"/>
                <w:color w:val="000000"/>
                <w:szCs w:val="24"/>
                <w:lang w:val="en-US"/>
              </w:rPr>
            </w:pPr>
            <w:r w:rsidRPr="00E4710F">
              <w:rPr>
                <w:rFonts w:eastAsia="Times New Roman" w:cs="Times New Roman"/>
                <w:color w:val="000000"/>
                <w:szCs w:val="24"/>
                <w:lang w:val="en-US"/>
              </w:rPr>
              <w:t> </w:t>
            </w:r>
          </w:p>
        </w:tc>
        <w:tc>
          <w:tcPr>
            <w:tcW w:w="850" w:type="dxa"/>
            <w:tcBorders>
              <w:top w:val="nil"/>
              <w:left w:val="nil"/>
              <w:bottom w:val="single" w:sz="8" w:space="0" w:color="auto"/>
              <w:right w:val="single" w:sz="8" w:space="0" w:color="auto"/>
            </w:tcBorders>
            <w:shd w:val="clear" w:color="auto" w:fill="auto"/>
            <w:noWrap/>
            <w:vAlign w:val="bottom"/>
            <w:hideMark/>
          </w:tcPr>
          <w:p w:rsidR="00E4710F" w:rsidRPr="00E4710F" w:rsidRDefault="00E4710F" w:rsidP="00E4710F">
            <w:pPr>
              <w:spacing w:after="0" w:line="240" w:lineRule="auto"/>
              <w:rPr>
                <w:rFonts w:eastAsia="Times New Roman" w:cs="Times New Roman"/>
                <w:color w:val="000000"/>
                <w:szCs w:val="24"/>
                <w:lang w:val="en-US"/>
              </w:rPr>
            </w:pPr>
            <w:r w:rsidRPr="00E4710F">
              <w:rPr>
                <w:rFonts w:eastAsia="Times New Roman" w:cs="Times New Roman"/>
                <w:color w:val="000000"/>
                <w:szCs w:val="24"/>
                <w:lang w:val="en-US"/>
              </w:rPr>
              <w:t> </w:t>
            </w:r>
          </w:p>
        </w:tc>
        <w:tc>
          <w:tcPr>
            <w:tcW w:w="850" w:type="dxa"/>
            <w:tcBorders>
              <w:top w:val="nil"/>
              <w:left w:val="nil"/>
              <w:bottom w:val="single" w:sz="8" w:space="0" w:color="auto"/>
              <w:right w:val="single" w:sz="8" w:space="0" w:color="auto"/>
            </w:tcBorders>
            <w:shd w:val="clear" w:color="auto" w:fill="auto"/>
            <w:noWrap/>
            <w:vAlign w:val="bottom"/>
            <w:hideMark/>
          </w:tcPr>
          <w:p w:rsidR="00E4710F" w:rsidRPr="00E4710F" w:rsidRDefault="00E4710F" w:rsidP="00E4710F">
            <w:pPr>
              <w:spacing w:after="0" w:line="240" w:lineRule="auto"/>
              <w:rPr>
                <w:rFonts w:eastAsia="Times New Roman" w:cs="Times New Roman"/>
                <w:color w:val="000000"/>
                <w:szCs w:val="24"/>
                <w:lang w:val="en-US"/>
              </w:rPr>
            </w:pPr>
            <w:r w:rsidRPr="00E4710F">
              <w:rPr>
                <w:rFonts w:eastAsia="Times New Roman" w:cs="Times New Roman"/>
                <w:color w:val="000000"/>
                <w:szCs w:val="24"/>
                <w:lang w:val="en-US"/>
              </w:rPr>
              <w:t> </w:t>
            </w:r>
          </w:p>
        </w:tc>
      </w:tr>
      <w:tr w:rsidR="00E4710F" w:rsidRPr="00E4710F" w:rsidTr="001C22F3">
        <w:trPr>
          <w:trHeight w:val="628"/>
        </w:trPr>
        <w:tc>
          <w:tcPr>
            <w:tcW w:w="5024" w:type="dxa"/>
            <w:tcBorders>
              <w:top w:val="nil"/>
              <w:left w:val="single" w:sz="8" w:space="0" w:color="auto"/>
              <w:bottom w:val="single" w:sz="8" w:space="0" w:color="auto"/>
              <w:right w:val="single" w:sz="8" w:space="0" w:color="auto"/>
            </w:tcBorders>
            <w:shd w:val="clear" w:color="auto" w:fill="auto"/>
            <w:noWrap/>
            <w:vAlign w:val="bottom"/>
            <w:hideMark/>
          </w:tcPr>
          <w:p w:rsidR="00E4710F" w:rsidRPr="00E4710F" w:rsidRDefault="00E33645" w:rsidP="00E4710F">
            <w:pPr>
              <w:spacing w:after="0" w:line="240" w:lineRule="auto"/>
              <w:rPr>
                <w:rFonts w:eastAsia="Times New Roman" w:cs="Times New Roman"/>
                <w:color w:val="000000"/>
                <w:szCs w:val="24"/>
                <w:lang w:val="en-US"/>
              </w:rPr>
            </w:pPr>
            <w:r w:rsidRPr="00F51BC2">
              <w:rPr>
                <w:rFonts w:eastAsia="Times New Roman" w:cs="Times New Roman"/>
                <w:color w:val="000000"/>
                <w:szCs w:val="24"/>
              </w:rPr>
              <w:t>liquidity coverage ratios</w:t>
            </w:r>
            <w:r w:rsidRPr="00E33645">
              <w:rPr>
                <w:rFonts w:eastAsia="Times New Roman" w:cs="Times New Roman"/>
                <w:color w:val="000000"/>
                <w:szCs w:val="24"/>
              </w:rPr>
              <w:t>(LCR)</w:t>
            </w:r>
          </w:p>
        </w:tc>
        <w:tc>
          <w:tcPr>
            <w:tcW w:w="851" w:type="dxa"/>
            <w:tcBorders>
              <w:top w:val="nil"/>
              <w:left w:val="nil"/>
              <w:bottom w:val="single" w:sz="8" w:space="0" w:color="auto"/>
              <w:right w:val="single" w:sz="8" w:space="0" w:color="auto"/>
            </w:tcBorders>
            <w:shd w:val="clear" w:color="auto" w:fill="auto"/>
            <w:noWrap/>
            <w:vAlign w:val="bottom"/>
            <w:hideMark/>
          </w:tcPr>
          <w:p w:rsidR="00E4710F" w:rsidRPr="00E4710F" w:rsidRDefault="00E4710F" w:rsidP="00E4710F">
            <w:pPr>
              <w:spacing w:after="0" w:line="240" w:lineRule="auto"/>
              <w:rPr>
                <w:rFonts w:eastAsia="Times New Roman" w:cs="Times New Roman"/>
                <w:color w:val="000000"/>
                <w:szCs w:val="24"/>
                <w:lang w:val="en-US"/>
              </w:rPr>
            </w:pPr>
            <w:r w:rsidRPr="00E4710F">
              <w:rPr>
                <w:rFonts w:eastAsia="Times New Roman" w:cs="Times New Roman"/>
                <w:color w:val="000000"/>
                <w:szCs w:val="24"/>
                <w:lang w:val="en-US"/>
              </w:rPr>
              <w:t> </w:t>
            </w:r>
          </w:p>
        </w:tc>
        <w:tc>
          <w:tcPr>
            <w:tcW w:w="850" w:type="dxa"/>
            <w:tcBorders>
              <w:top w:val="nil"/>
              <w:left w:val="nil"/>
              <w:bottom w:val="single" w:sz="8" w:space="0" w:color="auto"/>
              <w:right w:val="single" w:sz="8" w:space="0" w:color="auto"/>
            </w:tcBorders>
            <w:shd w:val="clear" w:color="auto" w:fill="auto"/>
            <w:noWrap/>
            <w:vAlign w:val="bottom"/>
            <w:hideMark/>
          </w:tcPr>
          <w:p w:rsidR="00E4710F" w:rsidRPr="00E4710F" w:rsidRDefault="00E4710F" w:rsidP="00E4710F">
            <w:pPr>
              <w:spacing w:after="0" w:line="240" w:lineRule="auto"/>
              <w:rPr>
                <w:rFonts w:eastAsia="Times New Roman" w:cs="Times New Roman"/>
                <w:color w:val="000000"/>
                <w:szCs w:val="24"/>
                <w:lang w:val="en-US"/>
              </w:rPr>
            </w:pPr>
            <w:r w:rsidRPr="00E4710F">
              <w:rPr>
                <w:rFonts w:eastAsia="Times New Roman" w:cs="Times New Roman"/>
                <w:color w:val="000000"/>
                <w:szCs w:val="24"/>
                <w:lang w:val="en-US"/>
              </w:rPr>
              <w:t> </w:t>
            </w:r>
          </w:p>
        </w:tc>
        <w:tc>
          <w:tcPr>
            <w:tcW w:w="1056" w:type="dxa"/>
            <w:tcBorders>
              <w:top w:val="nil"/>
              <w:left w:val="nil"/>
              <w:bottom w:val="single" w:sz="8" w:space="0" w:color="auto"/>
              <w:right w:val="single" w:sz="8" w:space="0" w:color="auto"/>
            </w:tcBorders>
            <w:shd w:val="clear" w:color="auto" w:fill="auto"/>
            <w:noWrap/>
            <w:vAlign w:val="bottom"/>
            <w:hideMark/>
          </w:tcPr>
          <w:p w:rsidR="00E4710F" w:rsidRPr="00E4710F" w:rsidRDefault="001C22F3" w:rsidP="001C22F3">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136</w:t>
            </w:r>
            <w:r w:rsidR="00E4710F" w:rsidRPr="00E4710F">
              <w:rPr>
                <w:rFonts w:eastAsia="Times New Roman" w:cs="Times New Roman"/>
                <w:color w:val="000000"/>
                <w:szCs w:val="24"/>
                <w:lang w:val="en-US"/>
              </w:rPr>
              <w:t>%</w:t>
            </w:r>
          </w:p>
        </w:tc>
        <w:tc>
          <w:tcPr>
            <w:tcW w:w="850" w:type="dxa"/>
            <w:tcBorders>
              <w:top w:val="nil"/>
              <w:left w:val="nil"/>
              <w:bottom w:val="single" w:sz="8" w:space="0" w:color="auto"/>
              <w:right w:val="single" w:sz="8" w:space="0" w:color="auto"/>
            </w:tcBorders>
            <w:shd w:val="clear" w:color="auto" w:fill="auto"/>
            <w:noWrap/>
            <w:vAlign w:val="bottom"/>
            <w:hideMark/>
          </w:tcPr>
          <w:p w:rsidR="00E4710F" w:rsidRPr="00E4710F" w:rsidRDefault="00E4710F" w:rsidP="00E4710F">
            <w:pPr>
              <w:spacing w:after="0" w:line="240" w:lineRule="auto"/>
              <w:jc w:val="right"/>
              <w:rPr>
                <w:rFonts w:eastAsia="Times New Roman" w:cs="Times New Roman"/>
                <w:color w:val="000000"/>
                <w:szCs w:val="24"/>
                <w:lang w:val="en-US"/>
              </w:rPr>
            </w:pPr>
            <w:r w:rsidRPr="00E4710F">
              <w:rPr>
                <w:rFonts w:eastAsia="Times New Roman" w:cs="Times New Roman"/>
                <w:color w:val="000000"/>
                <w:szCs w:val="24"/>
                <w:lang w:val="en-US"/>
              </w:rPr>
              <w:t>123%</w:t>
            </w:r>
          </w:p>
        </w:tc>
        <w:tc>
          <w:tcPr>
            <w:tcW w:w="850" w:type="dxa"/>
            <w:tcBorders>
              <w:top w:val="nil"/>
              <w:left w:val="nil"/>
              <w:bottom w:val="single" w:sz="8" w:space="0" w:color="auto"/>
              <w:right w:val="single" w:sz="8" w:space="0" w:color="auto"/>
            </w:tcBorders>
            <w:shd w:val="clear" w:color="auto" w:fill="auto"/>
            <w:noWrap/>
            <w:vAlign w:val="bottom"/>
            <w:hideMark/>
          </w:tcPr>
          <w:p w:rsidR="00E4710F" w:rsidRPr="00E4710F" w:rsidRDefault="00E4710F" w:rsidP="00E4710F">
            <w:pPr>
              <w:spacing w:after="0" w:line="240" w:lineRule="auto"/>
              <w:jc w:val="right"/>
              <w:rPr>
                <w:rFonts w:eastAsia="Times New Roman" w:cs="Times New Roman"/>
                <w:color w:val="000000"/>
                <w:szCs w:val="24"/>
                <w:lang w:val="en-US"/>
              </w:rPr>
            </w:pPr>
            <w:r w:rsidRPr="00E4710F">
              <w:rPr>
                <w:rFonts w:eastAsia="Times New Roman" w:cs="Times New Roman"/>
                <w:color w:val="000000"/>
                <w:szCs w:val="24"/>
                <w:lang w:val="en-US"/>
              </w:rPr>
              <w:t>140%</w:t>
            </w:r>
          </w:p>
        </w:tc>
      </w:tr>
    </w:tbl>
    <w:p w:rsidR="007D0364" w:rsidRPr="007D0364" w:rsidRDefault="007D0364" w:rsidP="007D0364">
      <w:pPr>
        <w:jc w:val="center"/>
        <w:rPr>
          <w:b/>
        </w:rPr>
      </w:pPr>
      <w:r>
        <w:t>Table-7-</w:t>
      </w:r>
      <w:r w:rsidRPr="00EB44B5">
        <w:rPr>
          <w:rFonts w:eastAsia="Times New Roman" w:cs="Times New Roman"/>
          <w:color w:val="000000"/>
          <w:szCs w:val="24"/>
        </w:rPr>
        <w:t xml:space="preserve"> </w:t>
      </w:r>
      <w:r>
        <w:rPr>
          <w:rFonts w:eastAsia="Times New Roman" w:cs="Times New Roman"/>
          <w:color w:val="000000"/>
          <w:szCs w:val="24"/>
        </w:rPr>
        <w:t>LCR-</w:t>
      </w:r>
      <w:r w:rsidRPr="00EB44B5">
        <w:t xml:space="preserve"> </w:t>
      </w:r>
      <w:r>
        <w:t>RBS</w:t>
      </w:r>
    </w:p>
    <w:p w:rsidR="00E4710F" w:rsidRDefault="00E4710F"/>
    <w:p w:rsidR="00D30FEF" w:rsidRPr="008163BA" w:rsidRDefault="00D30FEF" w:rsidP="00D30FEF">
      <w:pPr>
        <w:rPr>
          <w:color w:val="000000" w:themeColor="text1"/>
        </w:rPr>
      </w:pPr>
      <w:r w:rsidRPr="008163BA">
        <w:rPr>
          <w:color w:val="000000" w:themeColor="text1"/>
        </w:rPr>
        <w:t xml:space="preserve">On an average the high quality asset holding of the </w:t>
      </w:r>
      <w:r w:rsidRPr="00D85CAD">
        <w:t>Barclays</w:t>
      </w:r>
      <w:r w:rsidRPr="008163BA">
        <w:rPr>
          <w:color w:val="000000" w:themeColor="text1"/>
        </w:rPr>
        <w:t xml:space="preserve"> bank is more than 124% of the stress cash situation that the bank may face with in a period of 30 days.</w:t>
      </w:r>
    </w:p>
    <w:p w:rsidR="00D30FEF" w:rsidRDefault="00D30FEF" w:rsidP="00D30FEF">
      <w:pPr>
        <w:rPr>
          <w:color w:val="000000" w:themeColor="text1"/>
        </w:rPr>
      </w:pPr>
      <w:r w:rsidRPr="008163BA">
        <w:rPr>
          <w:color w:val="000000" w:themeColor="text1"/>
        </w:rPr>
        <w:t xml:space="preserve">On an average the high quality asset holding of the </w:t>
      </w:r>
      <w:r w:rsidRPr="00D85CAD">
        <w:t>Barclays</w:t>
      </w:r>
      <w:r w:rsidRPr="008163BA">
        <w:rPr>
          <w:color w:val="000000" w:themeColor="text1"/>
        </w:rPr>
        <w:t xml:space="preserve"> bank is more</w:t>
      </w:r>
      <w:r w:rsidR="00FA07BC">
        <w:rPr>
          <w:color w:val="000000" w:themeColor="text1"/>
        </w:rPr>
        <w:t xml:space="preserve"> than 133</w:t>
      </w:r>
      <w:r w:rsidRPr="008163BA">
        <w:rPr>
          <w:color w:val="000000" w:themeColor="text1"/>
        </w:rPr>
        <w:t>% of the stress cash situation that the bank may face with in a period of 30 days.</w:t>
      </w:r>
    </w:p>
    <w:p w:rsidR="00CD3EC9" w:rsidRDefault="00CD3EC9" w:rsidP="00CD3EC9">
      <w:r>
        <w:t xml:space="preserve">So investors will feel more secured to invest in RBS due to </w:t>
      </w:r>
      <w:proofErr w:type="gramStart"/>
      <w:r>
        <w:t>strong  support</w:t>
      </w:r>
      <w:proofErr w:type="gramEnd"/>
      <w:r>
        <w:t xml:space="preserve">  of high quality assets</w:t>
      </w:r>
      <w:r w:rsidR="00070C11">
        <w:t xml:space="preserve"> that can be used for servicing the funding requirements of the bank</w:t>
      </w:r>
      <w:r>
        <w:t>.</w:t>
      </w:r>
    </w:p>
    <w:p w:rsidR="00FA07BC" w:rsidRPr="008163BA" w:rsidRDefault="00FA07BC" w:rsidP="00D30FEF">
      <w:pPr>
        <w:rPr>
          <w:color w:val="000000" w:themeColor="text1"/>
        </w:rPr>
      </w:pPr>
    </w:p>
    <w:p w:rsidR="00E4710F" w:rsidRDefault="00E4710F"/>
    <w:p w:rsidR="00E4710F" w:rsidRDefault="00E4710F">
      <w:r w:rsidRPr="00286EA9">
        <w:rPr>
          <w:rFonts w:eastAsia="Times New Roman" w:cs="Times New Roman"/>
          <w:color w:val="000000"/>
          <w:szCs w:val="24"/>
        </w:rPr>
        <w:t>Loan to deposit ratio</w:t>
      </w:r>
      <w:r>
        <w:rPr>
          <w:rFonts w:eastAsia="Times New Roman" w:cs="Times New Roman"/>
          <w:color w:val="000000"/>
          <w:szCs w:val="24"/>
        </w:rPr>
        <w:t>:</w:t>
      </w:r>
    </w:p>
    <w:tbl>
      <w:tblPr>
        <w:tblW w:w="9184" w:type="dxa"/>
        <w:tblInd w:w="95"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Look w:val="04A0" w:firstRow="1" w:lastRow="0" w:firstColumn="1" w:lastColumn="0" w:noHBand="0" w:noVBand="1"/>
      </w:tblPr>
      <w:tblGrid>
        <w:gridCol w:w="4152"/>
        <w:gridCol w:w="960"/>
        <w:gridCol w:w="960"/>
        <w:gridCol w:w="1076"/>
        <w:gridCol w:w="1076"/>
        <w:gridCol w:w="960"/>
      </w:tblGrid>
      <w:tr w:rsidR="00E73DB5" w:rsidRPr="00286EA9" w:rsidTr="00E73DB5">
        <w:trPr>
          <w:trHeight w:val="630"/>
        </w:trPr>
        <w:tc>
          <w:tcPr>
            <w:tcW w:w="4152"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000000" w:fill="FFFFFF"/>
            <w:noWrap/>
            <w:vAlign w:val="bottom"/>
            <w:hideMark/>
          </w:tcPr>
          <w:p w:rsidR="00E73DB5" w:rsidRPr="00286EA9" w:rsidRDefault="00CD0816" w:rsidP="00CE4ECF">
            <w:pPr>
              <w:spacing w:after="0" w:line="240" w:lineRule="auto"/>
              <w:rPr>
                <w:rFonts w:eastAsia="Times New Roman" w:cs="Times New Roman"/>
                <w:color w:val="000000"/>
                <w:szCs w:val="24"/>
              </w:rPr>
            </w:pPr>
            <w:r w:rsidRPr="00D85CAD">
              <w:t>Barclays</w:t>
            </w:r>
            <w:r>
              <w:t xml:space="preserve"> bank</w:t>
            </w:r>
          </w:p>
        </w:tc>
        <w:tc>
          <w:tcPr>
            <w:tcW w:w="960"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000000" w:fill="FFFFFF"/>
            <w:noWrap/>
            <w:vAlign w:val="bottom"/>
            <w:hideMark/>
          </w:tcPr>
          <w:p w:rsidR="00E73DB5" w:rsidRPr="00286EA9" w:rsidRDefault="00E73DB5" w:rsidP="00CE4ECF">
            <w:pPr>
              <w:spacing w:after="0" w:line="240" w:lineRule="auto"/>
              <w:rPr>
                <w:rFonts w:eastAsia="Times New Roman" w:cs="Times New Roman"/>
                <w:color w:val="000000"/>
                <w:szCs w:val="24"/>
              </w:rPr>
            </w:pPr>
            <w:r w:rsidRPr="00286EA9">
              <w:rPr>
                <w:rFonts w:eastAsia="Times New Roman" w:cs="Times New Roman"/>
                <w:color w:val="000000"/>
                <w:szCs w:val="24"/>
              </w:rPr>
              <w:t>2013</w:t>
            </w:r>
          </w:p>
        </w:tc>
        <w:tc>
          <w:tcPr>
            <w:tcW w:w="960"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000000" w:fill="FFFFFF"/>
            <w:noWrap/>
            <w:vAlign w:val="bottom"/>
            <w:hideMark/>
          </w:tcPr>
          <w:p w:rsidR="00E73DB5" w:rsidRPr="00286EA9" w:rsidRDefault="00E73DB5" w:rsidP="00CE4ECF">
            <w:pPr>
              <w:spacing w:after="0" w:line="240" w:lineRule="auto"/>
              <w:rPr>
                <w:rFonts w:eastAsia="Times New Roman" w:cs="Times New Roman"/>
                <w:color w:val="000000"/>
                <w:szCs w:val="24"/>
              </w:rPr>
            </w:pPr>
            <w:r w:rsidRPr="00286EA9">
              <w:rPr>
                <w:rFonts w:eastAsia="Times New Roman" w:cs="Times New Roman"/>
                <w:color w:val="000000"/>
                <w:szCs w:val="24"/>
              </w:rPr>
              <w:t>2014</w:t>
            </w:r>
          </w:p>
        </w:tc>
        <w:tc>
          <w:tcPr>
            <w:tcW w:w="1076"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000000" w:fill="FFFFFF"/>
            <w:noWrap/>
            <w:vAlign w:val="bottom"/>
            <w:hideMark/>
          </w:tcPr>
          <w:p w:rsidR="00E73DB5" w:rsidRPr="00286EA9" w:rsidRDefault="00E73DB5" w:rsidP="00CE4ECF">
            <w:pPr>
              <w:spacing w:after="0" w:line="240" w:lineRule="auto"/>
              <w:rPr>
                <w:rFonts w:eastAsia="Times New Roman" w:cs="Times New Roman"/>
                <w:color w:val="000000"/>
                <w:szCs w:val="24"/>
              </w:rPr>
            </w:pPr>
            <w:r w:rsidRPr="00286EA9">
              <w:rPr>
                <w:rFonts w:eastAsia="Times New Roman" w:cs="Times New Roman"/>
                <w:color w:val="000000"/>
                <w:szCs w:val="24"/>
              </w:rPr>
              <w:t>2015</w:t>
            </w:r>
          </w:p>
        </w:tc>
        <w:tc>
          <w:tcPr>
            <w:tcW w:w="1076"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000000" w:fill="FFFFFF"/>
            <w:noWrap/>
            <w:vAlign w:val="bottom"/>
            <w:hideMark/>
          </w:tcPr>
          <w:p w:rsidR="00E73DB5" w:rsidRPr="00286EA9" w:rsidRDefault="00E73DB5" w:rsidP="00CE4ECF">
            <w:pPr>
              <w:spacing w:after="0" w:line="240" w:lineRule="auto"/>
              <w:rPr>
                <w:rFonts w:eastAsia="Times New Roman" w:cs="Times New Roman"/>
                <w:color w:val="000000"/>
                <w:szCs w:val="24"/>
              </w:rPr>
            </w:pPr>
            <w:r w:rsidRPr="00286EA9">
              <w:rPr>
                <w:rFonts w:eastAsia="Times New Roman" w:cs="Times New Roman"/>
                <w:color w:val="000000"/>
                <w:szCs w:val="24"/>
              </w:rPr>
              <w:t>2016</w:t>
            </w:r>
          </w:p>
        </w:tc>
        <w:tc>
          <w:tcPr>
            <w:tcW w:w="960"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000000" w:fill="FFFFFF"/>
            <w:noWrap/>
            <w:vAlign w:val="bottom"/>
            <w:hideMark/>
          </w:tcPr>
          <w:p w:rsidR="00E73DB5" w:rsidRPr="00286EA9" w:rsidRDefault="00E73DB5" w:rsidP="00CE4ECF">
            <w:pPr>
              <w:spacing w:after="0" w:line="240" w:lineRule="auto"/>
              <w:rPr>
                <w:rFonts w:eastAsia="Times New Roman" w:cs="Times New Roman"/>
                <w:color w:val="000000"/>
                <w:szCs w:val="24"/>
              </w:rPr>
            </w:pPr>
            <w:r w:rsidRPr="00286EA9">
              <w:rPr>
                <w:rFonts w:eastAsia="Times New Roman" w:cs="Times New Roman"/>
                <w:color w:val="000000"/>
                <w:szCs w:val="24"/>
              </w:rPr>
              <w:t>2017</w:t>
            </w:r>
          </w:p>
        </w:tc>
      </w:tr>
      <w:tr w:rsidR="00E73DB5" w:rsidRPr="00286EA9" w:rsidTr="00E73DB5">
        <w:trPr>
          <w:trHeight w:val="630"/>
        </w:trPr>
        <w:tc>
          <w:tcPr>
            <w:tcW w:w="4152"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000000" w:fill="FFFFFF"/>
            <w:noWrap/>
            <w:vAlign w:val="bottom"/>
            <w:hideMark/>
          </w:tcPr>
          <w:p w:rsidR="00E73DB5" w:rsidRPr="00286EA9" w:rsidRDefault="00E73DB5" w:rsidP="00E73DB5">
            <w:pPr>
              <w:spacing w:after="0" w:line="240" w:lineRule="auto"/>
              <w:rPr>
                <w:rFonts w:eastAsia="Times New Roman" w:cs="Times New Roman"/>
                <w:color w:val="000000"/>
                <w:szCs w:val="24"/>
              </w:rPr>
            </w:pPr>
            <w:r w:rsidRPr="00286EA9">
              <w:rPr>
                <w:rFonts w:eastAsia="Times New Roman" w:cs="Times New Roman"/>
                <w:color w:val="000000"/>
                <w:szCs w:val="24"/>
              </w:rPr>
              <w:t>Loan to deposit ratio</w:t>
            </w:r>
          </w:p>
        </w:tc>
        <w:tc>
          <w:tcPr>
            <w:tcW w:w="960"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000000" w:fill="FFFFFF"/>
            <w:noWrap/>
            <w:vAlign w:val="bottom"/>
            <w:hideMark/>
          </w:tcPr>
          <w:p w:rsidR="00E73DB5" w:rsidRPr="00286EA9" w:rsidRDefault="00E73DB5" w:rsidP="00E73DB5">
            <w:pPr>
              <w:spacing w:after="0" w:line="240" w:lineRule="auto"/>
              <w:rPr>
                <w:rFonts w:eastAsia="Times New Roman" w:cs="Times New Roman"/>
                <w:color w:val="000000"/>
                <w:szCs w:val="24"/>
              </w:rPr>
            </w:pPr>
            <w:r w:rsidRPr="00286EA9">
              <w:rPr>
                <w:rFonts w:eastAsia="Times New Roman" w:cs="Times New Roman"/>
                <w:color w:val="000000"/>
                <w:szCs w:val="24"/>
              </w:rPr>
              <w:t>91%</w:t>
            </w:r>
          </w:p>
        </w:tc>
        <w:tc>
          <w:tcPr>
            <w:tcW w:w="960"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000000" w:fill="FFFFFF"/>
            <w:noWrap/>
            <w:vAlign w:val="bottom"/>
            <w:hideMark/>
          </w:tcPr>
          <w:p w:rsidR="00E73DB5" w:rsidRPr="00286EA9" w:rsidRDefault="00E73DB5" w:rsidP="00E73DB5">
            <w:pPr>
              <w:spacing w:after="0" w:line="240" w:lineRule="auto"/>
              <w:rPr>
                <w:rFonts w:eastAsia="Times New Roman" w:cs="Times New Roman"/>
                <w:color w:val="000000"/>
                <w:szCs w:val="24"/>
              </w:rPr>
            </w:pPr>
            <w:r w:rsidRPr="00286EA9">
              <w:rPr>
                <w:rFonts w:eastAsia="Times New Roman" w:cs="Times New Roman"/>
                <w:color w:val="000000"/>
                <w:szCs w:val="24"/>
              </w:rPr>
              <w:t>89%</w:t>
            </w:r>
          </w:p>
        </w:tc>
        <w:tc>
          <w:tcPr>
            <w:tcW w:w="1076"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000000" w:fill="FFFFFF"/>
            <w:noWrap/>
            <w:vAlign w:val="bottom"/>
            <w:hideMark/>
          </w:tcPr>
          <w:p w:rsidR="00E73DB5" w:rsidRPr="00286EA9" w:rsidRDefault="00E73DB5" w:rsidP="00E73DB5">
            <w:pPr>
              <w:spacing w:after="0" w:line="240" w:lineRule="auto"/>
              <w:rPr>
                <w:rFonts w:eastAsia="Times New Roman" w:cs="Times New Roman"/>
                <w:color w:val="000000"/>
                <w:szCs w:val="24"/>
              </w:rPr>
            </w:pPr>
            <w:r w:rsidRPr="00286EA9">
              <w:rPr>
                <w:rFonts w:eastAsia="Times New Roman" w:cs="Times New Roman"/>
                <w:color w:val="000000"/>
                <w:szCs w:val="24"/>
              </w:rPr>
              <w:t>95%</w:t>
            </w:r>
          </w:p>
        </w:tc>
        <w:tc>
          <w:tcPr>
            <w:tcW w:w="1076"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000000" w:fill="FFFFFF"/>
            <w:noWrap/>
            <w:vAlign w:val="bottom"/>
            <w:hideMark/>
          </w:tcPr>
          <w:p w:rsidR="00E73DB5" w:rsidRPr="00286EA9" w:rsidRDefault="00E73DB5" w:rsidP="00E73DB5">
            <w:pPr>
              <w:spacing w:after="0" w:line="240" w:lineRule="auto"/>
              <w:rPr>
                <w:rFonts w:eastAsia="Times New Roman" w:cs="Times New Roman"/>
                <w:color w:val="000000"/>
                <w:szCs w:val="24"/>
              </w:rPr>
            </w:pPr>
            <w:r w:rsidRPr="00286EA9">
              <w:rPr>
                <w:rFonts w:eastAsia="Times New Roman" w:cs="Times New Roman"/>
                <w:color w:val="000000"/>
                <w:szCs w:val="24"/>
              </w:rPr>
              <w:t>89%</w:t>
            </w:r>
          </w:p>
        </w:tc>
        <w:tc>
          <w:tcPr>
            <w:tcW w:w="960"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000000" w:fill="FFFFFF"/>
            <w:noWrap/>
            <w:vAlign w:val="bottom"/>
            <w:hideMark/>
          </w:tcPr>
          <w:p w:rsidR="00E73DB5" w:rsidRPr="00286EA9" w:rsidRDefault="00E73DB5" w:rsidP="00E73DB5">
            <w:pPr>
              <w:spacing w:after="0" w:line="240" w:lineRule="auto"/>
              <w:rPr>
                <w:rFonts w:eastAsia="Times New Roman" w:cs="Times New Roman"/>
                <w:color w:val="000000"/>
                <w:szCs w:val="24"/>
              </w:rPr>
            </w:pPr>
            <w:r w:rsidRPr="00286EA9">
              <w:rPr>
                <w:rFonts w:eastAsia="Times New Roman" w:cs="Times New Roman"/>
                <w:color w:val="000000"/>
                <w:szCs w:val="24"/>
              </w:rPr>
              <w:t>80%</w:t>
            </w:r>
          </w:p>
        </w:tc>
      </w:tr>
    </w:tbl>
    <w:p w:rsidR="007D0364" w:rsidRPr="007D0364" w:rsidRDefault="007D0364" w:rsidP="007D0364">
      <w:pPr>
        <w:jc w:val="center"/>
        <w:rPr>
          <w:b/>
        </w:rPr>
      </w:pPr>
      <w:r>
        <w:t>Table-</w:t>
      </w:r>
      <w:r w:rsidR="00C7398F">
        <w:t>8</w:t>
      </w:r>
      <w:r>
        <w:t>-</w:t>
      </w:r>
      <w:r w:rsidRPr="00EB44B5">
        <w:rPr>
          <w:rFonts w:eastAsia="Times New Roman" w:cs="Times New Roman"/>
          <w:color w:val="000000"/>
          <w:szCs w:val="24"/>
        </w:rPr>
        <w:t xml:space="preserve"> </w:t>
      </w:r>
      <w:r w:rsidRPr="00286EA9">
        <w:rPr>
          <w:rFonts w:eastAsia="Times New Roman" w:cs="Times New Roman"/>
          <w:color w:val="000000"/>
          <w:szCs w:val="24"/>
        </w:rPr>
        <w:t>Loan to deposit ratio</w:t>
      </w:r>
      <w:r>
        <w:rPr>
          <w:rFonts w:eastAsia="Times New Roman" w:cs="Times New Roman"/>
          <w:color w:val="000000"/>
          <w:szCs w:val="24"/>
        </w:rPr>
        <w:t xml:space="preserve"> -</w:t>
      </w:r>
      <w:r w:rsidRPr="00EB44B5">
        <w:t xml:space="preserve"> </w:t>
      </w:r>
      <w:r w:rsidR="00C7398F" w:rsidRPr="00D85CAD">
        <w:t>Barclays</w:t>
      </w:r>
      <w:r w:rsidR="00C7398F">
        <w:t xml:space="preserve"> bank</w:t>
      </w:r>
    </w:p>
    <w:p w:rsidR="00C471BB" w:rsidRDefault="00C471BB" w:rsidP="007A6CE8"/>
    <w:tbl>
      <w:tblPr>
        <w:tblW w:w="7020" w:type="dxa"/>
        <w:jc w:val="center"/>
        <w:tblLook w:val="04A0" w:firstRow="1" w:lastRow="0" w:firstColumn="1" w:lastColumn="0" w:noHBand="0" w:noVBand="1"/>
      </w:tblPr>
      <w:tblGrid>
        <w:gridCol w:w="2220"/>
        <w:gridCol w:w="960"/>
        <w:gridCol w:w="960"/>
        <w:gridCol w:w="960"/>
        <w:gridCol w:w="960"/>
        <w:gridCol w:w="960"/>
      </w:tblGrid>
      <w:tr w:rsidR="00E33645" w:rsidRPr="00E33645" w:rsidTr="00C7398F">
        <w:trPr>
          <w:trHeight w:val="330"/>
          <w:jc w:val="center"/>
        </w:trPr>
        <w:tc>
          <w:tcPr>
            <w:tcW w:w="22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E33645" w:rsidRPr="00E33645" w:rsidRDefault="00E33645" w:rsidP="00E33645">
            <w:pPr>
              <w:spacing w:after="0" w:line="240" w:lineRule="auto"/>
              <w:rPr>
                <w:rFonts w:eastAsia="Times New Roman" w:cs="Times New Roman"/>
                <w:color w:val="000000"/>
                <w:szCs w:val="24"/>
                <w:lang w:val="en-US"/>
              </w:rPr>
            </w:pPr>
            <w:r w:rsidRPr="00E33645">
              <w:rPr>
                <w:rFonts w:eastAsia="Times New Roman" w:cs="Times New Roman"/>
                <w:color w:val="000000"/>
                <w:szCs w:val="24"/>
                <w:lang w:val="en-US"/>
              </w:rPr>
              <w:t> </w:t>
            </w:r>
            <w:r w:rsidR="000C705B" w:rsidRPr="00E4710F">
              <w:rPr>
                <w:rFonts w:eastAsia="Times New Roman" w:cs="Times New Roman"/>
                <w:color w:val="000000"/>
                <w:szCs w:val="24"/>
                <w:lang w:val="en-US"/>
              </w:rPr>
              <w:t> </w:t>
            </w:r>
            <w:r w:rsidR="000C705B" w:rsidRPr="00CD0816">
              <w:rPr>
                <w:rFonts w:eastAsia="Times New Roman" w:cs="Times New Roman"/>
                <w:color w:val="000000"/>
                <w:szCs w:val="24"/>
                <w:lang w:val="en-US"/>
              </w:rPr>
              <w:t> </w:t>
            </w:r>
            <w:r w:rsidR="000C705B" w:rsidRPr="000C705B">
              <w:rPr>
                <w:rFonts w:eastAsia="Times New Roman" w:cs="Times New Roman"/>
                <w:color w:val="000000"/>
                <w:szCs w:val="24"/>
                <w:lang w:val="en-US"/>
              </w:rPr>
              <w:t>RBS-Royal Bank of Scotland</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rsidR="00E33645" w:rsidRPr="00E33645" w:rsidRDefault="00E33645" w:rsidP="00E33645">
            <w:pPr>
              <w:spacing w:after="0" w:line="240" w:lineRule="auto"/>
              <w:jc w:val="right"/>
              <w:rPr>
                <w:rFonts w:eastAsia="Times New Roman" w:cs="Times New Roman"/>
                <w:color w:val="000000"/>
                <w:szCs w:val="24"/>
                <w:lang w:val="en-US"/>
              </w:rPr>
            </w:pPr>
            <w:r w:rsidRPr="00E33645">
              <w:rPr>
                <w:rFonts w:eastAsia="Times New Roman" w:cs="Times New Roman"/>
                <w:color w:val="000000"/>
                <w:szCs w:val="24"/>
                <w:lang w:val="en-US"/>
              </w:rPr>
              <w:t>2013</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rsidR="00E33645" w:rsidRPr="00E33645" w:rsidRDefault="00E33645" w:rsidP="00E33645">
            <w:pPr>
              <w:spacing w:after="0" w:line="240" w:lineRule="auto"/>
              <w:jc w:val="right"/>
              <w:rPr>
                <w:rFonts w:eastAsia="Times New Roman" w:cs="Times New Roman"/>
                <w:color w:val="000000"/>
                <w:szCs w:val="24"/>
                <w:lang w:val="en-US"/>
              </w:rPr>
            </w:pPr>
            <w:r w:rsidRPr="00E33645">
              <w:rPr>
                <w:rFonts w:eastAsia="Times New Roman" w:cs="Times New Roman"/>
                <w:color w:val="000000"/>
                <w:szCs w:val="24"/>
                <w:lang w:val="en-US"/>
              </w:rPr>
              <w:t>2014</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rsidR="00E33645" w:rsidRPr="00E33645" w:rsidRDefault="00E33645" w:rsidP="00E33645">
            <w:pPr>
              <w:spacing w:after="0" w:line="240" w:lineRule="auto"/>
              <w:jc w:val="right"/>
              <w:rPr>
                <w:rFonts w:eastAsia="Times New Roman" w:cs="Times New Roman"/>
                <w:color w:val="000000"/>
                <w:szCs w:val="24"/>
                <w:lang w:val="en-US"/>
              </w:rPr>
            </w:pPr>
            <w:r w:rsidRPr="00E33645">
              <w:rPr>
                <w:rFonts w:eastAsia="Times New Roman" w:cs="Times New Roman"/>
                <w:color w:val="000000"/>
                <w:szCs w:val="24"/>
                <w:lang w:val="en-US"/>
              </w:rPr>
              <w:t>2015</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rsidR="00E33645" w:rsidRPr="00E33645" w:rsidRDefault="00E33645" w:rsidP="00E33645">
            <w:pPr>
              <w:spacing w:after="0" w:line="240" w:lineRule="auto"/>
              <w:jc w:val="right"/>
              <w:rPr>
                <w:rFonts w:eastAsia="Times New Roman" w:cs="Times New Roman"/>
                <w:color w:val="000000"/>
                <w:szCs w:val="24"/>
                <w:lang w:val="en-US"/>
              </w:rPr>
            </w:pPr>
            <w:r w:rsidRPr="00E33645">
              <w:rPr>
                <w:rFonts w:eastAsia="Times New Roman" w:cs="Times New Roman"/>
                <w:color w:val="000000"/>
                <w:szCs w:val="24"/>
                <w:lang w:val="en-US"/>
              </w:rPr>
              <w:t>2016</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rsidR="00E33645" w:rsidRPr="00E33645" w:rsidRDefault="00E33645" w:rsidP="00E33645">
            <w:pPr>
              <w:spacing w:after="0" w:line="240" w:lineRule="auto"/>
              <w:jc w:val="right"/>
              <w:rPr>
                <w:rFonts w:eastAsia="Times New Roman" w:cs="Times New Roman"/>
                <w:color w:val="000000"/>
                <w:szCs w:val="24"/>
                <w:lang w:val="en-US"/>
              </w:rPr>
            </w:pPr>
            <w:r w:rsidRPr="00E33645">
              <w:rPr>
                <w:rFonts w:eastAsia="Times New Roman" w:cs="Times New Roman"/>
                <w:color w:val="000000"/>
                <w:szCs w:val="24"/>
                <w:lang w:val="en-US"/>
              </w:rPr>
              <w:t>2017</w:t>
            </w:r>
          </w:p>
        </w:tc>
      </w:tr>
      <w:tr w:rsidR="00E33645" w:rsidRPr="00E33645" w:rsidTr="00C7398F">
        <w:trPr>
          <w:trHeight w:val="330"/>
          <w:jc w:val="center"/>
        </w:trPr>
        <w:tc>
          <w:tcPr>
            <w:tcW w:w="2220" w:type="dxa"/>
            <w:tcBorders>
              <w:top w:val="nil"/>
              <w:left w:val="single" w:sz="8" w:space="0" w:color="auto"/>
              <w:bottom w:val="single" w:sz="8" w:space="0" w:color="auto"/>
              <w:right w:val="single" w:sz="8" w:space="0" w:color="auto"/>
            </w:tcBorders>
            <w:shd w:val="clear" w:color="auto" w:fill="auto"/>
            <w:noWrap/>
            <w:vAlign w:val="bottom"/>
            <w:hideMark/>
          </w:tcPr>
          <w:p w:rsidR="00E33645" w:rsidRPr="00E33645" w:rsidRDefault="00E33645" w:rsidP="00E33645">
            <w:pPr>
              <w:spacing w:after="0" w:line="240" w:lineRule="auto"/>
              <w:rPr>
                <w:rFonts w:eastAsia="Times New Roman" w:cs="Times New Roman"/>
                <w:color w:val="000000"/>
                <w:szCs w:val="24"/>
                <w:lang w:val="en-US"/>
              </w:rPr>
            </w:pPr>
            <w:r w:rsidRPr="00E33645">
              <w:rPr>
                <w:rFonts w:eastAsia="Times New Roman" w:cs="Times New Roman"/>
                <w:color w:val="000000"/>
                <w:szCs w:val="24"/>
                <w:lang w:val="en-US"/>
              </w:rPr>
              <w:t>Asset  Quality</w:t>
            </w:r>
          </w:p>
        </w:tc>
        <w:tc>
          <w:tcPr>
            <w:tcW w:w="960" w:type="dxa"/>
            <w:tcBorders>
              <w:top w:val="nil"/>
              <w:left w:val="nil"/>
              <w:bottom w:val="single" w:sz="8" w:space="0" w:color="auto"/>
              <w:right w:val="single" w:sz="8" w:space="0" w:color="auto"/>
            </w:tcBorders>
            <w:shd w:val="clear" w:color="auto" w:fill="auto"/>
            <w:noWrap/>
            <w:vAlign w:val="bottom"/>
            <w:hideMark/>
          </w:tcPr>
          <w:p w:rsidR="00E33645" w:rsidRPr="00E33645" w:rsidRDefault="00E33645" w:rsidP="00E33645">
            <w:pPr>
              <w:spacing w:after="0" w:line="240" w:lineRule="auto"/>
              <w:rPr>
                <w:rFonts w:eastAsia="Times New Roman" w:cs="Times New Roman"/>
                <w:color w:val="000000"/>
                <w:szCs w:val="24"/>
                <w:lang w:val="en-US"/>
              </w:rPr>
            </w:pPr>
            <w:r w:rsidRPr="00E33645">
              <w:rPr>
                <w:rFonts w:eastAsia="Times New Roman" w:cs="Times New Roman"/>
                <w:color w:val="000000"/>
                <w:szCs w:val="24"/>
                <w:lang w:val="en-US"/>
              </w:rPr>
              <w:t> </w:t>
            </w:r>
          </w:p>
        </w:tc>
        <w:tc>
          <w:tcPr>
            <w:tcW w:w="960" w:type="dxa"/>
            <w:tcBorders>
              <w:top w:val="nil"/>
              <w:left w:val="nil"/>
              <w:bottom w:val="single" w:sz="8" w:space="0" w:color="auto"/>
              <w:right w:val="single" w:sz="8" w:space="0" w:color="auto"/>
            </w:tcBorders>
            <w:shd w:val="clear" w:color="auto" w:fill="auto"/>
            <w:noWrap/>
            <w:vAlign w:val="bottom"/>
            <w:hideMark/>
          </w:tcPr>
          <w:p w:rsidR="00E33645" w:rsidRPr="00E33645" w:rsidRDefault="00E33645" w:rsidP="00E33645">
            <w:pPr>
              <w:spacing w:after="0" w:line="240" w:lineRule="auto"/>
              <w:rPr>
                <w:rFonts w:eastAsia="Times New Roman" w:cs="Times New Roman"/>
                <w:color w:val="000000"/>
                <w:szCs w:val="24"/>
                <w:lang w:val="en-US"/>
              </w:rPr>
            </w:pPr>
            <w:r w:rsidRPr="00E33645">
              <w:rPr>
                <w:rFonts w:eastAsia="Times New Roman" w:cs="Times New Roman"/>
                <w:color w:val="000000"/>
                <w:szCs w:val="24"/>
                <w:lang w:val="en-US"/>
              </w:rPr>
              <w:t> </w:t>
            </w:r>
          </w:p>
        </w:tc>
        <w:tc>
          <w:tcPr>
            <w:tcW w:w="960" w:type="dxa"/>
            <w:tcBorders>
              <w:top w:val="nil"/>
              <w:left w:val="nil"/>
              <w:bottom w:val="single" w:sz="8" w:space="0" w:color="auto"/>
              <w:right w:val="single" w:sz="8" w:space="0" w:color="auto"/>
            </w:tcBorders>
            <w:shd w:val="clear" w:color="auto" w:fill="auto"/>
            <w:noWrap/>
            <w:vAlign w:val="bottom"/>
            <w:hideMark/>
          </w:tcPr>
          <w:p w:rsidR="00E33645" w:rsidRPr="00E33645" w:rsidRDefault="00E33645" w:rsidP="00E33645">
            <w:pPr>
              <w:spacing w:after="0" w:line="240" w:lineRule="auto"/>
              <w:rPr>
                <w:rFonts w:eastAsia="Times New Roman" w:cs="Times New Roman"/>
                <w:color w:val="000000"/>
                <w:szCs w:val="24"/>
                <w:lang w:val="en-US"/>
              </w:rPr>
            </w:pPr>
            <w:r w:rsidRPr="00E33645">
              <w:rPr>
                <w:rFonts w:eastAsia="Times New Roman" w:cs="Times New Roman"/>
                <w:color w:val="000000"/>
                <w:szCs w:val="24"/>
                <w:lang w:val="en-US"/>
              </w:rPr>
              <w:t> </w:t>
            </w:r>
          </w:p>
        </w:tc>
        <w:tc>
          <w:tcPr>
            <w:tcW w:w="960" w:type="dxa"/>
            <w:tcBorders>
              <w:top w:val="nil"/>
              <w:left w:val="nil"/>
              <w:bottom w:val="single" w:sz="8" w:space="0" w:color="auto"/>
              <w:right w:val="single" w:sz="8" w:space="0" w:color="auto"/>
            </w:tcBorders>
            <w:shd w:val="clear" w:color="auto" w:fill="auto"/>
            <w:noWrap/>
            <w:vAlign w:val="bottom"/>
            <w:hideMark/>
          </w:tcPr>
          <w:p w:rsidR="00E33645" w:rsidRPr="00E33645" w:rsidRDefault="00E33645" w:rsidP="00E33645">
            <w:pPr>
              <w:spacing w:after="0" w:line="240" w:lineRule="auto"/>
              <w:rPr>
                <w:rFonts w:eastAsia="Times New Roman" w:cs="Times New Roman"/>
                <w:color w:val="000000"/>
                <w:szCs w:val="24"/>
                <w:lang w:val="en-US"/>
              </w:rPr>
            </w:pPr>
            <w:r w:rsidRPr="00E33645">
              <w:rPr>
                <w:rFonts w:eastAsia="Times New Roman" w:cs="Times New Roman"/>
                <w:color w:val="000000"/>
                <w:szCs w:val="24"/>
                <w:lang w:val="en-US"/>
              </w:rPr>
              <w:t> </w:t>
            </w:r>
          </w:p>
        </w:tc>
        <w:tc>
          <w:tcPr>
            <w:tcW w:w="960" w:type="dxa"/>
            <w:tcBorders>
              <w:top w:val="nil"/>
              <w:left w:val="nil"/>
              <w:bottom w:val="single" w:sz="8" w:space="0" w:color="auto"/>
              <w:right w:val="single" w:sz="8" w:space="0" w:color="auto"/>
            </w:tcBorders>
            <w:shd w:val="clear" w:color="auto" w:fill="auto"/>
            <w:noWrap/>
            <w:vAlign w:val="bottom"/>
            <w:hideMark/>
          </w:tcPr>
          <w:p w:rsidR="00E33645" w:rsidRPr="00E33645" w:rsidRDefault="00E33645" w:rsidP="00E33645">
            <w:pPr>
              <w:spacing w:after="0" w:line="240" w:lineRule="auto"/>
              <w:rPr>
                <w:rFonts w:eastAsia="Times New Roman" w:cs="Times New Roman"/>
                <w:color w:val="000000"/>
                <w:szCs w:val="24"/>
                <w:lang w:val="en-US"/>
              </w:rPr>
            </w:pPr>
            <w:r w:rsidRPr="00E33645">
              <w:rPr>
                <w:rFonts w:eastAsia="Times New Roman" w:cs="Times New Roman"/>
                <w:color w:val="000000"/>
                <w:szCs w:val="24"/>
                <w:lang w:val="en-US"/>
              </w:rPr>
              <w:t> </w:t>
            </w:r>
          </w:p>
        </w:tc>
      </w:tr>
      <w:tr w:rsidR="00E33645" w:rsidRPr="00E33645" w:rsidTr="00C7398F">
        <w:trPr>
          <w:trHeight w:val="330"/>
          <w:jc w:val="center"/>
        </w:trPr>
        <w:tc>
          <w:tcPr>
            <w:tcW w:w="2220" w:type="dxa"/>
            <w:tcBorders>
              <w:top w:val="nil"/>
              <w:left w:val="single" w:sz="8" w:space="0" w:color="auto"/>
              <w:bottom w:val="single" w:sz="8" w:space="0" w:color="auto"/>
              <w:right w:val="single" w:sz="8" w:space="0" w:color="auto"/>
            </w:tcBorders>
            <w:shd w:val="clear" w:color="auto" w:fill="auto"/>
            <w:noWrap/>
            <w:vAlign w:val="bottom"/>
            <w:hideMark/>
          </w:tcPr>
          <w:p w:rsidR="00E33645" w:rsidRPr="00E33645" w:rsidRDefault="00E33645" w:rsidP="00E33645">
            <w:pPr>
              <w:spacing w:after="0" w:line="240" w:lineRule="auto"/>
              <w:rPr>
                <w:rFonts w:eastAsia="Times New Roman" w:cs="Times New Roman"/>
                <w:color w:val="000000"/>
                <w:szCs w:val="24"/>
                <w:lang w:val="en-US"/>
              </w:rPr>
            </w:pPr>
            <w:r w:rsidRPr="00E33645">
              <w:rPr>
                <w:rFonts w:eastAsia="Times New Roman" w:cs="Times New Roman"/>
                <w:color w:val="000000"/>
                <w:szCs w:val="24"/>
                <w:lang w:val="en-US"/>
              </w:rPr>
              <w:t>Loans/</w:t>
            </w:r>
            <w:r w:rsidR="00070C11" w:rsidRPr="00E33645">
              <w:rPr>
                <w:rFonts w:eastAsia="Times New Roman" w:cs="Times New Roman"/>
                <w:color w:val="000000"/>
                <w:szCs w:val="24"/>
                <w:lang w:val="en-US"/>
              </w:rPr>
              <w:t>deposit (</w:t>
            </w:r>
            <w:r w:rsidRPr="00E33645">
              <w:rPr>
                <w:rFonts w:eastAsia="Times New Roman" w:cs="Times New Roman"/>
                <w:color w:val="000000"/>
                <w:szCs w:val="24"/>
                <w:lang w:val="en-US"/>
              </w:rPr>
              <w:t>%)</w:t>
            </w:r>
          </w:p>
        </w:tc>
        <w:tc>
          <w:tcPr>
            <w:tcW w:w="960" w:type="dxa"/>
            <w:tcBorders>
              <w:top w:val="nil"/>
              <w:left w:val="nil"/>
              <w:bottom w:val="single" w:sz="8" w:space="0" w:color="auto"/>
              <w:right w:val="single" w:sz="8" w:space="0" w:color="auto"/>
            </w:tcBorders>
            <w:shd w:val="clear" w:color="auto" w:fill="auto"/>
            <w:noWrap/>
            <w:vAlign w:val="bottom"/>
            <w:hideMark/>
          </w:tcPr>
          <w:p w:rsidR="00E33645" w:rsidRPr="00E33645" w:rsidRDefault="00E33645" w:rsidP="00E33645">
            <w:pPr>
              <w:spacing w:after="0" w:line="240" w:lineRule="auto"/>
              <w:jc w:val="right"/>
              <w:rPr>
                <w:rFonts w:eastAsia="Times New Roman" w:cs="Times New Roman"/>
                <w:color w:val="000000"/>
                <w:szCs w:val="24"/>
                <w:lang w:val="en-US"/>
              </w:rPr>
            </w:pPr>
            <w:r w:rsidRPr="00E33645">
              <w:rPr>
                <w:rFonts w:eastAsia="Times New Roman" w:cs="Times New Roman"/>
                <w:color w:val="000000"/>
                <w:szCs w:val="24"/>
                <w:lang w:val="en-US"/>
              </w:rPr>
              <w:t>87%</w:t>
            </w:r>
          </w:p>
        </w:tc>
        <w:tc>
          <w:tcPr>
            <w:tcW w:w="960" w:type="dxa"/>
            <w:tcBorders>
              <w:top w:val="nil"/>
              <w:left w:val="nil"/>
              <w:bottom w:val="single" w:sz="8" w:space="0" w:color="auto"/>
              <w:right w:val="single" w:sz="8" w:space="0" w:color="auto"/>
            </w:tcBorders>
            <w:shd w:val="clear" w:color="auto" w:fill="auto"/>
            <w:noWrap/>
            <w:vAlign w:val="bottom"/>
            <w:hideMark/>
          </w:tcPr>
          <w:p w:rsidR="00E33645" w:rsidRPr="00E33645" w:rsidRDefault="00E33645" w:rsidP="00E33645">
            <w:pPr>
              <w:spacing w:after="0" w:line="240" w:lineRule="auto"/>
              <w:jc w:val="right"/>
              <w:rPr>
                <w:rFonts w:eastAsia="Times New Roman" w:cs="Times New Roman"/>
                <w:color w:val="000000"/>
                <w:szCs w:val="24"/>
                <w:lang w:val="en-US"/>
              </w:rPr>
            </w:pPr>
            <w:r w:rsidRPr="00E33645">
              <w:rPr>
                <w:rFonts w:eastAsia="Times New Roman" w:cs="Times New Roman"/>
                <w:color w:val="000000"/>
                <w:szCs w:val="24"/>
                <w:lang w:val="en-US"/>
              </w:rPr>
              <w:t>89%</w:t>
            </w:r>
          </w:p>
        </w:tc>
        <w:tc>
          <w:tcPr>
            <w:tcW w:w="960" w:type="dxa"/>
            <w:tcBorders>
              <w:top w:val="nil"/>
              <w:left w:val="nil"/>
              <w:bottom w:val="single" w:sz="8" w:space="0" w:color="auto"/>
              <w:right w:val="single" w:sz="8" w:space="0" w:color="auto"/>
            </w:tcBorders>
            <w:shd w:val="clear" w:color="auto" w:fill="auto"/>
            <w:noWrap/>
            <w:vAlign w:val="bottom"/>
            <w:hideMark/>
          </w:tcPr>
          <w:p w:rsidR="00E33645" w:rsidRPr="00E33645" w:rsidRDefault="00E33645" w:rsidP="00E33645">
            <w:pPr>
              <w:spacing w:after="0" w:line="240" w:lineRule="auto"/>
              <w:jc w:val="right"/>
              <w:rPr>
                <w:rFonts w:eastAsia="Times New Roman" w:cs="Times New Roman"/>
                <w:color w:val="000000"/>
                <w:szCs w:val="24"/>
                <w:lang w:val="en-US"/>
              </w:rPr>
            </w:pPr>
            <w:r w:rsidRPr="00E33645">
              <w:rPr>
                <w:rFonts w:eastAsia="Times New Roman" w:cs="Times New Roman"/>
                <w:color w:val="000000"/>
                <w:szCs w:val="24"/>
                <w:lang w:val="en-US"/>
              </w:rPr>
              <w:t>95%</w:t>
            </w:r>
          </w:p>
        </w:tc>
        <w:tc>
          <w:tcPr>
            <w:tcW w:w="960" w:type="dxa"/>
            <w:tcBorders>
              <w:top w:val="nil"/>
              <w:left w:val="nil"/>
              <w:bottom w:val="single" w:sz="8" w:space="0" w:color="auto"/>
              <w:right w:val="single" w:sz="8" w:space="0" w:color="auto"/>
            </w:tcBorders>
            <w:shd w:val="clear" w:color="auto" w:fill="auto"/>
            <w:noWrap/>
            <w:vAlign w:val="bottom"/>
            <w:hideMark/>
          </w:tcPr>
          <w:p w:rsidR="00E33645" w:rsidRPr="00E33645" w:rsidRDefault="00E33645" w:rsidP="00E33645">
            <w:pPr>
              <w:spacing w:after="0" w:line="240" w:lineRule="auto"/>
              <w:jc w:val="right"/>
              <w:rPr>
                <w:rFonts w:eastAsia="Times New Roman" w:cs="Times New Roman"/>
                <w:color w:val="000000"/>
                <w:szCs w:val="24"/>
                <w:lang w:val="en-US"/>
              </w:rPr>
            </w:pPr>
            <w:r w:rsidRPr="00E33645">
              <w:rPr>
                <w:rFonts w:eastAsia="Times New Roman" w:cs="Times New Roman"/>
                <w:color w:val="000000"/>
                <w:szCs w:val="24"/>
                <w:lang w:val="en-US"/>
              </w:rPr>
              <w:t>97%</w:t>
            </w:r>
          </w:p>
        </w:tc>
        <w:tc>
          <w:tcPr>
            <w:tcW w:w="960" w:type="dxa"/>
            <w:tcBorders>
              <w:top w:val="nil"/>
              <w:left w:val="nil"/>
              <w:bottom w:val="single" w:sz="8" w:space="0" w:color="auto"/>
              <w:right w:val="single" w:sz="8" w:space="0" w:color="auto"/>
            </w:tcBorders>
            <w:shd w:val="clear" w:color="auto" w:fill="auto"/>
            <w:noWrap/>
            <w:vAlign w:val="bottom"/>
            <w:hideMark/>
          </w:tcPr>
          <w:p w:rsidR="00E33645" w:rsidRPr="00E33645" w:rsidRDefault="00E33645" w:rsidP="00E33645">
            <w:pPr>
              <w:spacing w:after="0" w:line="240" w:lineRule="auto"/>
              <w:jc w:val="right"/>
              <w:rPr>
                <w:rFonts w:eastAsia="Times New Roman" w:cs="Times New Roman"/>
                <w:color w:val="000000"/>
                <w:szCs w:val="24"/>
                <w:lang w:val="en-US"/>
              </w:rPr>
            </w:pPr>
            <w:r w:rsidRPr="00E33645">
              <w:rPr>
                <w:rFonts w:eastAsia="Times New Roman" w:cs="Times New Roman"/>
                <w:color w:val="000000"/>
                <w:szCs w:val="24"/>
                <w:lang w:val="en-US"/>
              </w:rPr>
              <w:t>98%</w:t>
            </w:r>
          </w:p>
        </w:tc>
      </w:tr>
    </w:tbl>
    <w:p w:rsidR="007D0364" w:rsidRPr="007D0364" w:rsidRDefault="007D0364" w:rsidP="007D0364">
      <w:pPr>
        <w:jc w:val="center"/>
        <w:rPr>
          <w:b/>
        </w:rPr>
      </w:pPr>
      <w:r>
        <w:t>Table-</w:t>
      </w:r>
      <w:r w:rsidR="00C7398F">
        <w:t>9</w:t>
      </w:r>
      <w:r>
        <w:t>-</w:t>
      </w:r>
      <w:r w:rsidRPr="00EB44B5">
        <w:rPr>
          <w:rFonts w:eastAsia="Times New Roman" w:cs="Times New Roman"/>
          <w:color w:val="000000"/>
          <w:szCs w:val="24"/>
        </w:rPr>
        <w:t xml:space="preserve"> </w:t>
      </w:r>
      <w:r w:rsidRPr="00286EA9">
        <w:rPr>
          <w:rFonts w:eastAsia="Times New Roman" w:cs="Times New Roman"/>
          <w:color w:val="000000"/>
          <w:szCs w:val="24"/>
        </w:rPr>
        <w:t>Loan to deposit ratio</w:t>
      </w:r>
      <w:r>
        <w:rPr>
          <w:rFonts w:eastAsia="Times New Roman" w:cs="Times New Roman"/>
          <w:color w:val="000000"/>
          <w:szCs w:val="24"/>
        </w:rPr>
        <w:t xml:space="preserve"> -</w:t>
      </w:r>
      <w:r w:rsidRPr="00EB44B5">
        <w:t xml:space="preserve"> </w:t>
      </w:r>
      <w:r>
        <w:t>RBS</w:t>
      </w:r>
    </w:p>
    <w:p w:rsidR="00E33645" w:rsidRDefault="00E33645" w:rsidP="007A6CE8"/>
    <w:p w:rsidR="00CE4ECF" w:rsidRDefault="00070C11" w:rsidP="007A6CE8">
      <w:pPr>
        <w:rPr>
          <w:rFonts w:eastAsia="Times New Roman" w:cs="Times New Roman"/>
          <w:color w:val="000000"/>
          <w:szCs w:val="24"/>
          <w:lang w:val="en-US"/>
        </w:rPr>
      </w:pPr>
      <w:r>
        <w:t xml:space="preserve">The average loan-deposit ration of </w:t>
      </w:r>
      <w:r w:rsidRPr="00D85CAD">
        <w:t>Barclays</w:t>
      </w:r>
      <w:r>
        <w:t xml:space="preserve"> bank is 88.8% and that </w:t>
      </w:r>
      <w:r w:rsidR="00071317">
        <w:t xml:space="preserve">of </w:t>
      </w:r>
      <w:r w:rsidR="00071317" w:rsidRPr="00CD0816">
        <w:rPr>
          <w:rFonts w:eastAsia="Times New Roman" w:cs="Times New Roman"/>
          <w:color w:val="000000"/>
          <w:szCs w:val="24"/>
          <w:lang w:val="en-US"/>
        </w:rPr>
        <w:t>RBS</w:t>
      </w:r>
      <w:r>
        <w:rPr>
          <w:rFonts w:eastAsia="Times New Roman" w:cs="Times New Roman"/>
          <w:color w:val="000000"/>
          <w:szCs w:val="24"/>
          <w:lang w:val="en-US"/>
        </w:rPr>
        <w:t xml:space="preserve"> is </w:t>
      </w:r>
      <w:r w:rsidR="00231268">
        <w:rPr>
          <w:rFonts w:eastAsia="Times New Roman" w:cs="Times New Roman"/>
          <w:color w:val="000000"/>
          <w:szCs w:val="24"/>
          <w:lang w:val="en-US"/>
        </w:rPr>
        <w:t xml:space="preserve">93% and this indicates that on an average the proportion loan given out of the monetary value of deposits of the bank is </w:t>
      </w:r>
      <w:r w:rsidR="00071317">
        <w:rPr>
          <w:rFonts w:eastAsia="Times New Roman" w:cs="Times New Roman"/>
          <w:color w:val="000000"/>
          <w:szCs w:val="24"/>
          <w:lang w:val="en-US"/>
        </w:rPr>
        <w:t>slightly higher in case of RBS.</w:t>
      </w:r>
      <w:r w:rsidR="00B1562D">
        <w:rPr>
          <w:rFonts w:eastAsia="Times New Roman" w:cs="Times New Roman"/>
          <w:color w:val="000000"/>
          <w:szCs w:val="24"/>
          <w:lang w:val="en-US"/>
        </w:rPr>
        <w:t xml:space="preserve"> </w:t>
      </w:r>
      <w:r w:rsidR="00071317">
        <w:rPr>
          <w:rFonts w:eastAsia="Times New Roman" w:cs="Times New Roman"/>
          <w:color w:val="000000"/>
          <w:szCs w:val="24"/>
          <w:lang w:val="en-US"/>
        </w:rPr>
        <w:t>Thus in the present case scen</w:t>
      </w:r>
      <w:r w:rsidR="00B1562D">
        <w:rPr>
          <w:rFonts w:eastAsia="Times New Roman" w:cs="Times New Roman"/>
          <w:color w:val="000000"/>
          <w:szCs w:val="24"/>
          <w:lang w:val="en-US"/>
        </w:rPr>
        <w:t>ario it can be suggested that t</w:t>
      </w:r>
      <w:r w:rsidR="00071317">
        <w:rPr>
          <w:rFonts w:eastAsia="Times New Roman" w:cs="Times New Roman"/>
          <w:color w:val="000000"/>
          <w:szCs w:val="24"/>
          <w:lang w:val="en-US"/>
        </w:rPr>
        <w:t>he bank RBS is having a better loa</w:t>
      </w:r>
      <w:r w:rsidR="00B1562D">
        <w:rPr>
          <w:rFonts w:eastAsia="Times New Roman" w:cs="Times New Roman"/>
          <w:color w:val="000000"/>
          <w:szCs w:val="24"/>
          <w:lang w:val="en-US"/>
        </w:rPr>
        <w:t>n offering capacity due to higher volume of deposits at the disposal.</w:t>
      </w:r>
    </w:p>
    <w:p w:rsidR="00CE4ECF" w:rsidRDefault="00CE4ECF" w:rsidP="0067373B">
      <w:pPr>
        <w:pStyle w:val="Heading2"/>
        <w:framePr w:wrap="around"/>
        <w:pBdr>
          <w:top w:val="single" w:sz="8" w:space="1" w:color="4F81BD" w:themeColor="accent1"/>
          <w:left w:val="single" w:sz="8" w:space="4" w:color="4F81BD" w:themeColor="accent1"/>
          <w:bottom w:val="single" w:sz="8" w:space="1" w:color="4F81BD" w:themeColor="accent1"/>
          <w:right w:val="single" w:sz="8" w:space="4" w:color="4F81BD" w:themeColor="accent1"/>
          <w:between w:val="single" w:sz="8" w:space="1" w:color="4F81BD" w:themeColor="accent1"/>
          <w:bar w:val="single" w:sz="8" w:color="4F81BD" w:themeColor="accent1"/>
        </w:pBdr>
        <w:shd w:val="clear" w:color="auto" w:fill="FDE9D9" w:themeFill="accent6" w:themeFillTint="33"/>
      </w:pPr>
      <w:bookmarkStart w:id="9" w:name="_Toc522767953"/>
      <w:r>
        <w:t>Ratio analysis advantage and disadvantage</w:t>
      </w:r>
      <w:bookmarkEnd w:id="9"/>
    </w:p>
    <w:p w:rsidR="000103B8" w:rsidRDefault="000103B8" w:rsidP="00CE4ECF"/>
    <w:p w:rsidR="000103B8" w:rsidRDefault="000103B8" w:rsidP="00CE4ECF"/>
    <w:p w:rsidR="00CE4ECF" w:rsidRDefault="00CE4ECF" w:rsidP="00CE4ECF">
      <w:r>
        <w:t xml:space="preserve">The financial statement of any large organisation contains lot of information for different stakeholder of the business. This information is useful for different stakeholders to make their decisions. The financial ratios are part of the larger financial information and have some advantages and limitation of using those. </w:t>
      </w:r>
    </w:p>
    <w:p w:rsidR="00CE4ECF" w:rsidRPr="00574097" w:rsidRDefault="00CE4ECF" w:rsidP="00CE4ECF">
      <w:pPr>
        <w:rPr>
          <w:b/>
        </w:rPr>
      </w:pPr>
      <w:r w:rsidRPr="00574097">
        <w:rPr>
          <w:b/>
        </w:rPr>
        <w:t>Advantages of ratios</w:t>
      </w:r>
    </w:p>
    <w:p w:rsidR="00CE4ECF" w:rsidRDefault="00CE4ECF" w:rsidP="00CE4ECF">
      <w:r>
        <w:t xml:space="preserve">Different stakeholders of the business are like the debtor, creditor, investors, government who require different financial information from the business. The financial ratios are useful way for these stakeholders to get a proper perception about the customer state of the business. For example the investors may not be well versed in all the financial aspect of the business and would use the financial ratios as a quick and easy mean to understand the business current position in their investment decision making process (Sinha, </w:t>
      </w:r>
      <w:r w:rsidRPr="000A2F4B">
        <w:t>2012). </w:t>
      </w:r>
      <w:r>
        <w:t>On the other hand these ratios are useful for the communicational purpose. The business can use these ratios to demonstrate their better performance to the creditor or the investors. One of the important advantages of the ratios in the business performance understanding is the comparability factor. The ratios can be produced in historic format (</w:t>
      </w:r>
      <w:proofErr w:type="spellStart"/>
      <w:r>
        <w:t>Fridson</w:t>
      </w:r>
      <w:proofErr w:type="spellEnd"/>
      <w:r>
        <w:t xml:space="preserve"> and Alvarez, </w:t>
      </w:r>
      <w:r w:rsidRPr="009E0C83">
        <w:t>2011)</w:t>
      </w:r>
      <w:r>
        <w:t xml:space="preserve">. Then the comparison of the current year with the previous years would provide a clear picture to the reader about the changing patter of the business performance and financial health. The comparability factor can be sued for the cross industry comparison. The similar ratios of the competitor firms or the industry benchmarks can be used for the performance and financial health analysis of the investigated company. This industry comparison would provide a broader picture about the </w:t>
      </w:r>
      <w:r>
        <w:lastRenderedPageBreak/>
        <w:t>current status of the business. The financial information in the form of ratio would save effort and time for the stakeholders who would look for the business financial and performance related information (</w:t>
      </w:r>
      <w:proofErr w:type="spellStart"/>
      <w:r>
        <w:t>Fridson</w:t>
      </w:r>
      <w:proofErr w:type="spellEnd"/>
      <w:r>
        <w:t xml:space="preserve"> and Alvarez, </w:t>
      </w:r>
      <w:r w:rsidRPr="009E0C83">
        <w:t>2011)</w:t>
      </w:r>
      <w:r>
        <w:t xml:space="preserve">. The trend line can be created from the historic ratios number which would be useful for some forecasting needs. Moreover the management of the business for their quick decision and controlling process would use the ratios as </w:t>
      </w:r>
      <w:proofErr w:type="gramStart"/>
      <w:r>
        <w:t>an</w:t>
      </w:r>
      <w:proofErr w:type="gramEnd"/>
      <w:r>
        <w:t xml:space="preserve"> short term measure. </w:t>
      </w:r>
    </w:p>
    <w:p w:rsidR="00CE4ECF" w:rsidRPr="00574097" w:rsidRDefault="00CE4ECF" w:rsidP="00CE4ECF">
      <w:pPr>
        <w:rPr>
          <w:b/>
        </w:rPr>
      </w:pPr>
      <w:r w:rsidRPr="00574097">
        <w:rPr>
          <w:b/>
        </w:rPr>
        <w:t>Limitation</w:t>
      </w:r>
    </w:p>
    <w:p w:rsidR="00CE4ECF" w:rsidRDefault="00CE4ECF" w:rsidP="00CE4ECF">
      <w:r>
        <w:t>The information gathered from the ratios is limited in many senses. The ratios prove a superficial idea of the business actual intern condition. For the detail investigation the reader of the financial statement have dig deep in the different accounts of the business (</w:t>
      </w:r>
      <w:proofErr w:type="spellStart"/>
      <w:r>
        <w:t>Fridson</w:t>
      </w:r>
      <w:proofErr w:type="spellEnd"/>
      <w:r>
        <w:t xml:space="preserve"> and Alvarez, </w:t>
      </w:r>
      <w:r w:rsidRPr="009E0C83">
        <w:t>2011). </w:t>
      </w:r>
      <w:r>
        <w:t xml:space="preserve">Then at the time of calculating the ratios different considerations are made which also cause some non uniform approach to look at it. This way accounting the financial information varies from company to company. Some time the accounting standards are also not similar. All of these things create problem for straightway comparison between the companies. Apart from that the business internal and external situation are one of the most important force that impact the business financial and performance (Sinha, </w:t>
      </w:r>
      <w:r w:rsidRPr="000A2F4B">
        <w:t>2012). </w:t>
      </w:r>
      <w:r>
        <w:t xml:space="preserve">The ratio does not provide the picture of the business environment. The projection and the current fluctuation in the numbers cannot be explained useless the broader business environment is understood.  </w:t>
      </w:r>
    </w:p>
    <w:p w:rsidR="00CE4ECF" w:rsidRDefault="00CE4ECF" w:rsidP="0067373B">
      <w:pPr>
        <w:pStyle w:val="Heading2"/>
        <w:framePr w:wrap="around"/>
        <w:pBdr>
          <w:top w:val="single" w:sz="8" w:space="1" w:color="4F81BD" w:themeColor="accent1"/>
          <w:left w:val="single" w:sz="8" w:space="4" w:color="4F81BD" w:themeColor="accent1"/>
          <w:bottom w:val="single" w:sz="8" w:space="1" w:color="4F81BD" w:themeColor="accent1"/>
          <w:right w:val="single" w:sz="8" w:space="4" w:color="4F81BD" w:themeColor="accent1"/>
          <w:between w:val="single" w:sz="8" w:space="1" w:color="4F81BD" w:themeColor="accent1"/>
          <w:bar w:val="single" w:sz="8" w:color="4F81BD" w:themeColor="accent1"/>
        </w:pBdr>
        <w:shd w:val="clear" w:color="auto" w:fill="FDE9D9" w:themeFill="accent6" w:themeFillTint="33"/>
      </w:pPr>
      <w:bookmarkStart w:id="10" w:name="_Toc522039098"/>
      <w:bookmarkStart w:id="11" w:name="_Toc522767954"/>
      <w:r>
        <w:t xml:space="preserve">Impact of </w:t>
      </w:r>
      <w:r w:rsidRPr="00FE57C1">
        <w:t>contemporary issues</w:t>
      </w:r>
      <w:r>
        <w:t xml:space="preserve"> on banking performance:</w:t>
      </w:r>
      <w:bookmarkEnd w:id="10"/>
      <w:bookmarkEnd w:id="11"/>
    </w:p>
    <w:p w:rsidR="0067373B" w:rsidRDefault="0067373B" w:rsidP="00CE4ECF">
      <w:pPr>
        <w:rPr>
          <w:b/>
        </w:rPr>
      </w:pPr>
    </w:p>
    <w:p w:rsidR="0067373B" w:rsidRDefault="0067373B" w:rsidP="00CE4ECF">
      <w:pPr>
        <w:rPr>
          <w:b/>
        </w:rPr>
      </w:pPr>
    </w:p>
    <w:p w:rsidR="00CE4ECF" w:rsidRPr="004B0F0F" w:rsidRDefault="00CE4ECF" w:rsidP="00CE4ECF">
      <w:pPr>
        <w:rPr>
          <w:b/>
        </w:rPr>
      </w:pPr>
      <w:r w:rsidRPr="004B0F0F">
        <w:rPr>
          <w:b/>
        </w:rPr>
        <w:t>Rise in unsecured lending by banking organization:</w:t>
      </w:r>
    </w:p>
    <w:p w:rsidR="00CE4ECF" w:rsidRDefault="00CE4ECF" w:rsidP="00CE4ECF">
      <w:r>
        <w:t>One important trend to be noticed during the last 5 years is that a there is a rise in unsecured debt lending by the UK banks even if the banks have faced a worst financial crisis in 2007-2008.The main characteristics of this feature is that the banks are offering loan to the customers without any mortgage with long credit repayment periods. The main reason for which the banks are moving towards offering such unsecured debt is the maximization of profit from loan business (ft, 2018).</w:t>
      </w:r>
    </w:p>
    <w:p w:rsidR="00CE4ECF" w:rsidRDefault="00CE4ECF" w:rsidP="00CE4ECF">
      <w:pPr>
        <w:jc w:val="center"/>
      </w:pPr>
      <w:r>
        <w:t>Figure- 1</w:t>
      </w:r>
    </w:p>
    <w:p w:rsidR="00CE4ECF" w:rsidRDefault="00CE4ECF" w:rsidP="00CE4ECF">
      <w:pPr>
        <w:jc w:val="center"/>
      </w:pPr>
      <w:r w:rsidRPr="009F1D2A">
        <w:lastRenderedPageBreak/>
        <w:t>(</w:t>
      </w:r>
      <w:r>
        <w:t xml:space="preserve">Source: </w:t>
      </w:r>
      <w:r w:rsidRPr="009F1D2A">
        <w:t>Ft.com, 2018)</w:t>
      </w:r>
      <w:r w:rsidRPr="005575B4">
        <w:rPr>
          <w:noProof/>
          <w:lang w:eastAsia="en-GB"/>
        </w:rPr>
        <w:drawing>
          <wp:inline distT="0" distB="0" distL="0" distR="0">
            <wp:extent cx="2975389" cy="1963972"/>
            <wp:effectExtent l="171450" t="133350" r="396461" b="341078"/>
            <wp:docPr id="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a:srcRect l="13979" t="28036" r="36016" b="27857"/>
                    <a:stretch>
                      <a:fillRect/>
                    </a:stretch>
                  </pic:blipFill>
                  <pic:spPr bwMode="auto">
                    <a:xfrm>
                      <a:off x="0" y="0"/>
                      <a:ext cx="2975389" cy="1963972"/>
                    </a:xfrm>
                    <a:prstGeom prst="rect">
                      <a:avLst/>
                    </a:prstGeom>
                    <a:ln>
                      <a:solidFill>
                        <a:schemeClr val="accent1"/>
                      </a:solidFill>
                    </a:ln>
                    <a:effectLst>
                      <a:outerShdw blurRad="292100" dist="139700" dir="2700000" algn="tl" rotWithShape="0">
                        <a:srgbClr val="333333">
                          <a:alpha val="65000"/>
                        </a:srgbClr>
                      </a:outerShdw>
                    </a:effectLst>
                  </pic:spPr>
                </pic:pic>
              </a:graphicData>
            </a:graphic>
          </wp:inline>
        </w:drawing>
      </w:r>
    </w:p>
    <w:p w:rsidR="00CE4ECF" w:rsidRDefault="00CE4ECF" w:rsidP="00CE4ECF">
      <w:r>
        <w:t xml:space="preserve">After the crisis of 2007-2008 the payment of unsecured loan has increased by 10% compared to the volume of unsecured debt offered by the UK banking sector before the financial crisis sets in the UK banking sector. In July 2017 the unsecured lending by the UK banking organization has increased to £200bn which indicates that the UK banking sector is rapidly proceeding towards the unsecured lending activities </w:t>
      </w:r>
      <w:r w:rsidRPr="00234DB2">
        <w:t>(</w:t>
      </w:r>
      <w:r>
        <w:t>ft</w:t>
      </w:r>
      <w:r w:rsidRPr="00234DB2">
        <w:t>, 2018)</w:t>
      </w:r>
      <w:r>
        <w:t>. This a growing concern of the UK banking organization as according to the Bank of England offering of long interest-free periods (which is a part of unsecured lending) and enhancement of loan limits can lead the banking organization in to loss of massive credit and also reducing the overall lending standard of the banking organizations</w:t>
      </w:r>
      <w:r w:rsidRPr="00234DB2">
        <w:t xml:space="preserve"> (</w:t>
      </w:r>
      <w:r>
        <w:t>ft</w:t>
      </w:r>
      <w:r w:rsidRPr="00234DB2">
        <w:t>, 2018)</w:t>
      </w:r>
      <w:r>
        <w:t>.</w:t>
      </w:r>
    </w:p>
    <w:p w:rsidR="00CE4ECF" w:rsidRDefault="00CE4ECF" w:rsidP="00CE4ECF">
      <w:pPr>
        <w:rPr>
          <w:bCs/>
          <w:iCs/>
        </w:rPr>
      </w:pPr>
      <w:r>
        <w:t xml:space="preserve">In case of </w:t>
      </w:r>
      <w:r w:rsidRPr="002512A2">
        <w:rPr>
          <w:bCs/>
          <w:iCs/>
        </w:rPr>
        <w:t>BARCLAYS</w:t>
      </w:r>
      <w:r>
        <w:rPr>
          <w:bCs/>
          <w:iCs/>
        </w:rPr>
        <w:t xml:space="preserve"> unsecured loan proportion in the UK market, the 2017’s operation shows that situation is problematic. The higher lion ratio of the bank in comparison to the competitors is the result of unsecure loan proportion. In </w:t>
      </w:r>
      <w:proofErr w:type="gramStart"/>
      <w:r>
        <w:rPr>
          <w:bCs/>
          <w:iCs/>
        </w:rPr>
        <w:t>Uk</w:t>
      </w:r>
      <w:proofErr w:type="gramEnd"/>
      <w:r>
        <w:rPr>
          <w:bCs/>
          <w:iCs/>
        </w:rPr>
        <w:t xml:space="preserve"> operation the card loan and personal loan is close to </w:t>
      </w:r>
      <w:r>
        <w:rPr>
          <w:rFonts w:cs="Times New Roman"/>
          <w:bCs/>
          <w:iCs/>
        </w:rPr>
        <w:t>£</w:t>
      </w:r>
      <w:r>
        <w:rPr>
          <w:bCs/>
          <w:iCs/>
        </w:rPr>
        <w:t xml:space="preserve">17.7 </w:t>
      </w:r>
      <w:proofErr w:type="spellStart"/>
      <w:r>
        <w:rPr>
          <w:bCs/>
          <w:iCs/>
        </w:rPr>
        <w:t>bn</w:t>
      </w:r>
      <w:proofErr w:type="spellEnd"/>
      <w:r>
        <w:rPr>
          <w:bCs/>
          <w:iCs/>
        </w:rPr>
        <w:t xml:space="preserve"> and </w:t>
      </w:r>
      <w:r>
        <w:rPr>
          <w:rFonts w:cs="Times New Roman"/>
          <w:bCs/>
          <w:iCs/>
        </w:rPr>
        <w:t>£</w:t>
      </w:r>
      <w:r>
        <w:rPr>
          <w:bCs/>
          <w:iCs/>
        </w:rPr>
        <w:t xml:space="preserve">6.3 </w:t>
      </w:r>
      <w:proofErr w:type="spellStart"/>
      <w:r>
        <w:rPr>
          <w:bCs/>
          <w:iCs/>
        </w:rPr>
        <w:t>bn</w:t>
      </w:r>
      <w:proofErr w:type="spellEnd"/>
      <w:r>
        <w:rPr>
          <w:bCs/>
          <w:iCs/>
        </w:rPr>
        <w:t xml:space="preserve"> respectively (</w:t>
      </w:r>
      <w:r w:rsidRPr="00AB3F58">
        <w:rPr>
          <w:lang w:val="en-US"/>
        </w:rPr>
        <w:t>home.barclays</w:t>
      </w:r>
      <w:r>
        <w:rPr>
          <w:lang w:val="en-US"/>
        </w:rPr>
        <w:t xml:space="preserve">, </w:t>
      </w:r>
      <w:r w:rsidRPr="00000F81">
        <w:rPr>
          <w:lang w:val="en-US"/>
        </w:rPr>
        <w:t>2018). </w:t>
      </w:r>
      <w:r>
        <w:rPr>
          <w:bCs/>
          <w:iCs/>
        </w:rPr>
        <w:t xml:space="preserve">Considering this the bank needs to check the current situation to avoid risk. </w:t>
      </w:r>
    </w:p>
    <w:p w:rsidR="00BA32C9" w:rsidRDefault="00BA32C9" w:rsidP="00CE4ECF">
      <w:pPr>
        <w:rPr>
          <w:bCs/>
          <w:iCs/>
        </w:rPr>
      </w:pPr>
    </w:p>
    <w:p w:rsidR="00BA32C9" w:rsidRDefault="00BA32C9" w:rsidP="00CE4ECF"/>
    <w:p w:rsidR="00CE4ECF" w:rsidRPr="00ED208C" w:rsidRDefault="00CE4ECF" w:rsidP="00CE4ECF">
      <w:pPr>
        <w:rPr>
          <w:b/>
        </w:rPr>
      </w:pPr>
      <w:r>
        <w:rPr>
          <w:b/>
        </w:rPr>
        <w:t>Digital world and the new relationship approach</w:t>
      </w:r>
    </w:p>
    <w:p w:rsidR="00CE4ECF" w:rsidRDefault="00CE4ECF" w:rsidP="00CE4ECF">
      <w:r>
        <w:t xml:space="preserve">In the banking industry the relationship is the base of the business. </w:t>
      </w:r>
      <w:proofErr w:type="gramStart"/>
      <w:r>
        <w:t>the</w:t>
      </w:r>
      <w:proofErr w:type="gramEnd"/>
      <w:r>
        <w:t xml:space="preserve"> relationship needed to be developed through personal interaction. Apart from the direct interaction opportunity in the bank </w:t>
      </w:r>
      <w:r>
        <w:lastRenderedPageBreak/>
        <w:t>premise there are other touch points in the digital world through which the customer interact with the bank (</w:t>
      </w:r>
      <w:proofErr w:type="spellStart"/>
      <w:r w:rsidRPr="00D825C0">
        <w:rPr>
          <w:bCs/>
        </w:rPr>
        <w:t>Nikitas</w:t>
      </w:r>
      <w:proofErr w:type="spellEnd"/>
      <w:r>
        <w:t xml:space="preserve">, </w:t>
      </w:r>
      <w:r>
        <w:rPr>
          <w:lang w:val="en-US"/>
        </w:rPr>
        <w:t>2018</w:t>
      </w:r>
      <w:r w:rsidRPr="00000F81">
        <w:rPr>
          <w:lang w:val="en-US"/>
        </w:rPr>
        <w:t>). </w:t>
      </w:r>
      <w:r>
        <w:t>The banking sector needs to concentrate these important touch points to provide more meaningful interaction. Most of the banking institution avoids communicating with their clients with the social media due to security reasons and thus the absence of the social media content by the banking organization is preventing baking organization to reach to a large number of customers. Some of the research shows that one third of customer complaints are found in the social media and the resolution is done through voice process (</w:t>
      </w:r>
      <w:r w:rsidRPr="004068BC">
        <w:t>Casey</w:t>
      </w:r>
      <w:r>
        <w:t xml:space="preserve">, </w:t>
      </w:r>
      <w:r>
        <w:rPr>
          <w:lang w:val="en-US"/>
        </w:rPr>
        <w:t>2017</w:t>
      </w:r>
      <w:r w:rsidRPr="00000F81">
        <w:rPr>
          <w:lang w:val="en-US"/>
        </w:rPr>
        <w:t>). </w:t>
      </w:r>
      <w:r>
        <w:t>This shows the importance of channel to the customer and banks needs to recognise that to improve relationship.  Thus the banking organization of UK should not ignore the social media which is powerful channel and should develop new strategies for successful handling of the social media (</w:t>
      </w:r>
      <w:r>
        <w:rPr>
          <w:rFonts w:cs="Times New Roman"/>
          <w:color w:val="222222"/>
          <w:szCs w:val="24"/>
          <w:shd w:val="clear" w:color="auto" w:fill="FFFFFF"/>
        </w:rPr>
        <w:t xml:space="preserve">Ho and Wu, </w:t>
      </w:r>
      <w:r w:rsidRPr="00BF77D8">
        <w:rPr>
          <w:rFonts w:cs="Times New Roman"/>
          <w:color w:val="222222"/>
          <w:szCs w:val="24"/>
          <w:shd w:val="clear" w:color="auto" w:fill="FFFFFF"/>
        </w:rPr>
        <w:t>2009</w:t>
      </w:r>
      <w:r>
        <w:t xml:space="preserve">). </w:t>
      </w:r>
    </w:p>
    <w:p w:rsidR="00CE4ECF" w:rsidRPr="00114E6C" w:rsidRDefault="00CE4ECF" w:rsidP="00CE4ECF">
      <w:r w:rsidRPr="002512A2">
        <w:rPr>
          <w:bCs/>
          <w:iCs/>
        </w:rPr>
        <w:t>BARCLAYS</w:t>
      </w:r>
      <w:r>
        <w:rPr>
          <w:bCs/>
          <w:iCs/>
        </w:rPr>
        <w:t xml:space="preserve"> has embraced the social media channel in a big </w:t>
      </w:r>
      <w:proofErr w:type="spellStart"/>
      <w:r>
        <w:rPr>
          <w:bCs/>
          <w:iCs/>
        </w:rPr>
        <w:t>way.</w:t>
      </w:r>
      <w:r>
        <w:t>there</w:t>
      </w:r>
      <w:proofErr w:type="spellEnd"/>
      <w:r>
        <w:t xml:space="preserve"> are options for the customer to </w:t>
      </w:r>
      <w:bookmarkStart w:id="12" w:name="_GoBack"/>
      <w:bookmarkEnd w:id="12"/>
      <w:r>
        <w:t>put a question or quarry through Facebook messenger or other chat options and the expert would reply within 60 mints time period (</w:t>
      </w:r>
      <w:r w:rsidRPr="00356493">
        <w:rPr>
          <w:bCs/>
        </w:rPr>
        <w:t>barclays.co.uk</w:t>
      </w:r>
      <w:r>
        <w:rPr>
          <w:lang w:val="en-US"/>
        </w:rPr>
        <w:t>, 2018</w:t>
      </w:r>
      <w:r w:rsidRPr="00000F81">
        <w:rPr>
          <w:lang w:val="en-US"/>
        </w:rPr>
        <w:t>). </w:t>
      </w:r>
      <w:r>
        <w:t xml:space="preserve">On the other hand the video services like </w:t>
      </w:r>
      <w:proofErr w:type="spellStart"/>
      <w:r>
        <w:t>Youtube</w:t>
      </w:r>
      <w:proofErr w:type="spellEnd"/>
      <w:r>
        <w:t xml:space="preserve"> is use to provide proper in person response to the frequently asked questions by the customers. Apart from that bank needs to find options to have an interaction with the expert about their queries. Like video conferencing option and that would improve the person to person interaction which in turn would strengthen the relationship (</w:t>
      </w:r>
      <w:proofErr w:type="spellStart"/>
      <w:r w:rsidRPr="00D825C0">
        <w:rPr>
          <w:bCs/>
        </w:rPr>
        <w:t>Nikitas</w:t>
      </w:r>
      <w:proofErr w:type="spellEnd"/>
      <w:r>
        <w:t xml:space="preserve">, </w:t>
      </w:r>
      <w:r>
        <w:rPr>
          <w:lang w:val="en-US"/>
        </w:rPr>
        <w:t>2018</w:t>
      </w:r>
      <w:r w:rsidRPr="00000F81">
        <w:rPr>
          <w:lang w:val="en-US"/>
        </w:rPr>
        <w:t>). </w:t>
      </w:r>
      <w:r>
        <w:t xml:space="preserve">  </w:t>
      </w:r>
    </w:p>
    <w:p w:rsidR="00CE4ECF" w:rsidRDefault="00CE4ECF" w:rsidP="00CE4ECF">
      <w:r w:rsidRPr="00560DDB">
        <w:rPr>
          <w:b/>
        </w:rPr>
        <w:t>Rise of use in mobile apps for banking operations</w:t>
      </w:r>
      <w:r>
        <w:t>:</w:t>
      </w:r>
    </w:p>
    <w:p w:rsidR="00CE4ECF" w:rsidRDefault="00CE4ECF" w:rsidP="00CE4ECF">
      <w:r>
        <w:t xml:space="preserve">The </w:t>
      </w:r>
      <w:r w:rsidRPr="00715D48">
        <w:t xml:space="preserve">use of mobile banking apps </w:t>
      </w:r>
      <w:r>
        <w:t xml:space="preserve">by the customers has increased </w:t>
      </w:r>
      <w:r w:rsidRPr="00715D48">
        <w:t xml:space="preserve">by 354% </w:t>
      </w:r>
      <w:r>
        <w:t xml:space="preserve">in </w:t>
      </w:r>
      <w:r w:rsidRPr="00715D48">
        <w:t>2017</w:t>
      </w:r>
      <w:r>
        <w:t xml:space="preserve"> compared to 2017</w:t>
      </w:r>
      <w:r w:rsidRPr="00715D48">
        <w:t xml:space="preserve">, </w:t>
      </w:r>
      <w:r>
        <w:t xml:space="preserve">and at the same time the </w:t>
      </w:r>
      <w:r w:rsidRPr="00715D48">
        <w:t xml:space="preserve"> interactions through </w:t>
      </w:r>
      <w:r>
        <w:t xml:space="preserve"> bank </w:t>
      </w:r>
      <w:r w:rsidRPr="00715D48">
        <w:t xml:space="preserve">branches, online banking services and contact centres </w:t>
      </w:r>
      <w:r>
        <w:t xml:space="preserve">has </w:t>
      </w:r>
      <w:r w:rsidRPr="00715D48">
        <w:t>declined by</w:t>
      </w:r>
      <w:r>
        <w:t xml:space="preserve"> an amount of </w:t>
      </w:r>
      <w:r w:rsidRPr="00715D48">
        <w:t xml:space="preserve"> 39%, 11% and 17% respectively</w:t>
      </w:r>
      <w:r>
        <w:t xml:space="preserve"> (</w:t>
      </w:r>
      <w:r w:rsidRPr="007A1516">
        <w:rPr>
          <w:bCs/>
        </w:rPr>
        <w:t>bba.org.uk</w:t>
      </w:r>
      <w:r>
        <w:rPr>
          <w:lang w:val="en-US"/>
        </w:rPr>
        <w:t xml:space="preserve">, 2017). Another important aspect is the increase in video chatting options where the busy customer can interact with the banking official real time and solve their queries. These approaches are revolutionizing the way the retail banking used to be done. All of these would improve customer satisfaction and would delivery greater customer lifetime value to the banks. </w:t>
      </w:r>
      <w:r w:rsidRPr="002512A2">
        <w:rPr>
          <w:bCs/>
          <w:iCs/>
        </w:rPr>
        <w:t>BARCLAYS</w:t>
      </w:r>
      <w:r>
        <w:rPr>
          <w:bCs/>
          <w:iCs/>
        </w:rPr>
        <w:t xml:space="preserve"> as a modern baking organisation has their banking app with video chatting facility. </w:t>
      </w:r>
    </w:p>
    <w:p w:rsidR="00CE4ECF" w:rsidRDefault="00CE4ECF" w:rsidP="00CE4ECF"/>
    <w:p w:rsidR="00CE4ECF" w:rsidRDefault="00CE4ECF" w:rsidP="00CE4ECF">
      <w:pPr>
        <w:jc w:val="center"/>
      </w:pPr>
      <w:r>
        <w:t>Figure- 2</w:t>
      </w:r>
    </w:p>
    <w:p w:rsidR="00CE4ECF" w:rsidRDefault="00CE4ECF" w:rsidP="00CE4ECF">
      <w:pPr>
        <w:jc w:val="center"/>
      </w:pPr>
      <w:r>
        <w:rPr>
          <w:noProof/>
          <w:lang w:eastAsia="en-GB"/>
        </w:rPr>
        <w:lastRenderedPageBreak/>
        <w:drawing>
          <wp:inline distT="0" distB="0" distL="0" distR="0">
            <wp:extent cx="5458577" cy="3732904"/>
            <wp:effectExtent l="19050" t="19050" r="27823" b="19946"/>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457170" cy="3731942"/>
                    </a:xfrm>
                    <a:prstGeom prst="rect">
                      <a:avLst/>
                    </a:prstGeom>
                    <a:noFill/>
                    <a:ln w="9525">
                      <a:solidFill>
                        <a:schemeClr val="accent1"/>
                      </a:solidFill>
                      <a:miter lim="800000"/>
                      <a:headEnd/>
                      <a:tailEnd/>
                    </a:ln>
                  </pic:spPr>
                </pic:pic>
              </a:graphicData>
            </a:graphic>
          </wp:inline>
        </w:drawing>
      </w:r>
    </w:p>
    <w:p w:rsidR="00CE4ECF" w:rsidRDefault="00CE4ECF" w:rsidP="00CE4ECF">
      <w:pPr>
        <w:jc w:val="center"/>
      </w:pPr>
      <w:r>
        <w:t>[Source:</w:t>
      </w:r>
      <w:r w:rsidRPr="000C7F0E">
        <w:rPr>
          <w:bCs/>
        </w:rPr>
        <w:t xml:space="preserve"> </w:t>
      </w:r>
      <w:r w:rsidRPr="007A1516">
        <w:rPr>
          <w:bCs/>
        </w:rPr>
        <w:t>bba.org.uk</w:t>
      </w:r>
      <w:r>
        <w:rPr>
          <w:lang w:val="en-US"/>
        </w:rPr>
        <w:t>, 2017]</w:t>
      </w:r>
    </w:p>
    <w:p w:rsidR="00CE4ECF" w:rsidRDefault="00CE4ECF" w:rsidP="00CE4ECF">
      <w:pPr>
        <w:jc w:val="center"/>
      </w:pPr>
      <w:r>
        <w:t>Figure-3</w:t>
      </w:r>
      <w:r>
        <w:rPr>
          <w:noProof/>
          <w:lang w:eastAsia="en-GB"/>
        </w:rPr>
        <w:drawing>
          <wp:inline distT="0" distB="0" distL="0" distR="0">
            <wp:extent cx="5531896" cy="2770550"/>
            <wp:effectExtent l="19050" t="19050" r="11654" b="1075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529731" cy="2769466"/>
                    </a:xfrm>
                    <a:prstGeom prst="rect">
                      <a:avLst/>
                    </a:prstGeom>
                    <a:noFill/>
                    <a:ln w="9525">
                      <a:solidFill>
                        <a:schemeClr val="accent1"/>
                      </a:solidFill>
                      <a:miter lim="800000"/>
                      <a:headEnd/>
                      <a:tailEnd/>
                    </a:ln>
                  </pic:spPr>
                </pic:pic>
              </a:graphicData>
            </a:graphic>
          </wp:inline>
        </w:drawing>
      </w:r>
    </w:p>
    <w:p w:rsidR="00CE4ECF" w:rsidRDefault="00CE4ECF" w:rsidP="00CE4ECF">
      <w:pPr>
        <w:jc w:val="center"/>
        <w:rPr>
          <w:lang w:val="en-US"/>
        </w:rPr>
      </w:pPr>
      <w:r>
        <w:t>[Source:</w:t>
      </w:r>
      <w:r w:rsidRPr="000C7F0E">
        <w:rPr>
          <w:bCs/>
        </w:rPr>
        <w:t xml:space="preserve"> </w:t>
      </w:r>
      <w:r w:rsidRPr="007A1516">
        <w:rPr>
          <w:bCs/>
        </w:rPr>
        <w:t>bba.org.uk</w:t>
      </w:r>
      <w:r>
        <w:rPr>
          <w:lang w:val="en-US"/>
        </w:rPr>
        <w:t>, 2017]</w:t>
      </w:r>
    </w:p>
    <w:p w:rsidR="00CE4ECF" w:rsidRDefault="00CE4ECF" w:rsidP="00CE4ECF">
      <w:pPr>
        <w:jc w:val="center"/>
      </w:pPr>
    </w:p>
    <w:p w:rsidR="00CE4ECF" w:rsidRPr="00BC0297" w:rsidRDefault="00CE4ECF" w:rsidP="00CE4ECF">
      <w:pPr>
        <w:rPr>
          <w:b/>
        </w:rPr>
      </w:pPr>
      <w:r w:rsidRPr="00BC0297">
        <w:rPr>
          <w:b/>
        </w:rPr>
        <w:lastRenderedPageBreak/>
        <w:t>Reduction in wholesale debt funding and rise in upward pressure in debt funding</w:t>
      </w:r>
      <w:r>
        <w:rPr>
          <w:b/>
        </w:rPr>
        <w:t>:</w:t>
      </w:r>
    </w:p>
    <w:p w:rsidR="00CE4ECF" w:rsidRPr="00146399" w:rsidRDefault="00CE4ECF" w:rsidP="00CE4ECF">
      <w:r w:rsidRPr="0098305B">
        <w:t xml:space="preserve">The UK GDP grew by 2.0% in 2016, </w:t>
      </w:r>
      <w:r>
        <w:t>and the growth rate of the UK economy was higher than the 2015 growth rate of the economy (1.7%) and that of US (1.9%) and rest of the Euro zone (1.7%).GDP has grown at a rate of 1.8</w:t>
      </w:r>
      <w:r w:rsidRPr="0098305B">
        <w:t xml:space="preserve">% in 2017 and </w:t>
      </w:r>
      <w:r>
        <w:t xml:space="preserve">expected to grow at a rate of </w:t>
      </w:r>
      <w:r w:rsidRPr="0098305B">
        <w:t>1.7% in 2018</w:t>
      </w:r>
      <w:r>
        <w:t xml:space="preserve"> (</w:t>
      </w:r>
      <w:proofErr w:type="spellStart"/>
      <w:r w:rsidRPr="003D37F0">
        <w:rPr>
          <w:bCs/>
        </w:rPr>
        <w:t>Partington</w:t>
      </w:r>
      <w:proofErr w:type="spellEnd"/>
      <w:r>
        <w:rPr>
          <w:bCs/>
        </w:rPr>
        <w:t xml:space="preserve">, </w:t>
      </w:r>
      <w:r>
        <w:rPr>
          <w:lang w:val="en-US"/>
        </w:rPr>
        <w:t>2018</w:t>
      </w:r>
      <w:r w:rsidRPr="00000F81">
        <w:rPr>
          <w:lang w:val="en-US"/>
        </w:rPr>
        <w:t>). </w:t>
      </w:r>
      <w:r>
        <w:t>T</w:t>
      </w:r>
      <w:r w:rsidRPr="003A1E7B">
        <w:t xml:space="preserve">he cost of banks’ wholesale debt funding decreased during 2015-16 </w:t>
      </w:r>
      <w:r>
        <w:t xml:space="preserve">due to the narrowing down of </w:t>
      </w:r>
      <w:r w:rsidRPr="003A1E7B">
        <w:t>spreads</w:t>
      </w:r>
      <w:r>
        <w:t xml:space="preserve"> and </w:t>
      </w:r>
      <w:r w:rsidRPr="003A1E7B">
        <w:t xml:space="preserve">lower </w:t>
      </w:r>
      <w:r>
        <w:t>(</w:t>
      </w:r>
      <w:proofErr w:type="spellStart"/>
      <w:r>
        <w:t>CCyB</w:t>
      </w:r>
      <w:proofErr w:type="spellEnd"/>
      <w:r>
        <w:t xml:space="preserve">) </w:t>
      </w:r>
      <w:r w:rsidRPr="003A1E7B">
        <w:t>countercyclical capital buffer</w:t>
      </w:r>
      <w:r>
        <w:t xml:space="preserve">. In the 2017 the financial policy </w:t>
      </w:r>
      <w:proofErr w:type="spellStart"/>
      <w:r>
        <w:t>committe</w:t>
      </w:r>
      <w:proofErr w:type="spellEnd"/>
      <w:r>
        <w:t xml:space="preserve"> of </w:t>
      </w:r>
      <w:r w:rsidRPr="007A007D">
        <w:t>Bank of England</w:t>
      </w:r>
      <w:r>
        <w:t xml:space="preserve"> increased the </w:t>
      </w:r>
      <w:r w:rsidRPr="003A1E7B">
        <w:t>countercyclical capital buffer</w:t>
      </w:r>
      <w:r>
        <w:t xml:space="preserve"> from 0% to 0.5% (</w:t>
      </w:r>
      <w:proofErr w:type="spellStart"/>
      <w:r w:rsidRPr="004A5CCF">
        <w:rPr>
          <w:bCs/>
        </w:rPr>
        <w:t>moodysanalytics</w:t>
      </w:r>
      <w:proofErr w:type="spellEnd"/>
      <w:r>
        <w:rPr>
          <w:lang w:val="en-US"/>
        </w:rPr>
        <w:t>, 2018</w:t>
      </w:r>
      <w:r w:rsidRPr="00000F81">
        <w:rPr>
          <w:lang w:val="en-US"/>
        </w:rPr>
        <w:t>). </w:t>
      </w:r>
      <w:r>
        <w:t>This has created an upward pressure over the funding costs of the banking organizations (</w:t>
      </w:r>
      <w:r>
        <w:rPr>
          <w:rFonts w:cs="Times New Roman"/>
          <w:color w:val="222222"/>
          <w:szCs w:val="24"/>
          <w:shd w:val="clear" w:color="auto" w:fill="FFFFFF"/>
        </w:rPr>
        <w:t xml:space="preserve">Xu, </w:t>
      </w:r>
      <w:r w:rsidRPr="00BF77D8">
        <w:rPr>
          <w:rFonts w:cs="Times New Roman"/>
          <w:color w:val="222222"/>
          <w:szCs w:val="24"/>
          <w:shd w:val="clear" w:color="auto" w:fill="FFFFFF"/>
        </w:rPr>
        <w:t>2011</w:t>
      </w:r>
      <w:r>
        <w:t xml:space="preserve">). </w:t>
      </w:r>
      <w:r w:rsidRPr="002512A2">
        <w:rPr>
          <w:bCs/>
          <w:iCs/>
        </w:rPr>
        <w:t>BARCLAYS</w:t>
      </w:r>
      <w:r>
        <w:rPr>
          <w:bCs/>
          <w:iCs/>
        </w:rPr>
        <w:t xml:space="preserve"> by 2018’s November would be able to achieve the </w:t>
      </w:r>
      <w:proofErr w:type="spellStart"/>
      <w:r>
        <w:t>CCyB</w:t>
      </w:r>
      <w:proofErr w:type="spellEnd"/>
      <w:r>
        <w:t xml:space="preserve"> at 0.5% level (</w:t>
      </w:r>
      <w:proofErr w:type="spellStart"/>
      <w:r w:rsidRPr="00767F2E">
        <w:rPr>
          <w:bCs/>
        </w:rPr>
        <w:t>home.barclays</w:t>
      </w:r>
      <w:proofErr w:type="spellEnd"/>
      <w:r>
        <w:rPr>
          <w:lang w:val="en-US"/>
        </w:rPr>
        <w:t>, 2018</w:t>
      </w:r>
      <w:r w:rsidRPr="00000F81">
        <w:rPr>
          <w:lang w:val="en-US"/>
        </w:rPr>
        <w:t>). </w:t>
      </w:r>
      <w:r>
        <w:t xml:space="preserve">This expected achievement of the regulatory issue would check the earlier growth in the unsecure debt in </w:t>
      </w:r>
      <w:r w:rsidRPr="002512A2">
        <w:rPr>
          <w:bCs/>
          <w:iCs/>
        </w:rPr>
        <w:t>BARCLAYS</w:t>
      </w:r>
      <w:r>
        <w:rPr>
          <w:bCs/>
          <w:iCs/>
        </w:rPr>
        <w:t xml:space="preserve"> and reduce risk factor in their operation. </w:t>
      </w:r>
    </w:p>
    <w:p w:rsidR="00BA32C9" w:rsidRDefault="00BA32C9" w:rsidP="00CE4ECF">
      <w:pPr>
        <w:rPr>
          <w:b/>
        </w:rPr>
      </w:pPr>
    </w:p>
    <w:p w:rsidR="00BA32C9" w:rsidRDefault="00BA32C9" w:rsidP="00CE4ECF">
      <w:pPr>
        <w:rPr>
          <w:b/>
        </w:rPr>
      </w:pPr>
    </w:p>
    <w:p w:rsidR="00CE4ECF" w:rsidRPr="001F0453" w:rsidRDefault="00CE4ECF" w:rsidP="00CE4ECF">
      <w:pPr>
        <w:rPr>
          <w:b/>
        </w:rPr>
      </w:pPr>
      <w:r w:rsidRPr="001F0453">
        <w:rPr>
          <w:b/>
        </w:rPr>
        <w:t>Rise in inflation:</w:t>
      </w:r>
    </w:p>
    <w:p w:rsidR="00CE4ECF" w:rsidRDefault="00CE4ECF" w:rsidP="00CE4ECF">
      <w:pPr>
        <w:rPr>
          <w:bCs/>
          <w:iCs/>
        </w:rPr>
      </w:pPr>
      <w:r>
        <w:t>A continuous rising trend in the c</w:t>
      </w:r>
      <w:r w:rsidRPr="001F0453">
        <w:t xml:space="preserve">onsumer price inflation </w:t>
      </w:r>
      <w:r>
        <w:t>can be observed in the UK economy. The consumer price inflation has increased by 1.6% in 2016</w:t>
      </w:r>
      <w:r w:rsidRPr="001F0453">
        <w:t xml:space="preserve"> as</w:t>
      </w:r>
      <w:r>
        <w:t xml:space="preserve"> the recovery of global</w:t>
      </w:r>
      <w:r w:rsidRPr="001F0453">
        <w:t xml:space="preserve"> food and energy prices </w:t>
      </w:r>
      <w:r>
        <w:t xml:space="preserve">has sets in </w:t>
      </w:r>
      <w:r w:rsidRPr="001F0453">
        <w:t>2015</w:t>
      </w:r>
      <w:r>
        <w:t xml:space="preserve">. On the other hand </w:t>
      </w:r>
      <w:r w:rsidRPr="001F0453">
        <w:t xml:space="preserve">the sterling effective exchange rate </w:t>
      </w:r>
      <w:r>
        <w:t xml:space="preserve">has depreciated </w:t>
      </w:r>
      <w:r w:rsidRPr="001F0453">
        <w:t>by more than 20%</w:t>
      </w:r>
      <w:r>
        <w:t xml:space="preserve"> in 2016 </w:t>
      </w:r>
      <w:r w:rsidRPr="001F0453">
        <w:t>in</w:t>
      </w:r>
      <w:r>
        <w:t xml:space="preserve"> comparison to the highest level of inflation that that took place in No</w:t>
      </w:r>
      <w:r w:rsidRPr="001F0453">
        <w:t>vember 2015</w:t>
      </w:r>
      <w:r>
        <w:t xml:space="preserve"> (</w:t>
      </w:r>
      <w:r w:rsidRPr="008F014C">
        <w:t>Jackson</w:t>
      </w:r>
      <w:r>
        <w:t xml:space="preserve"> </w:t>
      </w:r>
      <w:r w:rsidRPr="004B54DB">
        <w:rPr>
          <w:i/>
        </w:rPr>
        <w:t>et al.,</w:t>
      </w:r>
      <w:r>
        <w:t xml:space="preserve"> 2018)</w:t>
      </w:r>
      <w:r w:rsidRPr="001F0453">
        <w:t xml:space="preserve">. </w:t>
      </w:r>
      <w:r>
        <w:t xml:space="preserve">According to the prediction of </w:t>
      </w:r>
      <w:r w:rsidRPr="001F0453">
        <w:t>Bank</w:t>
      </w:r>
      <w:r>
        <w:t xml:space="preserve"> of England the consumer price </w:t>
      </w:r>
      <w:r w:rsidRPr="001F0453">
        <w:t xml:space="preserve">inflation </w:t>
      </w:r>
      <w:r>
        <w:t xml:space="preserve">will rise </w:t>
      </w:r>
      <w:r w:rsidRPr="001F0453">
        <w:t>to 2.7% in 2017, followed by 2.6% in 2018</w:t>
      </w:r>
      <w:r w:rsidRPr="009F1D2A">
        <w:t xml:space="preserve"> (EBF, 2018)</w:t>
      </w:r>
      <w:r w:rsidRPr="001F0453">
        <w:t>.</w:t>
      </w:r>
      <w:r>
        <w:t xml:space="preserve"> The inflationary pressure has forced the monitory policy to tighten and the result is the increment of interest to 0.75% from the recent low of near 0% rate (</w:t>
      </w:r>
      <w:proofErr w:type="spellStart"/>
      <w:proofErr w:type="gramStart"/>
      <w:r w:rsidRPr="00F676B1">
        <w:rPr>
          <w:bCs/>
        </w:rPr>
        <w:t>bbc</w:t>
      </w:r>
      <w:proofErr w:type="spellEnd"/>
      <w:proofErr w:type="gramEnd"/>
      <w:r>
        <w:rPr>
          <w:lang w:val="en-US"/>
        </w:rPr>
        <w:t>, 2018</w:t>
      </w:r>
      <w:r w:rsidRPr="00000F81">
        <w:rPr>
          <w:lang w:val="en-US"/>
        </w:rPr>
        <w:t>). </w:t>
      </w:r>
      <w:r>
        <w:t xml:space="preserve">The rise in the rate would put more pressure on the unsecured loan amount of </w:t>
      </w:r>
      <w:r w:rsidRPr="002512A2">
        <w:rPr>
          <w:bCs/>
          <w:iCs/>
        </w:rPr>
        <w:t>BARCLAYS</w:t>
      </w:r>
      <w:r>
        <w:rPr>
          <w:bCs/>
          <w:iCs/>
        </w:rPr>
        <w:t xml:space="preserve">, as this continuous rise would increase the chance of default. </w:t>
      </w:r>
      <w:r w:rsidRPr="002512A2">
        <w:rPr>
          <w:bCs/>
          <w:iCs/>
        </w:rPr>
        <w:t>BARCLAYS</w:t>
      </w:r>
      <w:r>
        <w:rPr>
          <w:bCs/>
          <w:iCs/>
        </w:rPr>
        <w:t xml:space="preserve"> needs to factor in this rise in interest rate to reassess their risk and credit policy. </w:t>
      </w:r>
    </w:p>
    <w:p w:rsidR="00CE4ECF" w:rsidRDefault="00CE4ECF" w:rsidP="00CE4ECF">
      <w:pPr>
        <w:jc w:val="center"/>
      </w:pPr>
      <w:r>
        <w:t>Figure-4</w:t>
      </w:r>
    </w:p>
    <w:p w:rsidR="00CE4ECF" w:rsidRDefault="00CE4ECF" w:rsidP="00BA32C9">
      <w:r>
        <w:rPr>
          <w:noProof/>
          <w:lang w:eastAsia="en-GB"/>
        </w:rPr>
        <w:lastRenderedPageBreak/>
        <w:drawing>
          <wp:inline distT="0" distB="0" distL="0" distR="0">
            <wp:extent cx="5734050" cy="4191000"/>
            <wp:effectExtent l="1905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5734050" cy="4191000"/>
                    </a:xfrm>
                    <a:prstGeom prst="rect">
                      <a:avLst/>
                    </a:prstGeom>
                    <a:noFill/>
                    <a:ln w="9525">
                      <a:noFill/>
                      <a:miter lim="800000"/>
                      <a:headEnd/>
                      <a:tailEnd/>
                    </a:ln>
                  </pic:spPr>
                </pic:pic>
              </a:graphicData>
            </a:graphic>
          </wp:inline>
        </w:drawing>
      </w:r>
      <w:r>
        <w:t xml:space="preserve">[Source: </w:t>
      </w:r>
      <w:proofErr w:type="spellStart"/>
      <w:proofErr w:type="gramStart"/>
      <w:r w:rsidRPr="00F676B1">
        <w:rPr>
          <w:bCs/>
        </w:rPr>
        <w:t>bbc</w:t>
      </w:r>
      <w:proofErr w:type="spellEnd"/>
      <w:proofErr w:type="gramEnd"/>
      <w:r>
        <w:rPr>
          <w:lang w:val="en-US"/>
        </w:rPr>
        <w:t>, 2018]</w:t>
      </w:r>
    </w:p>
    <w:p w:rsidR="00CE4ECF" w:rsidRPr="00316E4D" w:rsidRDefault="00CE4ECF" w:rsidP="00CE4ECF">
      <w:pPr>
        <w:rPr>
          <w:b/>
        </w:rPr>
      </w:pPr>
      <w:r w:rsidRPr="00316E4D">
        <w:rPr>
          <w:b/>
        </w:rPr>
        <w:t>Enhanced level of competition:</w:t>
      </w:r>
    </w:p>
    <w:p w:rsidR="00CE4ECF" w:rsidRDefault="00CE4ECF" w:rsidP="00CE4ECF">
      <w:pPr>
        <w:rPr>
          <w:bCs/>
          <w:iCs/>
        </w:rPr>
      </w:pPr>
      <w:r>
        <w:t xml:space="preserve">According to the </w:t>
      </w:r>
      <w:r w:rsidRPr="0034367B">
        <w:t>European Banking Federation</w:t>
      </w:r>
      <w:r>
        <w:t xml:space="preserve"> 57%of the UK residents are keeping their monetary asset in the different UK banking organization and 45% of the UK residents are keeping their monetary asset on the different non UK banking institutions of the country (</w:t>
      </w:r>
      <w:r>
        <w:rPr>
          <w:rFonts w:eastAsia="Times New Roman" w:cs="Times New Roman"/>
          <w:color w:val="000000"/>
          <w:szCs w:val="24"/>
          <w:lang w:val="en-US"/>
        </w:rPr>
        <w:t xml:space="preserve">EBF, </w:t>
      </w:r>
      <w:r w:rsidRPr="0095308A">
        <w:rPr>
          <w:rFonts w:eastAsia="Times New Roman" w:cs="Times New Roman"/>
          <w:color w:val="000000"/>
          <w:szCs w:val="24"/>
          <w:lang w:val="en-US"/>
        </w:rPr>
        <w:t>2018). </w:t>
      </w:r>
      <w:r>
        <w:rPr>
          <w:rFonts w:eastAsia="Times New Roman" w:cs="Times New Roman"/>
          <w:color w:val="000000"/>
          <w:szCs w:val="24"/>
          <w:lang w:val="en-US"/>
        </w:rPr>
        <w:t xml:space="preserve">The falling Pound would make it easy for the foreign banks to invest in the UK market which would increase the competition further. Considering this the UK banks needs to improve their customer centric approach to keep their large market share. </w:t>
      </w:r>
      <w:r w:rsidRPr="002512A2">
        <w:rPr>
          <w:bCs/>
          <w:iCs/>
        </w:rPr>
        <w:t>BARCLAYS</w:t>
      </w:r>
      <w:r>
        <w:rPr>
          <w:bCs/>
          <w:iCs/>
        </w:rPr>
        <w:t xml:space="preserve"> have to improve business strategy in this highly competitive market situation. </w:t>
      </w:r>
    </w:p>
    <w:p w:rsidR="00CE4ECF" w:rsidRPr="00A964C2" w:rsidRDefault="00CE4ECF" w:rsidP="00CE4ECF">
      <w:pPr>
        <w:rPr>
          <w:b/>
          <w:bCs/>
          <w:iCs/>
        </w:rPr>
      </w:pPr>
      <w:r w:rsidRPr="00A964C2">
        <w:rPr>
          <w:b/>
          <w:bCs/>
          <w:iCs/>
        </w:rPr>
        <w:t>Rise of financial technologies</w:t>
      </w:r>
    </w:p>
    <w:p w:rsidR="00CE4ECF" w:rsidRDefault="00CE4ECF" w:rsidP="00CE4ECF">
      <w:r>
        <w:t xml:space="preserve">These are mainly the start-up business in the financial sector. The use of latest technology for the financial service delivery is the main approach of these companies. These businesses are adding value to the banking industry but the lack of fund and other resources did not provides enough </w:t>
      </w:r>
      <w:r>
        <w:lastRenderedPageBreak/>
        <w:t>scope for them to develop a competitive advantage in the banking industry. Rather one growing trend in the banking industry is the partnership with these financial technology businesses to improve value and completive advantage (</w:t>
      </w:r>
      <w:r w:rsidR="00BA32C9">
        <w:t>Romanova</w:t>
      </w:r>
      <w:r>
        <w:t xml:space="preserve"> and Kudinska, </w:t>
      </w:r>
      <w:r w:rsidRPr="007743D3">
        <w:t>2016).</w:t>
      </w:r>
      <w:r>
        <w:t xml:space="preserve"> These small businesses are more agile to develop innovative service and the big banks would provide the necessary resource support to benefit mutually. </w:t>
      </w:r>
      <w:r w:rsidRPr="002512A2">
        <w:rPr>
          <w:bCs/>
          <w:iCs/>
        </w:rPr>
        <w:t>BARCLAYS</w:t>
      </w:r>
      <w:r>
        <w:rPr>
          <w:bCs/>
          <w:iCs/>
        </w:rPr>
        <w:t xml:space="preserve"> in recent time took the similar approach to improve their competitive advantage one of the case is the partnership with a </w:t>
      </w:r>
      <w:proofErr w:type="spellStart"/>
      <w:r>
        <w:rPr>
          <w:bCs/>
          <w:iCs/>
        </w:rPr>
        <w:t>fintech</w:t>
      </w:r>
      <w:proofErr w:type="spellEnd"/>
      <w:r>
        <w:rPr>
          <w:bCs/>
          <w:iCs/>
        </w:rPr>
        <w:t xml:space="preserve"> company called </w:t>
      </w:r>
      <w:r w:rsidRPr="009F09F0">
        <w:rPr>
          <w:bCs/>
          <w:iCs/>
        </w:rPr>
        <w:t>Simudyne</w:t>
      </w:r>
      <w:r>
        <w:rPr>
          <w:bCs/>
          <w:iCs/>
        </w:rPr>
        <w:t xml:space="preserve"> (</w:t>
      </w:r>
      <w:r w:rsidRPr="000226D4">
        <w:rPr>
          <w:bCs/>
        </w:rPr>
        <w:t>marketsmedia</w:t>
      </w:r>
      <w:r>
        <w:rPr>
          <w:lang w:val="en-US"/>
        </w:rPr>
        <w:t>, 2018</w:t>
      </w:r>
      <w:r w:rsidRPr="00000F81">
        <w:rPr>
          <w:lang w:val="en-US"/>
        </w:rPr>
        <w:t>). </w:t>
      </w:r>
      <w:r w:rsidRPr="009F09F0">
        <w:rPr>
          <w:bCs/>
          <w:iCs/>
        </w:rPr>
        <w:t>Simudyne</w:t>
      </w:r>
      <w:r>
        <w:rPr>
          <w:bCs/>
          <w:iCs/>
        </w:rPr>
        <w:t xml:space="preserve"> would provide the business simulation service to </w:t>
      </w:r>
      <w:r w:rsidRPr="002512A2">
        <w:rPr>
          <w:bCs/>
          <w:iCs/>
        </w:rPr>
        <w:t>BARCLAYS</w:t>
      </w:r>
      <w:r>
        <w:rPr>
          <w:bCs/>
          <w:iCs/>
        </w:rPr>
        <w:t xml:space="preserve"> in managing the risk in their operation. Future such partnership would be useful for the </w:t>
      </w:r>
      <w:r w:rsidRPr="002512A2">
        <w:rPr>
          <w:bCs/>
          <w:iCs/>
        </w:rPr>
        <w:t>BARCLAYS</w:t>
      </w:r>
      <w:r>
        <w:rPr>
          <w:bCs/>
          <w:iCs/>
        </w:rPr>
        <w:t xml:space="preserve"> for the performance, financial health and customer satisfaction improvement. </w:t>
      </w:r>
    </w:p>
    <w:p w:rsidR="00CE4ECF" w:rsidRDefault="00CE4ECF" w:rsidP="00CE4ECF">
      <w:pPr>
        <w:rPr>
          <w:b/>
        </w:rPr>
      </w:pPr>
      <w:r w:rsidRPr="009B3B37">
        <w:rPr>
          <w:b/>
        </w:rPr>
        <w:t>The issue of BREXIT</w:t>
      </w:r>
    </w:p>
    <w:p w:rsidR="00CE4ECF" w:rsidRDefault="00CE4ECF" w:rsidP="00CE4ECF">
      <w:r>
        <w:t xml:space="preserve">The UK leaving the European Union has affected the UK financial sector as well as the banking organizations in more than one ways. One perception is that the UK banking sector will have to face lots of uncertainty with a reduced risk appetitive as the cross bored banking operation will be now quite cumber sum due to different regulations that are operating in UK and EU (Schiereck </w:t>
      </w:r>
      <w:r w:rsidRPr="00BD149A">
        <w:rPr>
          <w:i/>
        </w:rPr>
        <w:t>et al.,</w:t>
      </w:r>
      <w:r>
        <w:t xml:space="preserve"> 2016). This disruption in cross boarder banking will sooner or later certainly bring a reduction in the spread of the business and reduction in cash creation.</w:t>
      </w:r>
    </w:p>
    <w:p w:rsidR="00CE4ECF" w:rsidRDefault="00CE4ECF" w:rsidP="00CE4ECF">
      <w:r>
        <w:t xml:space="preserve">The uncertainty created by BREXIT has badly affected the confidence of the banking sector and this reduction in confidence is going to negatively affect the banking activities like M&amp;A, IPO activity and inward investment (Schiereck </w:t>
      </w:r>
      <w:r w:rsidRPr="00BD149A">
        <w:rPr>
          <w:i/>
        </w:rPr>
        <w:t>et al.,</w:t>
      </w:r>
      <w:r>
        <w:t xml:space="preserve"> 2016). As a whole there is a high possibility that the money creation capability of the banking sector his going to be badly affected and the reduced liquidity of the economy may lead to an identified retardation in the overall growth process of the economy in near future. According to the economists it is expected that the growth process of the economy is expected to slow down at a rate of 1.4% in 2016 and 0.7% in 2017(</w:t>
      </w:r>
      <w:r w:rsidRPr="00A35C90">
        <w:rPr>
          <w:rFonts w:cs="Times New Roman"/>
          <w:color w:val="222222"/>
          <w:szCs w:val="24"/>
          <w:shd w:val="clear" w:color="auto" w:fill="FFFFFF"/>
        </w:rPr>
        <w:t>Dhingra</w:t>
      </w:r>
      <w:r>
        <w:rPr>
          <w:rFonts w:cs="Times New Roman"/>
          <w:color w:val="222222"/>
          <w:szCs w:val="24"/>
          <w:shd w:val="clear" w:color="auto" w:fill="FFFFFF"/>
        </w:rPr>
        <w:t xml:space="preserve"> </w:t>
      </w:r>
      <w:r w:rsidRPr="007603C3">
        <w:rPr>
          <w:rFonts w:cs="Times New Roman"/>
          <w:i/>
          <w:color w:val="222222"/>
          <w:szCs w:val="24"/>
          <w:shd w:val="clear" w:color="auto" w:fill="FFFFFF"/>
        </w:rPr>
        <w:t>et al</w:t>
      </w:r>
      <w:r>
        <w:rPr>
          <w:rFonts w:cs="Times New Roman"/>
          <w:color w:val="222222"/>
          <w:szCs w:val="24"/>
          <w:shd w:val="clear" w:color="auto" w:fill="FFFFFF"/>
        </w:rPr>
        <w:t xml:space="preserve"> .,2016</w:t>
      </w:r>
      <w:r>
        <w:t>).</w:t>
      </w:r>
    </w:p>
    <w:p w:rsidR="00CE4ECF" w:rsidRDefault="00CE4ECF" w:rsidP="00CE4ECF">
      <w:r>
        <w:t>The UK treasury department holds a more pessimistic view and according to them the UK economy as well as UK banking sector is not going to see any growth for the next two years on 2019 &amp; 2020 (</w:t>
      </w:r>
      <w:r w:rsidR="00BA32C9" w:rsidRPr="00C353EA">
        <w:rPr>
          <w:bCs/>
        </w:rPr>
        <w:t>the conversation</w:t>
      </w:r>
      <w:r>
        <w:rPr>
          <w:lang w:val="en-US"/>
        </w:rPr>
        <w:t>, 2016</w:t>
      </w:r>
      <w:r w:rsidRPr="00000F81">
        <w:rPr>
          <w:lang w:val="en-US"/>
        </w:rPr>
        <w:t>). </w:t>
      </w:r>
      <w:r>
        <w:t xml:space="preserve">The important impact of BREXIT is that the deprecation with respect to pound and sterling are going to stay for a longer period. The depreciated currency </w:t>
      </w:r>
      <w:r>
        <w:lastRenderedPageBreak/>
        <w:t>in one hand will reduce the value of investment in the country but on the other hand the rise in export is going to add to the liquidity of the economy of the banking sector (</w:t>
      </w:r>
      <w:r>
        <w:rPr>
          <w:rFonts w:cs="Times New Roman"/>
          <w:color w:val="222222"/>
          <w:szCs w:val="24"/>
          <w:shd w:val="clear" w:color="auto" w:fill="FFFFFF"/>
        </w:rPr>
        <w:t>Nugent,</w:t>
      </w:r>
      <w:r w:rsidRPr="00A35C90">
        <w:rPr>
          <w:rFonts w:cs="Times New Roman"/>
          <w:color w:val="222222"/>
          <w:szCs w:val="24"/>
          <w:shd w:val="clear" w:color="auto" w:fill="FFFFFF"/>
        </w:rPr>
        <w:t xml:space="preserve"> 2017</w:t>
      </w:r>
      <w:r>
        <w:t xml:space="preserve">). To what extent the BREXIT will affect the banking and finical sector of UK to a great extent depends upon the how the negotiation between UK and EU goes on and how the financial regulations shape in so that UK can develop a strong trade relation with EU. In the long term the uncertainty related to trade and banking operation of EU is expected to decline once UK will be able to sort out a stable relationship with EU (Schiereck </w:t>
      </w:r>
      <w:r w:rsidRPr="00BD149A">
        <w:rPr>
          <w:i/>
        </w:rPr>
        <w:t>et al.,</w:t>
      </w:r>
      <w:r>
        <w:t xml:space="preserve"> 2016).</w:t>
      </w:r>
    </w:p>
    <w:p w:rsidR="00CE4ECF" w:rsidRDefault="00CE4ECF" w:rsidP="00CE4ECF">
      <w:r w:rsidRPr="002512A2">
        <w:rPr>
          <w:bCs/>
          <w:iCs/>
        </w:rPr>
        <w:t>BARCLAYS</w:t>
      </w:r>
      <w:r>
        <w:rPr>
          <w:bCs/>
          <w:iCs/>
        </w:rPr>
        <w:t xml:space="preserve"> continuously is assessing the brexit situation. They have regularly produced their assessment in their website. The change in the regulation is one of the important aspect the organisation looking for the post brexit situation (</w:t>
      </w:r>
      <w:proofErr w:type="spellStart"/>
      <w:r w:rsidRPr="00FF1C3C">
        <w:rPr>
          <w:bCs/>
        </w:rPr>
        <w:t>barclayscorporate</w:t>
      </w:r>
      <w:proofErr w:type="spellEnd"/>
      <w:r>
        <w:rPr>
          <w:lang w:val="en-US"/>
        </w:rPr>
        <w:t>, 2018</w:t>
      </w:r>
      <w:r w:rsidRPr="00000F81">
        <w:rPr>
          <w:lang w:val="en-US"/>
        </w:rPr>
        <w:t>). </w:t>
      </w:r>
      <w:r>
        <w:rPr>
          <w:bCs/>
          <w:iCs/>
        </w:rPr>
        <w:t xml:space="preserve">The loss on single market access in the EU would be another important considering factor for them. The future relationship of UK and EU is a considering factor for their future business operations. But </w:t>
      </w:r>
      <w:r w:rsidRPr="002512A2">
        <w:rPr>
          <w:bCs/>
          <w:iCs/>
        </w:rPr>
        <w:t>BARCLAYS</w:t>
      </w:r>
      <w:r>
        <w:rPr>
          <w:bCs/>
          <w:iCs/>
        </w:rPr>
        <w:t xml:space="preserve"> has expressed their commitment to the customers about access financial market of EU27, continues to </w:t>
      </w:r>
      <w:proofErr w:type="spellStart"/>
      <w:r>
        <w:rPr>
          <w:bCs/>
          <w:iCs/>
        </w:rPr>
        <w:t>Eu</w:t>
      </w:r>
      <w:proofErr w:type="spellEnd"/>
      <w:r>
        <w:rPr>
          <w:bCs/>
          <w:iCs/>
        </w:rPr>
        <w:t xml:space="preserve"> businesses investment, and support the client under this uncertain situation (</w:t>
      </w:r>
      <w:proofErr w:type="spellStart"/>
      <w:r w:rsidRPr="00FF1C3C">
        <w:rPr>
          <w:bCs/>
        </w:rPr>
        <w:t>barclayscorporate</w:t>
      </w:r>
      <w:proofErr w:type="spellEnd"/>
      <w:r>
        <w:rPr>
          <w:lang w:val="en-US"/>
        </w:rPr>
        <w:t>, 2018</w:t>
      </w:r>
      <w:r w:rsidRPr="00000F81">
        <w:rPr>
          <w:lang w:val="en-US"/>
        </w:rPr>
        <w:t>). </w:t>
      </w:r>
      <w:r>
        <w:rPr>
          <w:bCs/>
          <w:iCs/>
        </w:rPr>
        <w:t xml:space="preserve"> </w:t>
      </w:r>
    </w:p>
    <w:p w:rsidR="00BA32C9" w:rsidRDefault="00BA32C9" w:rsidP="00CE4ECF">
      <w:pPr>
        <w:rPr>
          <w:b/>
        </w:rPr>
      </w:pPr>
    </w:p>
    <w:p w:rsidR="00BA32C9" w:rsidRDefault="00BA32C9" w:rsidP="00CE4ECF">
      <w:pPr>
        <w:rPr>
          <w:b/>
        </w:rPr>
      </w:pPr>
    </w:p>
    <w:p w:rsidR="00CE4ECF" w:rsidRPr="00335295" w:rsidRDefault="00CE4ECF" w:rsidP="00CE4ECF">
      <w:pPr>
        <w:rPr>
          <w:b/>
        </w:rPr>
      </w:pPr>
      <w:r w:rsidRPr="00335295">
        <w:rPr>
          <w:b/>
        </w:rPr>
        <w:t>Regulatory changes</w:t>
      </w:r>
    </w:p>
    <w:p w:rsidR="00CE4ECF" w:rsidRDefault="00CE4ECF" w:rsidP="00CE4ECF">
      <w:pPr>
        <w:rPr>
          <w:bCs/>
          <w:iCs/>
        </w:rPr>
      </w:pPr>
      <w:r>
        <w:t>The implementation of Basal III is one of the significant stages after the crisis of the financial market. In the 2018 the industry can expect lot more changes in regulation from the customer protection and transparency part of banking operation (</w:t>
      </w:r>
      <w:proofErr w:type="spellStart"/>
      <w:r w:rsidRPr="00CE54CD">
        <w:rPr>
          <w:bCs/>
        </w:rPr>
        <w:t>ey</w:t>
      </w:r>
      <w:proofErr w:type="spellEnd"/>
      <w:r>
        <w:rPr>
          <w:lang w:val="en-US"/>
        </w:rPr>
        <w:t>, 2017</w:t>
      </w:r>
      <w:r w:rsidRPr="00000F81">
        <w:rPr>
          <w:lang w:val="en-US"/>
        </w:rPr>
        <w:t>). </w:t>
      </w:r>
      <w:r w:rsidRPr="002512A2">
        <w:rPr>
          <w:bCs/>
          <w:iCs/>
        </w:rPr>
        <w:t>BARCLAYS</w:t>
      </w:r>
      <w:r>
        <w:rPr>
          <w:bCs/>
          <w:iCs/>
        </w:rPr>
        <w:t xml:space="preserve"> continuously monitor these changes in the market regulation but a proactive change would be useful for any sudden change in the industry regulations. </w:t>
      </w:r>
    </w:p>
    <w:p w:rsidR="00CE4ECF" w:rsidRDefault="00CE4ECF" w:rsidP="00CE4ECF">
      <w:pPr>
        <w:spacing w:line="276" w:lineRule="auto"/>
        <w:jc w:val="left"/>
        <w:rPr>
          <w:bCs/>
          <w:iCs/>
        </w:rPr>
      </w:pPr>
      <w:r>
        <w:rPr>
          <w:bCs/>
          <w:iCs/>
        </w:rPr>
        <w:br w:type="page"/>
      </w:r>
    </w:p>
    <w:p w:rsidR="00CE4ECF" w:rsidRDefault="00CE4ECF" w:rsidP="00CE4ECF">
      <w:pPr>
        <w:spacing w:line="276" w:lineRule="auto"/>
        <w:jc w:val="left"/>
        <w:rPr>
          <w:rFonts w:asciiTheme="majorHAnsi" w:eastAsia="Times New Roman" w:hAnsiTheme="majorHAnsi" w:cstheme="majorBidi"/>
          <w:b/>
          <w:bCs/>
          <w:color w:val="365F91" w:themeColor="accent1" w:themeShade="BF"/>
          <w:sz w:val="28"/>
          <w:szCs w:val="28"/>
          <w:lang w:val="en-US"/>
        </w:rPr>
      </w:pPr>
    </w:p>
    <w:p w:rsidR="00CE4ECF" w:rsidRDefault="00CE4ECF" w:rsidP="00CE4ECF">
      <w:pPr>
        <w:pStyle w:val="Heading1"/>
      </w:pPr>
      <w:bookmarkStart w:id="13" w:name="_Toc522767955"/>
      <w:r>
        <w:t xml:space="preserve">c) </w:t>
      </w:r>
      <w:r w:rsidRPr="002D16C0">
        <w:t>Issuance of treasury bills in the U.K</w:t>
      </w:r>
      <w:r>
        <w:t>:</w:t>
      </w:r>
      <w:bookmarkEnd w:id="13"/>
    </w:p>
    <w:p w:rsidR="00CE4ECF" w:rsidRDefault="00CE4ECF" w:rsidP="00CE4ECF">
      <w:r>
        <w:t>The government of UK issues treasury bills that are short term instruments and the bills are issued with a maturity up to 1 year. These are high quality money making instruments from the point of view of offering credit.</w:t>
      </w:r>
    </w:p>
    <w:p w:rsidR="00CE4ECF" w:rsidRPr="00502F49" w:rsidRDefault="00CE4ECF" w:rsidP="00CE4ECF">
      <w:pPr>
        <w:rPr>
          <w:b/>
        </w:rPr>
      </w:pPr>
      <w:r w:rsidRPr="00502F49">
        <w:rPr>
          <w:b/>
        </w:rPr>
        <w:t>The primary market operation</w:t>
      </w:r>
    </w:p>
    <w:p w:rsidR="00CE4ECF" w:rsidRDefault="00CE4ECF" w:rsidP="00CE4ECF">
      <w:r>
        <w:t xml:space="preserve">In UK the treasury bills are generally issued by the government on weekly or monthly basis normally by issuing the tender. The </w:t>
      </w:r>
      <w:r w:rsidRPr="00B66EA7">
        <w:t xml:space="preserve">Bank of England </w:t>
      </w:r>
      <w:r>
        <w:t>generally issues the Treasury bill on behalf of the government. Though the treasury bills are issued with a maximum maturity periods of 1 year but in general the treasury bills are issued with maturity period of 3 to 6 months. The purchasers indicate the price which they are ready to pay in the tender. The returned earned by the Treasury bill are generally described as the risk free rate of the market.</w:t>
      </w:r>
    </w:p>
    <w:p w:rsidR="00CE4ECF" w:rsidRDefault="00CE4ECF" w:rsidP="00CE4ECF">
      <w:r>
        <w:t xml:space="preserve">The primary purpose of issuing the treasury bills is to regulate the money supply and to raise fund via open market operations by issuing them through the central bank of the country. Generally no interest payment is made on the Treasury bill and the bills are sold on discount and when the purchaser returns the bill to the seller once the maturity period of the bill is over then the discount portion comes as risk free secured return to the purchaser of the Treasury </w:t>
      </w:r>
      <w:proofErr w:type="gramStart"/>
      <w:r>
        <w:t>bill(</w:t>
      </w:r>
      <w:proofErr w:type="gramEnd"/>
      <w:r>
        <w:rPr>
          <w:rFonts w:cs="Times New Roman"/>
          <w:color w:val="222222"/>
          <w:szCs w:val="24"/>
          <w:shd w:val="clear" w:color="auto" w:fill="FFFFFF"/>
        </w:rPr>
        <w:t xml:space="preserve">Lloyd and Denise, </w:t>
      </w:r>
      <w:r w:rsidRPr="00DD13B9">
        <w:rPr>
          <w:rFonts w:cs="Times New Roman"/>
          <w:color w:val="222222"/>
          <w:szCs w:val="24"/>
          <w:shd w:val="clear" w:color="auto" w:fill="FFFFFF"/>
        </w:rPr>
        <w:t>2015</w:t>
      </w:r>
      <w:r>
        <w:t>).</w:t>
      </w:r>
    </w:p>
    <w:p w:rsidR="00CE4ECF" w:rsidRDefault="00CE4ECF" w:rsidP="00CE4ECF">
      <w:r>
        <w:t xml:space="preserve">For instance if in the primary market a Treasury bill price 100 pound has been issued by </w:t>
      </w:r>
      <w:r w:rsidRPr="00B66EA7">
        <w:t>Bank of England</w:t>
      </w:r>
      <w:r>
        <w:t xml:space="preserve"> (central bank of the country) with a maturity period of 6 months and a purchaser has purchased the </w:t>
      </w:r>
      <w:r w:rsidRPr="00B66EA7">
        <w:t>Bank of England</w:t>
      </w:r>
      <w:r>
        <w:t xml:space="preserve"> bill for a value of 80 pound (which is a 20 pound discount) then on return of the bill to the seller after the six month period will give the purchaser a 20 pound profit as on return to the bill to the issuer the purchaser will get 100 pound.</w:t>
      </w:r>
    </w:p>
    <w:p w:rsidR="00CE4ECF" w:rsidRDefault="00CE4ECF" w:rsidP="00CE4ECF">
      <w:r>
        <w:t>Here the issue price of the bond is defined as the par value of the bond and the difference between the discounted purchase price and par value of the bond is defined as the treasury yield. This yield of Treasury bill is of immense importance as this yield affects the yield of the municipal as well as corporate bonds that are issued by the government.</w:t>
      </w:r>
    </w:p>
    <w:p w:rsidR="00CE4ECF" w:rsidRDefault="00CE4ECF" w:rsidP="00CE4ECF">
      <w:r>
        <w:lastRenderedPageBreak/>
        <w:t>The Treasury bills that are issued by the Royal Bank Of England is of immense importance for the institutional  investors as the financial instrument is backed by the government of UK and therefore the instruments delivers the risk free returns</w:t>
      </w:r>
    </w:p>
    <w:p w:rsidR="00CE4ECF" w:rsidRDefault="00CE4ECF" w:rsidP="00CE4ECF"/>
    <w:p w:rsidR="00CE4ECF" w:rsidRDefault="00CE4ECF" w:rsidP="00CE4ECF">
      <w:r>
        <w:t>Thus in the primary market of the treasury bill mainly covers the transactions between the issuer of the bill and first time purchaser of the bill.</w:t>
      </w:r>
    </w:p>
    <w:p w:rsidR="00CE4ECF" w:rsidRPr="00917B04" w:rsidRDefault="00CE4ECF" w:rsidP="00CE4ECF">
      <w:pPr>
        <w:rPr>
          <w:b/>
        </w:rPr>
      </w:pPr>
      <w:r w:rsidRPr="00917B04">
        <w:rPr>
          <w:b/>
        </w:rPr>
        <w:t>Types of Treasury bill issued</w:t>
      </w:r>
      <w:r>
        <w:rPr>
          <w:b/>
        </w:rPr>
        <w:t xml:space="preserve"> in primary market</w:t>
      </w:r>
      <w:r w:rsidRPr="00917B04">
        <w:rPr>
          <w:b/>
        </w:rPr>
        <w:t>:</w:t>
      </w:r>
    </w:p>
    <w:p w:rsidR="00CE4ECF" w:rsidRPr="007A0437" w:rsidRDefault="00CE4ECF" w:rsidP="00CE4ECF">
      <w:pPr>
        <w:rPr>
          <w:u w:val="single"/>
        </w:rPr>
      </w:pPr>
      <w:r w:rsidRPr="007A0437">
        <w:rPr>
          <w:u w:val="single"/>
        </w:rPr>
        <w:t xml:space="preserve">Weekly Treasury </w:t>
      </w:r>
      <w:r w:rsidR="00BA32C9" w:rsidRPr="007A0437">
        <w:rPr>
          <w:u w:val="single"/>
        </w:rPr>
        <w:t>bill</w:t>
      </w:r>
      <w:r w:rsidRPr="007A0437">
        <w:rPr>
          <w:u w:val="single"/>
        </w:rPr>
        <w:t xml:space="preserve"> Tenders:</w:t>
      </w:r>
    </w:p>
    <w:p w:rsidR="00CE4ECF" w:rsidRDefault="00CE4ECF" w:rsidP="00CE4ECF">
      <w:r>
        <w:t xml:space="preserve">These Treasury bills are routinely issued on weekly basis by issuing tenders by the </w:t>
      </w:r>
      <w:proofErr w:type="gramStart"/>
      <w:r>
        <w:t>DMO(</w:t>
      </w:r>
      <w:proofErr w:type="gramEnd"/>
      <w:r>
        <w:t xml:space="preserve">debt management office) at  the last business day of each week which is generally identified as Fridays. The settlement of the Treasury bill is done on the following business day. The weekly Treasury bills </w:t>
      </w:r>
      <w:r w:rsidR="00BA32C9">
        <w:t>are issued</w:t>
      </w:r>
      <w:r>
        <w:t xml:space="preserve"> with maturity </w:t>
      </w:r>
      <w:r w:rsidR="00BA32C9">
        <w:t>periods of</w:t>
      </w:r>
      <w:r>
        <w:t xml:space="preserve"> 1 month (approximately 28 days), 3 months (approximately 91 days), 6 months (approximately 182 days) and up to 12 months (up to 364 days. A public purchaser who </w:t>
      </w:r>
      <w:proofErr w:type="spellStart"/>
      <w:r>
        <w:t>ewant</w:t>
      </w:r>
      <w:proofErr w:type="spellEnd"/>
      <w:r>
        <w:t xml:space="preserve"> to purchase Treasury bills by using  the tenders will have to do go through one of the Treasury bill Primary Participants and purchase a Treasury bill  with a minimum nominal value of £500,000 .</w:t>
      </w:r>
    </w:p>
    <w:p w:rsidR="00CE4ECF" w:rsidRPr="00517585" w:rsidRDefault="00CE4ECF" w:rsidP="00CE4ECF">
      <w:pPr>
        <w:rPr>
          <w:u w:val="single"/>
        </w:rPr>
      </w:pPr>
      <w:r>
        <w:t xml:space="preserve"> </w:t>
      </w:r>
      <w:r w:rsidRPr="00517585">
        <w:rPr>
          <w:u w:val="single"/>
        </w:rPr>
        <w:t xml:space="preserve">Ad Hoc Treasury </w:t>
      </w:r>
      <w:r w:rsidR="00BA32C9" w:rsidRPr="00517585">
        <w:rPr>
          <w:u w:val="single"/>
        </w:rPr>
        <w:t>bill</w:t>
      </w:r>
      <w:r w:rsidRPr="00517585">
        <w:rPr>
          <w:u w:val="single"/>
        </w:rPr>
        <w:t xml:space="preserve"> Tenders</w:t>
      </w:r>
    </w:p>
    <w:p w:rsidR="00CE4ECF" w:rsidRDefault="00CE4ECF" w:rsidP="00CE4ECF">
      <w:r>
        <w:t xml:space="preserve">This Treasury bill s is being issued via the weekly tenders. The DMO however never issues Treasury bills with maturities either with 1 day or with 364 days on an ad hoc basis. The Bills issued through ad hoc tenders must be identical to the bills that are being issued via weekly tenders and </w:t>
      </w:r>
      <w:r w:rsidR="00BA32C9">
        <w:t>generally being</w:t>
      </w:r>
      <w:r>
        <w:t xml:space="preserve"> issued as additional to the already issued Treasury </w:t>
      </w:r>
      <w:proofErr w:type="gramStart"/>
      <w:r>
        <w:t>bills(</w:t>
      </w:r>
      <w:proofErr w:type="spellStart"/>
      <w:proofErr w:type="gramEnd"/>
      <w:r>
        <w:rPr>
          <w:rFonts w:cs="Times New Roman"/>
          <w:color w:val="222222"/>
          <w:szCs w:val="24"/>
          <w:shd w:val="clear" w:color="auto" w:fill="FFFFFF"/>
        </w:rPr>
        <w:t>Halder</w:t>
      </w:r>
      <w:proofErr w:type="spellEnd"/>
      <w:r w:rsidRPr="00DD13B9">
        <w:rPr>
          <w:rFonts w:cs="Times New Roman"/>
          <w:color w:val="222222"/>
          <w:szCs w:val="24"/>
          <w:shd w:val="clear" w:color="auto" w:fill="FFFFFF"/>
        </w:rPr>
        <w:t>, 2012</w:t>
      </w:r>
      <w:r>
        <w:t>) .</w:t>
      </w:r>
    </w:p>
    <w:p w:rsidR="00CE4ECF" w:rsidRDefault="00CE4ECF" w:rsidP="00CE4ECF">
      <w:r>
        <w:t xml:space="preserve"> </w:t>
      </w:r>
    </w:p>
    <w:p w:rsidR="00BA32C9" w:rsidRDefault="00BA32C9" w:rsidP="00CE4ECF">
      <w:pPr>
        <w:rPr>
          <w:u w:val="single"/>
        </w:rPr>
      </w:pPr>
    </w:p>
    <w:p w:rsidR="00BA32C9" w:rsidRDefault="00BA32C9" w:rsidP="00CE4ECF">
      <w:pPr>
        <w:rPr>
          <w:u w:val="single"/>
        </w:rPr>
      </w:pPr>
    </w:p>
    <w:p w:rsidR="00BA32C9" w:rsidRDefault="00BA32C9" w:rsidP="00CE4ECF">
      <w:pPr>
        <w:rPr>
          <w:u w:val="single"/>
        </w:rPr>
      </w:pPr>
    </w:p>
    <w:p w:rsidR="00CE4ECF" w:rsidRPr="00BA30DB" w:rsidRDefault="00CE4ECF" w:rsidP="00CE4ECF">
      <w:pPr>
        <w:rPr>
          <w:u w:val="single"/>
        </w:rPr>
      </w:pPr>
      <w:r w:rsidRPr="00BA30DB">
        <w:rPr>
          <w:u w:val="single"/>
        </w:rPr>
        <w:lastRenderedPageBreak/>
        <w:t>Bilateral Treasury bill Facility</w:t>
      </w:r>
    </w:p>
    <w:p w:rsidR="00CE4ECF" w:rsidRDefault="00CE4ECF" w:rsidP="00CE4ECF">
      <w:r>
        <w:t xml:space="preserve">The DMO may issue Treasury bills bilaterally and the Bills will be issued by the </w:t>
      </w:r>
      <w:proofErr w:type="gramStart"/>
      <w:r>
        <w:t>DMO  in</w:t>
      </w:r>
      <w:proofErr w:type="gramEnd"/>
      <w:r>
        <w:t xml:space="preserve"> this way  only in a situation if the if the issue of the bill is consistent with its own cash management operational requirements</w:t>
      </w:r>
    </w:p>
    <w:p w:rsidR="00CE4ECF" w:rsidRPr="00502F49" w:rsidRDefault="00CE4ECF" w:rsidP="00CE4ECF">
      <w:pPr>
        <w:rPr>
          <w:b/>
        </w:rPr>
      </w:pPr>
      <w:r w:rsidRPr="00502F49">
        <w:rPr>
          <w:b/>
        </w:rPr>
        <w:t>The secondary market operation:</w:t>
      </w:r>
    </w:p>
    <w:p w:rsidR="00CE4ECF" w:rsidRDefault="00CE4ECF" w:rsidP="00CE4ECF">
      <w:r>
        <w:t>In the secondary market the Treasury bill are traded after the first time purchase and is traded on discount basis.</w:t>
      </w:r>
    </w:p>
    <w:p w:rsidR="00CE4ECF" w:rsidRDefault="00CE4ECF" w:rsidP="00CE4ECF">
      <w:r>
        <w:t>There is several bidding process that are used for issuing the Treasury bill in the secondary market operations of the Treasury bill.</w:t>
      </w:r>
    </w:p>
    <w:p w:rsidR="00CE4ECF" w:rsidRDefault="00CE4ECF" w:rsidP="00CE4ECF">
      <w:r>
        <w:t>The bills are issued through an auction bidding process, which generally takes place on a weekly basis. Treasury bills are currently issued only via electronic form though they are in nature of paper bills.</w:t>
      </w:r>
    </w:p>
    <w:p w:rsidR="00CE4ECF" w:rsidRDefault="00CE4ECF" w:rsidP="00CE4ECF">
      <w:r>
        <w:t>The bills can be bought either competitive or non-competitive bidding process.</w:t>
      </w:r>
    </w:p>
    <w:p w:rsidR="00CE4ECF" w:rsidRDefault="00CE4ECF" w:rsidP="00CE4ECF">
      <w:r>
        <w:t>In the Non-competitive bidding process the bidder or the purchaser accept whatever interest rate is decided at the auction and generally the persons who are not so expert in security trading purchase them in this method. However the purchaser of the treasurer bill receives the guarantee that his bid will be accepted and full amount of bill will be paid back to the bidder.</w:t>
      </w:r>
    </w:p>
    <w:p w:rsidR="00CE4ECF" w:rsidRDefault="00CE4ECF" w:rsidP="00CE4ECF">
      <w:r>
        <w:t xml:space="preserve">In competitive bidding, process on the other hand, the bidder specifies the return they want to receive. This kind of bidding is generally done by corporations and individuals who are experts of the bidding process and is having an in-depth understanding of the supply and demand of the securities market. This process of bidding is more complicated as the bidder doesn’t know whether his bid will be accepted or not.  If the rate of interest specified by the bidder is less than or equal to the rate set by the auction, then the bid will be accepted and bidder will receive the uniform rate and the rate is identified as the highest accepted yield that is accepted by all the bidders and the rate is received even if they bid for less. For instance, if all bids with discount rates between 1.15 % and 1.25 % are accepted then in competitive bidding the bidder will receive 1.25 % even if the actual bid is done at a lower level. However if the competitive bid is </w:t>
      </w:r>
      <w:r>
        <w:lastRenderedPageBreak/>
        <w:t xml:space="preserve">set at a higher level than the rate set by the auction, then the bid will be </w:t>
      </w:r>
      <w:r w:rsidR="00452AE7">
        <w:t>rejected (</w:t>
      </w:r>
      <w:proofErr w:type="spellStart"/>
      <w:r w:rsidRPr="00DD13B9">
        <w:rPr>
          <w:rFonts w:cs="Times New Roman"/>
          <w:color w:val="222222"/>
          <w:szCs w:val="24"/>
          <w:shd w:val="clear" w:color="auto" w:fill="FFFFFF"/>
        </w:rPr>
        <w:t>Breedon</w:t>
      </w:r>
      <w:proofErr w:type="spellEnd"/>
      <w:r>
        <w:rPr>
          <w:rFonts w:cs="Times New Roman"/>
          <w:color w:val="222222"/>
          <w:szCs w:val="24"/>
          <w:shd w:val="clear" w:color="auto" w:fill="FFFFFF"/>
        </w:rPr>
        <w:t xml:space="preserve"> </w:t>
      </w:r>
      <w:r w:rsidRPr="0062472D">
        <w:rPr>
          <w:rFonts w:cs="Times New Roman"/>
          <w:i/>
          <w:color w:val="222222"/>
          <w:szCs w:val="24"/>
          <w:shd w:val="clear" w:color="auto" w:fill="FFFFFF"/>
        </w:rPr>
        <w:t>et al</w:t>
      </w:r>
      <w:r>
        <w:rPr>
          <w:rFonts w:cs="Times New Roman"/>
          <w:color w:val="222222"/>
          <w:szCs w:val="24"/>
          <w:shd w:val="clear" w:color="auto" w:fill="FFFFFF"/>
        </w:rPr>
        <w:t>.</w:t>
      </w:r>
      <w:proofErr w:type="gramStart"/>
      <w:r>
        <w:rPr>
          <w:rFonts w:cs="Times New Roman"/>
          <w:color w:val="222222"/>
          <w:szCs w:val="24"/>
          <w:shd w:val="clear" w:color="auto" w:fill="FFFFFF"/>
        </w:rPr>
        <w:t>,2012</w:t>
      </w:r>
      <w:proofErr w:type="gramEnd"/>
      <w:r>
        <w:t>).</w:t>
      </w:r>
    </w:p>
    <w:p w:rsidR="00CE4ECF" w:rsidRDefault="00CE4ECF" w:rsidP="00CE4ECF">
      <w:r>
        <w:t xml:space="preserve">The Brexit has largely impacted the </w:t>
      </w:r>
      <w:r w:rsidRPr="007F26E4">
        <w:t>Treasury yields</w:t>
      </w:r>
      <w:r>
        <w:t xml:space="preserve"> of UK as the yield on treasury bill has slipped down largely after </w:t>
      </w:r>
      <w:proofErr w:type="gramStart"/>
      <w:r>
        <w:t>brexit(</w:t>
      </w:r>
      <w:proofErr w:type="gramEnd"/>
      <w:r w:rsidRPr="00A35C90">
        <w:rPr>
          <w:rFonts w:cs="Times New Roman"/>
          <w:color w:val="222222"/>
          <w:szCs w:val="24"/>
          <w:shd w:val="clear" w:color="auto" w:fill="FFFFFF"/>
        </w:rPr>
        <w:t>Wadsworth</w:t>
      </w:r>
      <w:r>
        <w:rPr>
          <w:rFonts w:cs="Times New Roman"/>
          <w:color w:val="222222"/>
          <w:szCs w:val="24"/>
          <w:shd w:val="clear" w:color="auto" w:fill="FFFFFF"/>
        </w:rPr>
        <w:t xml:space="preserve"> </w:t>
      </w:r>
      <w:r w:rsidRPr="007603C3">
        <w:rPr>
          <w:rFonts w:cs="Times New Roman"/>
          <w:i/>
          <w:color w:val="222222"/>
          <w:szCs w:val="24"/>
          <w:shd w:val="clear" w:color="auto" w:fill="FFFFFF"/>
        </w:rPr>
        <w:t>et al</w:t>
      </w:r>
      <w:r>
        <w:rPr>
          <w:rFonts w:cs="Times New Roman"/>
          <w:color w:val="222222"/>
          <w:szCs w:val="24"/>
          <w:shd w:val="clear" w:color="auto" w:fill="FFFFFF"/>
        </w:rPr>
        <w:t>.,2016</w:t>
      </w:r>
      <w:r>
        <w:t>).</w:t>
      </w:r>
    </w:p>
    <w:p w:rsidR="00C7398F" w:rsidRDefault="00C7398F">
      <w:pPr>
        <w:spacing w:line="276" w:lineRule="auto"/>
        <w:jc w:val="left"/>
      </w:pPr>
      <w:r>
        <w:br w:type="page"/>
      </w:r>
    </w:p>
    <w:p w:rsidR="00CE4ECF" w:rsidRDefault="00C7398F" w:rsidP="00D30E4B">
      <w:pPr>
        <w:pStyle w:val="Heading1"/>
      </w:pPr>
      <w:r>
        <w:lastRenderedPageBreak/>
        <w:t>Reference:</w:t>
      </w:r>
    </w:p>
    <w:p w:rsidR="00D30E4B" w:rsidRDefault="00D30E4B" w:rsidP="00BA32C9">
      <w:pPr>
        <w:jc w:val="left"/>
      </w:pPr>
    </w:p>
    <w:p w:rsidR="00D30E4B" w:rsidRPr="00D30E4B" w:rsidRDefault="00D30E4B" w:rsidP="00BA32C9">
      <w:pPr>
        <w:jc w:val="left"/>
      </w:pPr>
      <w:r w:rsidRPr="00D30E4B">
        <w:t>Allen, B., Chan, K.K., Milne, A. and Thomas, S., 2012. Basel III: Is the cure worse than the disease</w:t>
      </w:r>
      <w:proofErr w:type="gramStart"/>
      <w:r w:rsidRPr="00D30E4B">
        <w:t>?.</w:t>
      </w:r>
      <w:proofErr w:type="gramEnd"/>
      <w:r w:rsidRPr="00D30E4B">
        <w:t> International Review of Financial Analysis, 25, pp.159-166.</w:t>
      </w:r>
    </w:p>
    <w:p w:rsidR="00D30E4B" w:rsidRPr="00D30E4B" w:rsidRDefault="00D30E4B" w:rsidP="00BA32C9">
      <w:pPr>
        <w:jc w:val="left"/>
      </w:pPr>
      <w:r w:rsidRPr="00D30E4B">
        <w:t>Banking.barclaysus.com. (2018). Our History | Barclays. [</w:t>
      </w:r>
      <w:proofErr w:type="gramStart"/>
      <w:r w:rsidRPr="00D30E4B">
        <w:t>online</w:t>
      </w:r>
      <w:proofErr w:type="gramEnd"/>
      <w:r w:rsidRPr="00D30E4B">
        <w:t>] Available at: https://www.banking.barclaysus.com/our-history.html [Accessed 23 Aug. 2018].</w:t>
      </w:r>
    </w:p>
    <w:p w:rsidR="00D30E4B" w:rsidRPr="00D30E4B" w:rsidRDefault="00BA32C9" w:rsidP="00BA32C9">
      <w:pPr>
        <w:jc w:val="left"/>
      </w:pPr>
      <w:proofErr w:type="gramStart"/>
      <w:r>
        <w:t>Barclays(</w:t>
      </w:r>
      <w:proofErr w:type="gramEnd"/>
      <w:r>
        <w:t>2014).</w:t>
      </w:r>
      <w:r w:rsidR="00D30E4B" w:rsidRPr="00D30E4B">
        <w:t>[</w:t>
      </w:r>
      <w:r w:rsidRPr="00D30E4B">
        <w:t>Online</w:t>
      </w:r>
      <w:r>
        <w:t>]</w:t>
      </w:r>
      <w:proofErr w:type="spellStart"/>
      <w:r>
        <w:t>Available</w:t>
      </w:r>
      <w:r w:rsidR="00D30E4B" w:rsidRPr="00D30E4B">
        <w:t>at</w:t>
      </w:r>
      <w:proofErr w:type="spellEnd"/>
      <w:r w:rsidR="00D30E4B" w:rsidRPr="00D30E4B">
        <w:t>: https://www.home.barclays/content/dam/barclayspublic/docs/InvestorRelations/ResultAnnouncements/2014FYResults/20180222_Barclays_PLC_FY14_Results_Announcement.pdf [Accessed 23 Aug. 2018].</w:t>
      </w:r>
    </w:p>
    <w:p w:rsidR="00D30E4B" w:rsidRPr="00D30E4B" w:rsidRDefault="00D30E4B" w:rsidP="00BA32C9">
      <w:pPr>
        <w:jc w:val="left"/>
      </w:pPr>
      <w:proofErr w:type="spellStart"/>
      <w:proofErr w:type="gramStart"/>
      <w:r w:rsidRPr="00D30E4B">
        <w:t>barclays</w:t>
      </w:r>
      <w:proofErr w:type="spellEnd"/>
      <w:proofErr w:type="gramEnd"/>
      <w:r w:rsidRPr="00D30E4B">
        <w:t xml:space="preserve"> (2015). [</w:t>
      </w:r>
      <w:r w:rsidR="00BA32C9" w:rsidRPr="00D30E4B">
        <w:t>Online</w:t>
      </w:r>
      <w:r w:rsidRPr="00D30E4B">
        <w:t>] Available at: https://www.home.barclays/content/dam/barclayspublic/docs/InvestorRelations/ResultAnnouncements/2016FYResults/20180222_Barclays_PLC_FY15_Results_Announcement.pdf [Accessed 23 Aug. 2018].</w:t>
      </w:r>
    </w:p>
    <w:p w:rsidR="00D30E4B" w:rsidRPr="00D30E4B" w:rsidRDefault="00D30E4B" w:rsidP="00BA32C9">
      <w:pPr>
        <w:jc w:val="left"/>
      </w:pPr>
      <w:proofErr w:type="spellStart"/>
      <w:proofErr w:type="gramStart"/>
      <w:r w:rsidRPr="00D30E4B">
        <w:t>barclays</w:t>
      </w:r>
      <w:proofErr w:type="spellEnd"/>
      <w:proofErr w:type="gramEnd"/>
      <w:r w:rsidRPr="00D30E4B">
        <w:t xml:space="preserve"> (2017). [</w:t>
      </w:r>
      <w:r w:rsidR="00BA32C9" w:rsidRPr="00D30E4B">
        <w:t>Online</w:t>
      </w:r>
      <w:r w:rsidRPr="00D30E4B">
        <w:t>] Available at: https://www.home.barclays/content/dam/barclayspublic/docs/InvestorRelations/ResultAnnouncements/2017FYResults/20180222_Barclays_PLC_FY17_Results_Announcement.pdf [Accessed 23 Aug. 2018].</w:t>
      </w:r>
    </w:p>
    <w:p w:rsidR="00D30E4B" w:rsidRDefault="00D30E4B" w:rsidP="00BA32C9">
      <w:pPr>
        <w:jc w:val="left"/>
        <w:rPr>
          <w:lang w:val="en-US"/>
        </w:rPr>
      </w:pPr>
      <w:r w:rsidRPr="00356493">
        <w:rPr>
          <w:bCs/>
        </w:rPr>
        <w:t>barclays.co.uk</w:t>
      </w:r>
      <w:r>
        <w:rPr>
          <w:lang w:val="en-US"/>
        </w:rPr>
        <w:t>. (2018</w:t>
      </w:r>
      <w:r w:rsidRPr="00000F81">
        <w:rPr>
          <w:lang w:val="en-US"/>
        </w:rPr>
        <w:t>). </w:t>
      </w:r>
      <w:r w:rsidRPr="002F4033">
        <w:rPr>
          <w:i/>
        </w:rPr>
        <w:t>Social media</w:t>
      </w:r>
      <w:r>
        <w:rPr>
          <w:i/>
        </w:rPr>
        <w:t xml:space="preserve"> </w:t>
      </w:r>
      <w:proofErr w:type="gramStart"/>
      <w:r w:rsidRPr="002F4033">
        <w:rPr>
          <w:bCs/>
          <w:i/>
        </w:rPr>
        <w:t>Got</w:t>
      </w:r>
      <w:proofErr w:type="gramEnd"/>
      <w:r w:rsidRPr="002F4033">
        <w:rPr>
          <w:bCs/>
          <w:i/>
        </w:rPr>
        <w:t xml:space="preserve"> a query? Get chatting</w:t>
      </w:r>
      <w:r w:rsidRPr="00D825C0">
        <w:rPr>
          <w:lang w:val="en-US"/>
        </w:rPr>
        <w:t xml:space="preserve">. </w:t>
      </w:r>
      <w:r w:rsidRPr="00000F81">
        <w:rPr>
          <w:lang w:val="en-US"/>
        </w:rPr>
        <w:t>[</w:t>
      </w:r>
      <w:r w:rsidR="00BA32C9" w:rsidRPr="00000F81">
        <w:rPr>
          <w:lang w:val="en-US"/>
        </w:rPr>
        <w:t>Online</w:t>
      </w:r>
      <w:r w:rsidRPr="00000F81">
        <w:rPr>
          <w:lang w:val="en-US"/>
        </w:rPr>
        <w:t xml:space="preserve">] Available at: </w:t>
      </w:r>
      <w:r w:rsidRPr="003C7373">
        <w:rPr>
          <w:lang w:val="en-US"/>
        </w:rPr>
        <w:t xml:space="preserve">https://www.barclays.co.uk/important-information/social-media-support/ </w:t>
      </w:r>
      <w:r>
        <w:rPr>
          <w:lang w:val="en-US"/>
        </w:rPr>
        <w:t>[Accessed 23</w:t>
      </w:r>
      <w:r w:rsidRPr="00000F81">
        <w:rPr>
          <w:lang w:val="en-US"/>
        </w:rPr>
        <w:t xml:space="preserve"> Aug. 2018].</w:t>
      </w:r>
    </w:p>
    <w:p w:rsidR="00D30E4B" w:rsidRDefault="00D30E4B" w:rsidP="00BA32C9">
      <w:pPr>
        <w:jc w:val="left"/>
        <w:rPr>
          <w:lang w:val="en-US"/>
        </w:rPr>
      </w:pPr>
      <w:proofErr w:type="spellStart"/>
      <w:proofErr w:type="gramStart"/>
      <w:r w:rsidRPr="00FF1C3C">
        <w:rPr>
          <w:bCs/>
        </w:rPr>
        <w:t>barclayscorporate</w:t>
      </w:r>
      <w:proofErr w:type="spellEnd"/>
      <w:proofErr w:type="gramEnd"/>
      <w:r>
        <w:rPr>
          <w:lang w:val="en-US"/>
        </w:rPr>
        <w:t>. (2018</w:t>
      </w:r>
      <w:r w:rsidRPr="00000F81">
        <w:rPr>
          <w:lang w:val="en-US"/>
        </w:rPr>
        <w:t>). </w:t>
      </w:r>
      <w:r w:rsidRPr="00B00DD8">
        <w:rPr>
          <w:i/>
        </w:rPr>
        <w:t>Brexit: What we know so far</w:t>
      </w:r>
      <w:r w:rsidRPr="00C461C4">
        <w:rPr>
          <w:lang w:val="en-US"/>
        </w:rPr>
        <w:t>.</w:t>
      </w:r>
      <w:r w:rsidRPr="00D825C0">
        <w:rPr>
          <w:lang w:val="en-US"/>
        </w:rPr>
        <w:t xml:space="preserve"> </w:t>
      </w:r>
      <w:r w:rsidRPr="00000F81">
        <w:rPr>
          <w:lang w:val="en-US"/>
        </w:rPr>
        <w:t>[</w:t>
      </w:r>
      <w:r w:rsidR="00BA32C9" w:rsidRPr="00000F81">
        <w:rPr>
          <w:lang w:val="en-US"/>
        </w:rPr>
        <w:t>Online</w:t>
      </w:r>
      <w:r w:rsidRPr="00000F81">
        <w:rPr>
          <w:lang w:val="en-US"/>
        </w:rPr>
        <w:t xml:space="preserve">] Available at: </w:t>
      </w:r>
      <w:r w:rsidRPr="00AF4CAA">
        <w:rPr>
          <w:lang w:val="en-US"/>
        </w:rPr>
        <w:t xml:space="preserve">https://www.barclayscorporate.com/insight-and-research/the-economy/brexit.html </w:t>
      </w:r>
      <w:r>
        <w:rPr>
          <w:lang w:val="en-US"/>
        </w:rPr>
        <w:t>[Accessed 23</w:t>
      </w:r>
      <w:r w:rsidRPr="00000F81">
        <w:rPr>
          <w:lang w:val="en-US"/>
        </w:rPr>
        <w:t xml:space="preserve"> Aug. 2018].</w:t>
      </w:r>
    </w:p>
    <w:p w:rsidR="00D30E4B" w:rsidRDefault="00D30E4B" w:rsidP="00BA32C9">
      <w:pPr>
        <w:jc w:val="left"/>
        <w:rPr>
          <w:lang w:val="en-US"/>
        </w:rPr>
      </w:pPr>
      <w:r w:rsidRPr="007A1516">
        <w:rPr>
          <w:bCs/>
        </w:rPr>
        <w:t>bba.org.uk</w:t>
      </w:r>
      <w:r>
        <w:rPr>
          <w:lang w:val="en-US"/>
        </w:rPr>
        <w:t>. (2017</w:t>
      </w:r>
      <w:r w:rsidRPr="00000F81">
        <w:rPr>
          <w:lang w:val="en-US"/>
        </w:rPr>
        <w:t>). </w:t>
      </w:r>
      <w:r w:rsidRPr="00196FF6">
        <w:rPr>
          <w:i/>
        </w:rPr>
        <w:t>An app-</w:t>
      </w:r>
      <w:proofErr w:type="spellStart"/>
      <w:r w:rsidRPr="00196FF6">
        <w:rPr>
          <w:i/>
        </w:rPr>
        <w:t>etite</w:t>
      </w:r>
      <w:proofErr w:type="spellEnd"/>
      <w:r w:rsidRPr="00196FF6">
        <w:rPr>
          <w:i/>
        </w:rPr>
        <w:t xml:space="preserve"> for banking</w:t>
      </w:r>
      <w:r w:rsidRPr="00D825C0">
        <w:rPr>
          <w:lang w:val="en-US"/>
        </w:rPr>
        <w:t xml:space="preserve">. </w:t>
      </w:r>
      <w:r w:rsidRPr="00000F81">
        <w:rPr>
          <w:lang w:val="en-US"/>
        </w:rPr>
        <w:t>[</w:t>
      </w:r>
      <w:proofErr w:type="gramStart"/>
      <w:r w:rsidRPr="00000F81">
        <w:rPr>
          <w:lang w:val="en-US"/>
        </w:rPr>
        <w:t>online</w:t>
      </w:r>
      <w:proofErr w:type="gramEnd"/>
      <w:r w:rsidRPr="00000F81">
        <w:rPr>
          <w:lang w:val="en-US"/>
        </w:rPr>
        <w:t xml:space="preserve">] Available at: </w:t>
      </w:r>
      <w:r w:rsidRPr="00B46850">
        <w:rPr>
          <w:lang w:val="en-US"/>
        </w:rPr>
        <w:t xml:space="preserve">https://www.bba.org.uk/wp-content/uploads/2017/06/WWBN-IV.pdf </w:t>
      </w:r>
      <w:r>
        <w:rPr>
          <w:lang w:val="en-US"/>
        </w:rPr>
        <w:t>[Accessed 23</w:t>
      </w:r>
      <w:r w:rsidRPr="00000F81">
        <w:rPr>
          <w:lang w:val="en-US"/>
        </w:rPr>
        <w:t xml:space="preserve"> Aug. 2018].</w:t>
      </w:r>
    </w:p>
    <w:p w:rsidR="00D30E4B" w:rsidRDefault="00D30E4B" w:rsidP="00BA32C9">
      <w:pPr>
        <w:rPr>
          <w:lang w:val="en-US"/>
        </w:rPr>
      </w:pPr>
      <w:proofErr w:type="spellStart"/>
      <w:proofErr w:type="gramStart"/>
      <w:r w:rsidRPr="00F676B1">
        <w:rPr>
          <w:bCs/>
        </w:rPr>
        <w:lastRenderedPageBreak/>
        <w:t>bbc</w:t>
      </w:r>
      <w:proofErr w:type="spellEnd"/>
      <w:proofErr w:type="gramEnd"/>
      <w:r>
        <w:rPr>
          <w:lang w:val="en-US"/>
        </w:rPr>
        <w:t>. (2018</w:t>
      </w:r>
      <w:r w:rsidRPr="00000F81">
        <w:rPr>
          <w:lang w:val="en-US"/>
        </w:rPr>
        <w:t>). </w:t>
      </w:r>
      <w:r w:rsidRPr="00C461C4">
        <w:rPr>
          <w:bCs/>
          <w:i/>
        </w:rPr>
        <w:t>Bank of England raises UK interest rates</w:t>
      </w:r>
      <w:r w:rsidRPr="00C461C4">
        <w:rPr>
          <w:lang w:val="en-US"/>
        </w:rPr>
        <w:t>.</w:t>
      </w:r>
      <w:r w:rsidRPr="00D825C0">
        <w:rPr>
          <w:lang w:val="en-US"/>
        </w:rPr>
        <w:t xml:space="preserve"> </w:t>
      </w:r>
      <w:r w:rsidRPr="00000F81">
        <w:rPr>
          <w:lang w:val="en-US"/>
        </w:rPr>
        <w:t>[</w:t>
      </w:r>
      <w:proofErr w:type="gramStart"/>
      <w:r w:rsidRPr="00000F81">
        <w:rPr>
          <w:lang w:val="en-US"/>
        </w:rPr>
        <w:t>online</w:t>
      </w:r>
      <w:proofErr w:type="gramEnd"/>
      <w:r w:rsidRPr="00000F81">
        <w:rPr>
          <w:lang w:val="en-US"/>
        </w:rPr>
        <w:t xml:space="preserve">] Available at: </w:t>
      </w:r>
      <w:r w:rsidRPr="00D24472">
        <w:rPr>
          <w:lang w:val="en-US"/>
        </w:rPr>
        <w:t xml:space="preserve">https://www.bbc.com/news/business-45043776 </w:t>
      </w:r>
      <w:r>
        <w:rPr>
          <w:lang w:val="en-US"/>
        </w:rPr>
        <w:t>[Accessed 23</w:t>
      </w:r>
      <w:r w:rsidRPr="00000F81">
        <w:rPr>
          <w:lang w:val="en-US"/>
        </w:rPr>
        <w:t xml:space="preserve"> Aug. 2018].</w:t>
      </w:r>
    </w:p>
    <w:p w:rsidR="00D30E4B" w:rsidRPr="00BF77D8" w:rsidRDefault="00D30E4B" w:rsidP="00BA32C9">
      <w:pPr>
        <w:rPr>
          <w:rFonts w:cs="Times New Roman"/>
          <w:color w:val="222222"/>
          <w:szCs w:val="24"/>
          <w:shd w:val="clear" w:color="auto" w:fill="FFFFFF"/>
        </w:rPr>
      </w:pPr>
      <w:proofErr w:type="spellStart"/>
      <w:r w:rsidRPr="00DD13B9">
        <w:rPr>
          <w:rFonts w:cs="Times New Roman"/>
          <w:color w:val="222222"/>
          <w:szCs w:val="24"/>
          <w:shd w:val="clear" w:color="auto" w:fill="FFFFFF"/>
        </w:rPr>
        <w:t>Breedon</w:t>
      </w:r>
      <w:proofErr w:type="spellEnd"/>
      <w:r w:rsidRPr="00DD13B9">
        <w:rPr>
          <w:rFonts w:cs="Times New Roman"/>
          <w:color w:val="222222"/>
          <w:szCs w:val="24"/>
          <w:shd w:val="clear" w:color="auto" w:fill="FFFFFF"/>
        </w:rPr>
        <w:t>, F., Chadha, J.S. and Waters, A., 2012. The financial market impact of UK quantitative easing. Oxford Review of Economic Policy, 28(4), pp.702-728.</w:t>
      </w:r>
    </w:p>
    <w:p w:rsidR="00D30E4B" w:rsidRDefault="00D30E4B" w:rsidP="00BA32C9">
      <w:pPr>
        <w:rPr>
          <w:lang w:val="en-US"/>
        </w:rPr>
      </w:pPr>
      <w:r w:rsidRPr="004068BC">
        <w:t>Casey</w:t>
      </w:r>
      <w:r>
        <w:t>, S</w:t>
      </w:r>
      <w:r>
        <w:rPr>
          <w:lang w:val="en-US"/>
        </w:rPr>
        <w:t>. (2017</w:t>
      </w:r>
      <w:r w:rsidRPr="00000F81">
        <w:rPr>
          <w:lang w:val="en-US"/>
        </w:rPr>
        <w:t>). </w:t>
      </w:r>
      <w:r w:rsidRPr="00AB22FB">
        <w:rPr>
          <w:i/>
        </w:rPr>
        <w:t>2016 NIELSEN SOCIAL MEDIA REPORT</w:t>
      </w:r>
      <w:r w:rsidRPr="00000F81">
        <w:rPr>
          <w:lang w:val="en-US"/>
        </w:rPr>
        <w:t>. [</w:t>
      </w:r>
      <w:proofErr w:type="gramStart"/>
      <w:r w:rsidRPr="00000F81">
        <w:rPr>
          <w:lang w:val="en-US"/>
        </w:rPr>
        <w:t>online</w:t>
      </w:r>
      <w:proofErr w:type="gramEnd"/>
      <w:r w:rsidRPr="00000F81">
        <w:rPr>
          <w:lang w:val="en-US"/>
        </w:rPr>
        <w:t xml:space="preserve">] Available at: </w:t>
      </w:r>
      <w:r w:rsidRPr="00A425B2">
        <w:rPr>
          <w:lang w:val="en-US"/>
        </w:rPr>
        <w:t xml:space="preserve">http://www.nielsen.com/us/en/insights/reports/2017/2016-nielsen-social-media-report.html </w:t>
      </w:r>
      <w:r>
        <w:rPr>
          <w:lang w:val="en-US"/>
        </w:rPr>
        <w:t>[Accessed 23</w:t>
      </w:r>
      <w:r w:rsidRPr="00000F81">
        <w:rPr>
          <w:lang w:val="en-US"/>
        </w:rPr>
        <w:t xml:space="preserve"> Aug. 2018].</w:t>
      </w:r>
    </w:p>
    <w:p w:rsidR="00D30E4B" w:rsidRPr="00A35C90" w:rsidRDefault="00D30E4B" w:rsidP="00BA32C9">
      <w:pPr>
        <w:rPr>
          <w:rFonts w:cs="Times New Roman"/>
          <w:color w:val="222222"/>
          <w:szCs w:val="24"/>
          <w:shd w:val="clear" w:color="auto" w:fill="FFFFFF"/>
        </w:rPr>
      </w:pPr>
      <w:r w:rsidRPr="00A35C90">
        <w:rPr>
          <w:rFonts w:cs="Times New Roman"/>
          <w:color w:val="222222"/>
          <w:szCs w:val="24"/>
          <w:shd w:val="clear" w:color="auto" w:fill="FFFFFF"/>
        </w:rPr>
        <w:t xml:space="preserve">Dhingra, S., </w:t>
      </w:r>
      <w:proofErr w:type="spellStart"/>
      <w:r w:rsidRPr="00A35C90">
        <w:rPr>
          <w:rFonts w:cs="Times New Roman"/>
          <w:color w:val="222222"/>
          <w:szCs w:val="24"/>
          <w:shd w:val="clear" w:color="auto" w:fill="FFFFFF"/>
        </w:rPr>
        <w:t>Ottaviano</w:t>
      </w:r>
      <w:proofErr w:type="spellEnd"/>
      <w:r w:rsidRPr="00A35C90">
        <w:rPr>
          <w:rFonts w:cs="Times New Roman"/>
          <w:color w:val="222222"/>
          <w:szCs w:val="24"/>
          <w:shd w:val="clear" w:color="auto" w:fill="FFFFFF"/>
        </w:rPr>
        <w:t xml:space="preserve">, G., Sampson, T. and Van </w:t>
      </w:r>
      <w:proofErr w:type="spellStart"/>
      <w:r w:rsidRPr="00A35C90">
        <w:rPr>
          <w:rFonts w:cs="Times New Roman"/>
          <w:color w:val="222222"/>
          <w:szCs w:val="24"/>
          <w:shd w:val="clear" w:color="auto" w:fill="FFFFFF"/>
        </w:rPr>
        <w:t>Reenen</w:t>
      </w:r>
      <w:proofErr w:type="spellEnd"/>
      <w:r w:rsidRPr="00A35C90">
        <w:rPr>
          <w:rFonts w:cs="Times New Roman"/>
          <w:color w:val="222222"/>
          <w:szCs w:val="24"/>
          <w:shd w:val="clear" w:color="auto" w:fill="FFFFFF"/>
        </w:rPr>
        <w:t>, J., 2016. The impact of Brexit on foreign investment in the UK. BREXIT 2016, 24.</w:t>
      </w:r>
    </w:p>
    <w:p w:rsidR="00D30E4B" w:rsidRPr="0095308A" w:rsidRDefault="00D30E4B" w:rsidP="00BA32C9">
      <w:pPr>
        <w:rPr>
          <w:rFonts w:eastAsia="Times New Roman" w:cs="Times New Roman"/>
          <w:color w:val="000000"/>
          <w:szCs w:val="24"/>
          <w:lang w:val="en-US"/>
        </w:rPr>
      </w:pPr>
      <w:r w:rsidRPr="0095308A">
        <w:rPr>
          <w:rFonts w:eastAsia="Times New Roman" w:cs="Times New Roman"/>
          <w:color w:val="000000"/>
          <w:szCs w:val="24"/>
          <w:lang w:val="en-US"/>
        </w:rPr>
        <w:t>EBF. (2018). </w:t>
      </w:r>
      <w:r w:rsidRPr="0095308A">
        <w:rPr>
          <w:rFonts w:eastAsia="Times New Roman" w:cs="Times New Roman"/>
          <w:i/>
          <w:color w:val="000000"/>
          <w:szCs w:val="24"/>
          <w:lang w:val="en-US"/>
        </w:rPr>
        <w:t>United Kingdom - EBF</w:t>
      </w:r>
      <w:r w:rsidRPr="0095308A">
        <w:rPr>
          <w:rFonts w:eastAsia="Times New Roman" w:cs="Times New Roman"/>
          <w:color w:val="000000"/>
          <w:szCs w:val="24"/>
          <w:lang w:val="en-US"/>
        </w:rPr>
        <w:t>. [</w:t>
      </w:r>
      <w:proofErr w:type="gramStart"/>
      <w:r w:rsidRPr="0095308A">
        <w:rPr>
          <w:rFonts w:eastAsia="Times New Roman" w:cs="Times New Roman"/>
          <w:color w:val="000000"/>
          <w:szCs w:val="24"/>
          <w:lang w:val="en-US"/>
        </w:rPr>
        <w:t>online</w:t>
      </w:r>
      <w:proofErr w:type="gramEnd"/>
      <w:r w:rsidRPr="0095308A">
        <w:rPr>
          <w:rFonts w:eastAsia="Times New Roman" w:cs="Times New Roman"/>
          <w:color w:val="000000"/>
          <w:szCs w:val="24"/>
          <w:lang w:val="en-US"/>
        </w:rPr>
        <w:t>] Available at: https://www.ebf.eu/united-kingdom/ [Accessed 14 Aug. 2018].</w:t>
      </w:r>
    </w:p>
    <w:p w:rsidR="00D30E4B" w:rsidRDefault="00D30E4B" w:rsidP="00BA32C9">
      <w:pPr>
        <w:rPr>
          <w:rFonts w:cs="Times New Roman"/>
          <w:color w:val="222222"/>
          <w:szCs w:val="24"/>
          <w:shd w:val="clear" w:color="auto" w:fill="FFFFFF"/>
        </w:rPr>
      </w:pPr>
      <w:proofErr w:type="spellStart"/>
      <w:r w:rsidRPr="00822892">
        <w:rPr>
          <w:rFonts w:cs="Times New Roman"/>
          <w:color w:val="222222"/>
          <w:szCs w:val="24"/>
          <w:shd w:val="clear" w:color="auto" w:fill="FFFFFF"/>
        </w:rPr>
        <w:t>Elaydi</w:t>
      </w:r>
      <w:proofErr w:type="spellEnd"/>
      <w:r w:rsidRPr="00822892">
        <w:rPr>
          <w:rFonts w:cs="Times New Roman"/>
          <w:color w:val="222222"/>
          <w:szCs w:val="24"/>
          <w:shd w:val="clear" w:color="auto" w:fill="FFFFFF"/>
        </w:rPr>
        <w:t>, R. and Harrison, C., 2010. Strategic motivations and choice in subsistence markets. </w:t>
      </w:r>
      <w:r w:rsidRPr="00822892">
        <w:rPr>
          <w:rFonts w:cs="Times New Roman"/>
          <w:i/>
          <w:color w:val="222222"/>
          <w:szCs w:val="24"/>
          <w:shd w:val="clear" w:color="auto" w:fill="FFFFFF"/>
        </w:rPr>
        <w:t>Journal of Business Research</w:t>
      </w:r>
      <w:r w:rsidRPr="00822892">
        <w:rPr>
          <w:rFonts w:cs="Times New Roman"/>
          <w:color w:val="222222"/>
          <w:szCs w:val="24"/>
          <w:shd w:val="clear" w:color="auto" w:fill="FFFFFF"/>
        </w:rPr>
        <w:t>, </w:t>
      </w:r>
      <w:r w:rsidRPr="00822892">
        <w:rPr>
          <w:rFonts w:cs="Times New Roman"/>
          <w:i/>
          <w:color w:val="222222"/>
          <w:szCs w:val="24"/>
          <w:shd w:val="clear" w:color="auto" w:fill="FFFFFF"/>
        </w:rPr>
        <w:t>63</w:t>
      </w:r>
      <w:r w:rsidRPr="00822892">
        <w:rPr>
          <w:rFonts w:cs="Times New Roman"/>
          <w:color w:val="222222"/>
          <w:szCs w:val="24"/>
          <w:shd w:val="clear" w:color="auto" w:fill="FFFFFF"/>
        </w:rPr>
        <w:t>(6), pp.651-655.</w:t>
      </w:r>
    </w:p>
    <w:p w:rsidR="00D30E4B" w:rsidRPr="00E340D2" w:rsidRDefault="00D30E4B" w:rsidP="00BA32C9">
      <w:pPr>
        <w:rPr>
          <w:b/>
          <w:bCs/>
          <w:i/>
        </w:rPr>
      </w:pPr>
      <w:proofErr w:type="spellStart"/>
      <w:proofErr w:type="gramStart"/>
      <w:r w:rsidRPr="00CE54CD">
        <w:rPr>
          <w:bCs/>
        </w:rPr>
        <w:t>ey</w:t>
      </w:r>
      <w:proofErr w:type="spellEnd"/>
      <w:proofErr w:type="gramEnd"/>
      <w:r>
        <w:rPr>
          <w:lang w:val="en-US"/>
        </w:rPr>
        <w:t>. (2017</w:t>
      </w:r>
      <w:r w:rsidRPr="00000F81">
        <w:rPr>
          <w:lang w:val="en-US"/>
        </w:rPr>
        <w:t>). </w:t>
      </w:r>
      <w:r w:rsidRPr="001A2690">
        <w:rPr>
          <w:bCs/>
          <w:i/>
        </w:rPr>
        <w:t>EY Banking Outlook for 2018</w:t>
      </w:r>
      <w:r w:rsidRPr="001A2690">
        <w:rPr>
          <w:lang w:val="en-US"/>
        </w:rPr>
        <w:t>.</w:t>
      </w:r>
      <w:r w:rsidRPr="00D825C0">
        <w:rPr>
          <w:lang w:val="en-US"/>
        </w:rPr>
        <w:t xml:space="preserve"> </w:t>
      </w:r>
      <w:r w:rsidRPr="00000F81">
        <w:rPr>
          <w:lang w:val="en-US"/>
        </w:rPr>
        <w:t>[</w:t>
      </w:r>
      <w:proofErr w:type="gramStart"/>
      <w:r w:rsidRPr="00000F81">
        <w:rPr>
          <w:lang w:val="en-US"/>
        </w:rPr>
        <w:t>online</w:t>
      </w:r>
      <w:proofErr w:type="gramEnd"/>
      <w:r w:rsidRPr="00000F81">
        <w:rPr>
          <w:lang w:val="en-US"/>
        </w:rPr>
        <w:t xml:space="preserve">] Available at: </w:t>
      </w:r>
      <w:r w:rsidRPr="0071516A">
        <w:rPr>
          <w:lang w:val="en-US"/>
        </w:rPr>
        <w:t xml:space="preserve">https://www.ey.com/uk/en/newsroom/news-releases/17-12-14-ey-banking-outlook-for-2018 </w:t>
      </w:r>
      <w:r>
        <w:rPr>
          <w:lang w:val="en-US"/>
        </w:rPr>
        <w:t>[Accessed 23</w:t>
      </w:r>
      <w:r w:rsidRPr="00000F81">
        <w:rPr>
          <w:lang w:val="en-US"/>
        </w:rPr>
        <w:t xml:space="preserve"> Aug. 2018].</w:t>
      </w:r>
    </w:p>
    <w:p w:rsidR="00D30E4B" w:rsidRDefault="00D30E4B" w:rsidP="00BA32C9">
      <w:proofErr w:type="spellStart"/>
      <w:r>
        <w:t>Fridson</w:t>
      </w:r>
      <w:proofErr w:type="spellEnd"/>
      <w:r>
        <w:t>, M. S., and</w:t>
      </w:r>
      <w:r w:rsidRPr="009E0C83">
        <w:t xml:space="preserve"> Alvarez, F. (2011). </w:t>
      </w:r>
      <w:r w:rsidRPr="009E0C83">
        <w:rPr>
          <w:i/>
        </w:rPr>
        <w:t>Financial statement analysis: a practitioner's guide</w:t>
      </w:r>
      <w:r w:rsidRPr="009E0C83">
        <w:t> (Vol. 597). John Wiley &amp; Sons.</w:t>
      </w:r>
    </w:p>
    <w:p w:rsidR="00D30E4B" w:rsidRPr="0095308A" w:rsidRDefault="00D30E4B" w:rsidP="00BA32C9">
      <w:pPr>
        <w:rPr>
          <w:rFonts w:eastAsia="Times New Roman" w:cs="Times New Roman"/>
          <w:color w:val="000000"/>
          <w:szCs w:val="24"/>
          <w:lang w:val="en-US"/>
        </w:rPr>
      </w:pPr>
      <w:r w:rsidRPr="0095308A">
        <w:rPr>
          <w:rFonts w:eastAsia="Times New Roman" w:cs="Times New Roman"/>
          <w:color w:val="000000"/>
          <w:szCs w:val="24"/>
          <w:lang w:val="en-US"/>
        </w:rPr>
        <w:t>Ft.com. (2018). </w:t>
      </w:r>
      <w:r w:rsidRPr="0095308A">
        <w:rPr>
          <w:rFonts w:eastAsia="Times New Roman" w:cs="Times New Roman"/>
          <w:i/>
          <w:color w:val="000000"/>
          <w:szCs w:val="24"/>
          <w:lang w:val="en-US"/>
        </w:rPr>
        <w:t>Ten years after Northern Rock: has UK banking changed? | Financial Times</w:t>
      </w:r>
      <w:r w:rsidRPr="0095308A">
        <w:rPr>
          <w:rFonts w:eastAsia="Times New Roman" w:cs="Times New Roman"/>
          <w:color w:val="000000"/>
          <w:szCs w:val="24"/>
          <w:lang w:val="en-US"/>
        </w:rPr>
        <w:t>. [</w:t>
      </w:r>
      <w:proofErr w:type="gramStart"/>
      <w:r w:rsidRPr="0095308A">
        <w:rPr>
          <w:rFonts w:eastAsia="Times New Roman" w:cs="Times New Roman"/>
          <w:color w:val="000000"/>
          <w:szCs w:val="24"/>
          <w:lang w:val="en-US"/>
        </w:rPr>
        <w:t>online</w:t>
      </w:r>
      <w:proofErr w:type="gramEnd"/>
      <w:r w:rsidRPr="0095308A">
        <w:rPr>
          <w:rFonts w:eastAsia="Times New Roman" w:cs="Times New Roman"/>
          <w:color w:val="000000"/>
          <w:szCs w:val="24"/>
          <w:lang w:val="en-US"/>
        </w:rPr>
        <w:t>] Available at: https://www.ft.com/content/d05c3ea4-97bf-11e7-a652-cde3f882dd7b [Accessed 14 Aug. 2018].</w:t>
      </w:r>
    </w:p>
    <w:p w:rsidR="00D30E4B" w:rsidRDefault="00D30E4B" w:rsidP="00BA32C9">
      <w:pPr>
        <w:rPr>
          <w:rFonts w:cs="Times New Roman"/>
          <w:color w:val="222222"/>
          <w:szCs w:val="24"/>
          <w:shd w:val="clear" w:color="auto" w:fill="FFFFFF"/>
        </w:rPr>
      </w:pPr>
      <w:proofErr w:type="spellStart"/>
      <w:r w:rsidRPr="00DD13B9">
        <w:rPr>
          <w:rFonts w:cs="Times New Roman"/>
          <w:color w:val="222222"/>
          <w:szCs w:val="24"/>
          <w:shd w:val="clear" w:color="auto" w:fill="FFFFFF"/>
        </w:rPr>
        <w:t>Halder</w:t>
      </w:r>
      <w:proofErr w:type="spellEnd"/>
      <w:r w:rsidRPr="00DD13B9">
        <w:rPr>
          <w:rFonts w:cs="Times New Roman"/>
          <w:color w:val="222222"/>
          <w:szCs w:val="24"/>
          <w:shd w:val="clear" w:color="auto" w:fill="FFFFFF"/>
        </w:rPr>
        <w:t>, N., 2012. SME financing for small and middle entrepreneurs in Bangladesh: reviewing from the perspective of BRAC Bank Ltd.</w:t>
      </w:r>
    </w:p>
    <w:p w:rsidR="00D30E4B" w:rsidRDefault="00D30E4B" w:rsidP="00BA32C9">
      <w:pPr>
        <w:rPr>
          <w:rFonts w:cs="Times New Roman"/>
          <w:color w:val="222222"/>
          <w:szCs w:val="24"/>
          <w:shd w:val="clear" w:color="auto" w:fill="FFFFFF"/>
        </w:rPr>
      </w:pPr>
      <w:r w:rsidRPr="00BF77D8">
        <w:rPr>
          <w:rFonts w:cs="Times New Roman"/>
          <w:color w:val="222222"/>
          <w:szCs w:val="24"/>
          <w:shd w:val="clear" w:color="auto" w:fill="FFFFFF"/>
        </w:rPr>
        <w:t>Ho, C.T.B. and Wu, D.D., 2009. Online banking performance evaluation using data envelopment analysis and principal component analysis. Computers &amp; Operations Research, 36(6), pp.1835-1842.</w:t>
      </w:r>
    </w:p>
    <w:p w:rsidR="00D30E4B" w:rsidRPr="00D30E4B" w:rsidRDefault="00D30E4B" w:rsidP="00BA32C9">
      <w:proofErr w:type="spellStart"/>
      <w:r w:rsidRPr="00D30E4B">
        <w:lastRenderedPageBreak/>
        <w:t>Home.barclays</w:t>
      </w:r>
      <w:proofErr w:type="spellEnd"/>
      <w:r w:rsidRPr="00D30E4B">
        <w:t>. (2014). [</w:t>
      </w:r>
      <w:proofErr w:type="gramStart"/>
      <w:r w:rsidRPr="00D30E4B">
        <w:t>online</w:t>
      </w:r>
      <w:proofErr w:type="gramEnd"/>
      <w:r w:rsidRPr="00D30E4B">
        <w:t>] Available at: https://www.home.barclays/content/dam/barclayspublic/docs/InvestorRelations/AnnualReports/AR2017/Barclays%20PLC%20Pillar%203%20Report%202014.pdf [Accessed 23 Aug. 2018].</w:t>
      </w:r>
    </w:p>
    <w:p w:rsidR="00D30E4B" w:rsidRPr="00D30E4B" w:rsidRDefault="00D30E4B" w:rsidP="00BA32C9">
      <w:proofErr w:type="spellStart"/>
      <w:r w:rsidRPr="00D30E4B">
        <w:t>Home.barclays</w:t>
      </w:r>
      <w:proofErr w:type="spellEnd"/>
      <w:r w:rsidRPr="00D30E4B">
        <w:t>. (2016). [</w:t>
      </w:r>
      <w:proofErr w:type="gramStart"/>
      <w:r w:rsidRPr="00D30E4B">
        <w:t>online</w:t>
      </w:r>
      <w:proofErr w:type="gramEnd"/>
      <w:r w:rsidRPr="00D30E4B">
        <w:t>] Available at: https://www.home.barclays/content/dam/barclayspublic/docs/InvestorRelations/AnnualReports/AR2017/Barclays%20PLC%20Pillar%203%20Report%202016.pdf [Accessed 23 Aug. 2018].</w:t>
      </w:r>
    </w:p>
    <w:p w:rsidR="00D30E4B" w:rsidRPr="00D30E4B" w:rsidRDefault="00D30E4B" w:rsidP="00BA32C9">
      <w:proofErr w:type="spellStart"/>
      <w:r w:rsidRPr="00D30E4B">
        <w:t>Home.barclays</w:t>
      </w:r>
      <w:proofErr w:type="spellEnd"/>
      <w:r w:rsidRPr="00D30E4B">
        <w:t>. (2017). [</w:t>
      </w:r>
      <w:proofErr w:type="gramStart"/>
      <w:r w:rsidRPr="00D30E4B">
        <w:t>online</w:t>
      </w:r>
      <w:proofErr w:type="gramEnd"/>
      <w:r w:rsidRPr="00D30E4B">
        <w:t>] Available at: https://www.home.barclays/content/dam/barclayspublic/docs/InvestorRelations/AnnualReports/AR2017/Barclays%20PLC%20Pillar%203%20Report%202017.pdf [Accessed 23 Aug. 2018].</w:t>
      </w:r>
    </w:p>
    <w:p w:rsidR="00D30E4B" w:rsidRDefault="00D30E4B" w:rsidP="00BA32C9">
      <w:pPr>
        <w:rPr>
          <w:lang w:val="en-US"/>
        </w:rPr>
      </w:pPr>
      <w:r w:rsidRPr="00AB3F58">
        <w:rPr>
          <w:lang w:val="en-US"/>
        </w:rPr>
        <w:t>home.barclays</w:t>
      </w:r>
      <w:r w:rsidRPr="00000F81">
        <w:rPr>
          <w:lang w:val="en-US"/>
        </w:rPr>
        <w:t>. (2018). </w:t>
      </w:r>
      <w:r w:rsidRPr="009A0A83">
        <w:rPr>
          <w:i/>
        </w:rPr>
        <w:t>Barclays Bank UK PLC</w:t>
      </w:r>
      <w:r w:rsidRPr="00000F81">
        <w:rPr>
          <w:lang w:val="en-US"/>
        </w:rPr>
        <w:t>. [</w:t>
      </w:r>
      <w:proofErr w:type="gramStart"/>
      <w:r w:rsidRPr="00000F81">
        <w:rPr>
          <w:lang w:val="en-US"/>
        </w:rPr>
        <w:t>online</w:t>
      </w:r>
      <w:proofErr w:type="gramEnd"/>
      <w:r w:rsidRPr="00000F81">
        <w:rPr>
          <w:lang w:val="en-US"/>
        </w:rPr>
        <w:t xml:space="preserve">] Available at: </w:t>
      </w:r>
      <w:r w:rsidRPr="00670F64">
        <w:rPr>
          <w:lang w:val="en-US"/>
        </w:rPr>
        <w:t xml:space="preserve">https://www.home.barclays/content/dam/barclayspublic/docs/InvestorRelations/Credit-ratings/BBUK_PLC_CO_Apr18.pdf </w:t>
      </w:r>
      <w:r>
        <w:rPr>
          <w:lang w:val="en-US"/>
        </w:rPr>
        <w:t>[Accessed 23</w:t>
      </w:r>
      <w:r w:rsidRPr="00000F81">
        <w:rPr>
          <w:lang w:val="en-US"/>
        </w:rPr>
        <w:t xml:space="preserve"> Aug. 2018].</w:t>
      </w:r>
    </w:p>
    <w:p w:rsidR="00D30E4B" w:rsidRDefault="00D30E4B" w:rsidP="00BA32C9">
      <w:pPr>
        <w:rPr>
          <w:lang w:val="en-US"/>
        </w:rPr>
      </w:pPr>
      <w:proofErr w:type="spellStart"/>
      <w:r w:rsidRPr="00767F2E">
        <w:rPr>
          <w:bCs/>
        </w:rPr>
        <w:t>home.barclays</w:t>
      </w:r>
      <w:proofErr w:type="spellEnd"/>
      <w:r>
        <w:rPr>
          <w:lang w:val="en-US"/>
        </w:rPr>
        <w:t>. (2018</w:t>
      </w:r>
      <w:r w:rsidRPr="00000F81">
        <w:rPr>
          <w:lang w:val="en-US"/>
        </w:rPr>
        <w:t>). </w:t>
      </w:r>
      <w:r w:rsidRPr="00380B19">
        <w:rPr>
          <w:i/>
        </w:rPr>
        <w:t>Barclays PLC Pillar 3</w:t>
      </w:r>
      <w:r w:rsidRPr="00D825C0">
        <w:rPr>
          <w:lang w:val="en-US"/>
        </w:rPr>
        <w:t xml:space="preserve">. </w:t>
      </w:r>
      <w:r w:rsidRPr="00000F81">
        <w:rPr>
          <w:lang w:val="en-US"/>
        </w:rPr>
        <w:t>[</w:t>
      </w:r>
      <w:proofErr w:type="gramStart"/>
      <w:r w:rsidRPr="00000F81">
        <w:rPr>
          <w:lang w:val="en-US"/>
        </w:rPr>
        <w:t>online</w:t>
      </w:r>
      <w:proofErr w:type="gramEnd"/>
      <w:r w:rsidRPr="00000F81">
        <w:rPr>
          <w:lang w:val="en-US"/>
        </w:rPr>
        <w:t xml:space="preserve">] Available at: </w:t>
      </w:r>
      <w:r w:rsidRPr="0097618C">
        <w:rPr>
          <w:lang w:val="en-US"/>
        </w:rPr>
        <w:t xml:space="preserve">https://www.home.barclays/content/dam/barclayspublic/docs/InvestorRelations/ResultAnnouncements/2018Q1/260418_Pillar_3_Q12018.pdf </w:t>
      </w:r>
      <w:r>
        <w:rPr>
          <w:lang w:val="en-US"/>
        </w:rPr>
        <w:t>[Accessed 23</w:t>
      </w:r>
      <w:r w:rsidRPr="00000F81">
        <w:rPr>
          <w:lang w:val="en-US"/>
        </w:rPr>
        <w:t xml:space="preserve"> Aug. 2018].</w:t>
      </w:r>
    </w:p>
    <w:p w:rsidR="00D30E4B" w:rsidRDefault="00D30E4B" w:rsidP="00BA32C9">
      <w:pPr>
        <w:rPr>
          <w:lang w:val="en-US"/>
        </w:rPr>
      </w:pPr>
      <w:r w:rsidRPr="008F014C">
        <w:t xml:space="preserve">Jackson, G., </w:t>
      </w:r>
      <w:proofErr w:type="spellStart"/>
      <w:r w:rsidRPr="008F014C">
        <w:t>Tetlow</w:t>
      </w:r>
      <w:proofErr w:type="spellEnd"/>
      <w:r w:rsidRPr="008F014C">
        <w:t>, G., B</w:t>
      </w:r>
      <w:r>
        <w:t>ernard, S. and Pearson, T. (2018</w:t>
      </w:r>
      <w:r w:rsidRPr="008F014C">
        <w:t>). </w:t>
      </w:r>
      <w:r w:rsidRPr="008F014C">
        <w:rPr>
          <w:i/>
        </w:rPr>
        <w:t>44 charts that explain the UK economy</w:t>
      </w:r>
      <w:r w:rsidRPr="008F014C">
        <w:t>. [</w:t>
      </w:r>
      <w:proofErr w:type="gramStart"/>
      <w:r w:rsidRPr="008F014C">
        <w:t>online</w:t>
      </w:r>
      <w:proofErr w:type="gramEnd"/>
      <w:r w:rsidRPr="008F014C">
        <w:t xml:space="preserve">] UK economy: GDP growth, interest rates and inflation statistics. Available at: https://ig.ft.com/sites/numbers/economies/uk </w:t>
      </w:r>
      <w:r>
        <w:rPr>
          <w:lang w:val="en-US"/>
        </w:rPr>
        <w:t>[Accessed 23</w:t>
      </w:r>
      <w:r w:rsidRPr="00000F81">
        <w:rPr>
          <w:lang w:val="en-US"/>
        </w:rPr>
        <w:t xml:space="preserve"> Aug. 2018].</w:t>
      </w:r>
    </w:p>
    <w:p w:rsidR="00D30E4B" w:rsidRPr="00D30E4B" w:rsidRDefault="00D30E4B" w:rsidP="00BA32C9">
      <w:proofErr w:type="spellStart"/>
      <w:r w:rsidRPr="00D30E4B">
        <w:t>Keister</w:t>
      </w:r>
      <w:proofErr w:type="spellEnd"/>
      <w:r w:rsidRPr="00D30E4B">
        <w:t xml:space="preserve">, T. and </w:t>
      </w:r>
      <w:proofErr w:type="spellStart"/>
      <w:r w:rsidRPr="00D30E4B">
        <w:t>Bech</w:t>
      </w:r>
      <w:proofErr w:type="spellEnd"/>
      <w:r w:rsidRPr="00D30E4B">
        <w:t>, M., 2012. On the liquidity coverage ratio and monetary policy implementation.</w:t>
      </w:r>
    </w:p>
    <w:p w:rsidR="00D30E4B" w:rsidRPr="00D30E4B" w:rsidRDefault="00D30E4B" w:rsidP="00BA32C9">
      <w:proofErr w:type="spellStart"/>
      <w:r w:rsidRPr="00D30E4B">
        <w:t>Latifi</w:t>
      </w:r>
      <w:proofErr w:type="spellEnd"/>
      <w:r w:rsidRPr="00D30E4B">
        <w:t>, P., 2012. Lehman Brothers’ rise and fall: From hero to dust.</w:t>
      </w:r>
    </w:p>
    <w:p w:rsidR="00D30E4B" w:rsidRPr="00D30E4B" w:rsidRDefault="00D30E4B" w:rsidP="00BA32C9">
      <w:r w:rsidRPr="00D30E4B">
        <w:t>Lea, R., 2017. A modest growth downgrade by the Bank and few signs of a rate hike any time soon.</w:t>
      </w:r>
    </w:p>
    <w:p w:rsidR="00D30E4B" w:rsidRPr="00DD13B9" w:rsidRDefault="00D30E4B" w:rsidP="00BA32C9">
      <w:pPr>
        <w:rPr>
          <w:rFonts w:cs="Times New Roman"/>
          <w:color w:val="222222"/>
          <w:szCs w:val="24"/>
          <w:shd w:val="clear" w:color="auto" w:fill="FFFFFF"/>
        </w:rPr>
      </w:pPr>
      <w:r w:rsidRPr="00DD13B9">
        <w:rPr>
          <w:rFonts w:cs="Times New Roman"/>
          <w:color w:val="222222"/>
          <w:szCs w:val="24"/>
          <w:shd w:val="clear" w:color="auto" w:fill="FFFFFF"/>
        </w:rPr>
        <w:t>Lloyd, M. and Denise, H., 2015. Do Public to Private Buyouts Improve Target's Efficiency</w:t>
      </w:r>
      <w:proofErr w:type="gramStart"/>
      <w:r w:rsidRPr="00DD13B9">
        <w:rPr>
          <w:rFonts w:cs="Times New Roman"/>
          <w:color w:val="222222"/>
          <w:szCs w:val="24"/>
          <w:shd w:val="clear" w:color="auto" w:fill="FFFFFF"/>
        </w:rPr>
        <w:t>?.</w:t>
      </w:r>
      <w:proofErr w:type="gramEnd"/>
      <w:r w:rsidRPr="00DD13B9">
        <w:rPr>
          <w:rFonts w:cs="Times New Roman"/>
          <w:color w:val="222222"/>
          <w:szCs w:val="24"/>
          <w:shd w:val="clear" w:color="auto" w:fill="FFFFFF"/>
        </w:rPr>
        <w:t> Advances in Economics and Business, 3(9), pp.349-359.</w:t>
      </w:r>
    </w:p>
    <w:p w:rsidR="00D30E4B" w:rsidRDefault="00D30E4B" w:rsidP="00BA32C9">
      <w:pPr>
        <w:rPr>
          <w:lang w:val="en-US"/>
        </w:rPr>
      </w:pPr>
      <w:proofErr w:type="gramStart"/>
      <w:r w:rsidRPr="000226D4">
        <w:rPr>
          <w:bCs/>
        </w:rPr>
        <w:lastRenderedPageBreak/>
        <w:t>marketsmedia</w:t>
      </w:r>
      <w:proofErr w:type="gramEnd"/>
      <w:r>
        <w:rPr>
          <w:lang w:val="en-US"/>
        </w:rPr>
        <w:t>. (2018</w:t>
      </w:r>
      <w:r w:rsidRPr="00000F81">
        <w:rPr>
          <w:lang w:val="en-US"/>
        </w:rPr>
        <w:t>). </w:t>
      </w:r>
      <w:r w:rsidRPr="00FC0DA1">
        <w:rPr>
          <w:bCs/>
          <w:i/>
        </w:rPr>
        <w:t xml:space="preserve">Barclays Partners </w:t>
      </w:r>
      <w:proofErr w:type="gramStart"/>
      <w:r w:rsidRPr="00FC0DA1">
        <w:rPr>
          <w:bCs/>
          <w:i/>
        </w:rPr>
        <w:t>With</w:t>
      </w:r>
      <w:proofErr w:type="gramEnd"/>
      <w:r w:rsidRPr="00FC0DA1">
        <w:rPr>
          <w:bCs/>
          <w:i/>
        </w:rPr>
        <w:t xml:space="preserve"> Fintech Simudyne</w:t>
      </w:r>
      <w:r w:rsidRPr="00C461C4">
        <w:rPr>
          <w:lang w:val="en-US"/>
        </w:rPr>
        <w:t>.</w:t>
      </w:r>
      <w:r w:rsidRPr="00D825C0">
        <w:rPr>
          <w:lang w:val="en-US"/>
        </w:rPr>
        <w:t xml:space="preserve"> </w:t>
      </w:r>
      <w:r w:rsidRPr="00000F81">
        <w:rPr>
          <w:lang w:val="en-US"/>
        </w:rPr>
        <w:t>[</w:t>
      </w:r>
      <w:proofErr w:type="gramStart"/>
      <w:r w:rsidRPr="00000F81">
        <w:rPr>
          <w:lang w:val="en-US"/>
        </w:rPr>
        <w:t>online</w:t>
      </w:r>
      <w:proofErr w:type="gramEnd"/>
      <w:r w:rsidRPr="00000F81">
        <w:rPr>
          <w:lang w:val="en-US"/>
        </w:rPr>
        <w:t xml:space="preserve">] Available at: </w:t>
      </w:r>
      <w:r w:rsidRPr="00661641">
        <w:rPr>
          <w:lang w:val="en-US"/>
        </w:rPr>
        <w:t>https://www.marketsmedia.com/barclays-partners-with-fintech-simudyne/</w:t>
      </w:r>
      <w:r w:rsidRPr="00D24472">
        <w:rPr>
          <w:lang w:val="en-US"/>
        </w:rPr>
        <w:t xml:space="preserve"> </w:t>
      </w:r>
      <w:r>
        <w:rPr>
          <w:lang w:val="en-US"/>
        </w:rPr>
        <w:t>[Accessed 23</w:t>
      </w:r>
      <w:r w:rsidRPr="00000F81">
        <w:rPr>
          <w:lang w:val="en-US"/>
        </w:rPr>
        <w:t xml:space="preserve"> Aug. 2018].</w:t>
      </w:r>
    </w:p>
    <w:p w:rsidR="00D30E4B" w:rsidRPr="00D30E4B" w:rsidRDefault="00D30E4B" w:rsidP="00BA32C9">
      <w:r w:rsidRPr="00D30E4B">
        <w:t xml:space="preserve">Miles, D., Yang, J. and </w:t>
      </w:r>
      <w:proofErr w:type="spellStart"/>
      <w:r w:rsidRPr="00D30E4B">
        <w:t>Marcheggiano</w:t>
      </w:r>
      <w:proofErr w:type="spellEnd"/>
      <w:r w:rsidRPr="00D30E4B">
        <w:t>, G., 2013. Optimal bank capital. The Economic Journal, 123(567), pp.1-37.</w:t>
      </w:r>
    </w:p>
    <w:p w:rsidR="00D30E4B" w:rsidRPr="00D30E4B" w:rsidRDefault="00D30E4B" w:rsidP="00BA32C9">
      <w:r w:rsidRPr="00D30E4B">
        <w:t xml:space="preserve">Miles, D., Yang, J. and </w:t>
      </w:r>
      <w:proofErr w:type="spellStart"/>
      <w:r w:rsidRPr="00D30E4B">
        <w:t>Marcheggiano</w:t>
      </w:r>
      <w:proofErr w:type="spellEnd"/>
      <w:r w:rsidRPr="00D30E4B">
        <w:t>, G., 2013. Optimal bank capital. The Economic Journal, 123(567), pp.1-37.</w:t>
      </w:r>
    </w:p>
    <w:p w:rsidR="00D30E4B" w:rsidRDefault="00D30E4B" w:rsidP="00BA32C9">
      <w:pPr>
        <w:rPr>
          <w:lang w:val="en-US"/>
        </w:rPr>
      </w:pPr>
      <w:proofErr w:type="spellStart"/>
      <w:proofErr w:type="gramStart"/>
      <w:r w:rsidRPr="004A5CCF">
        <w:rPr>
          <w:bCs/>
        </w:rPr>
        <w:t>moodysanalytics</w:t>
      </w:r>
      <w:proofErr w:type="spellEnd"/>
      <w:proofErr w:type="gramEnd"/>
      <w:r>
        <w:rPr>
          <w:lang w:val="en-US"/>
        </w:rPr>
        <w:t>. (2018</w:t>
      </w:r>
      <w:r w:rsidRPr="00000F81">
        <w:rPr>
          <w:lang w:val="en-US"/>
        </w:rPr>
        <w:t>). </w:t>
      </w:r>
      <w:r w:rsidRPr="007D15A5">
        <w:rPr>
          <w:i/>
        </w:rPr>
        <w:t>FPC Decides to Increase the Countercyclical Capital Buffer in UK</w:t>
      </w:r>
      <w:r w:rsidRPr="00D825C0">
        <w:rPr>
          <w:lang w:val="en-US"/>
        </w:rPr>
        <w:t xml:space="preserve">. </w:t>
      </w:r>
      <w:r w:rsidRPr="00000F81">
        <w:rPr>
          <w:lang w:val="en-US"/>
        </w:rPr>
        <w:t>[</w:t>
      </w:r>
      <w:proofErr w:type="gramStart"/>
      <w:r w:rsidRPr="00000F81">
        <w:rPr>
          <w:lang w:val="en-US"/>
        </w:rPr>
        <w:t>online</w:t>
      </w:r>
      <w:proofErr w:type="gramEnd"/>
      <w:r w:rsidRPr="00000F81">
        <w:rPr>
          <w:lang w:val="en-US"/>
        </w:rPr>
        <w:t xml:space="preserve">] Available at: </w:t>
      </w:r>
      <w:r w:rsidRPr="009E65DB">
        <w:rPr>
          <w:lang w:val="en-US"/>
        </w:rPr>
        <w:t>https://www.moodysanalytics.com/regulatory-news/jul-04-fpc-decides-to-increase-the-countercyclical-capital-buffer-in-uk</w:t>
      </w:r>
      <w:r w:rsidRPr="00E11357">
        <w:rPr>
          <w:lang w:val="en-US"/>
        </w:rPr>
        <w:t xml:space="preserve"> </w:t>
      </w:r>
      <w:r>
        <w:rPr>
          <w:lang w:val="en-US"/>
        </w:rPr>
        <w:t>[Accessed 23</w:t>
      </w:r>
      <w:r w:rsidRPr="00000F81">
        <w:rPr>
          <w:lang w:val="en-US"/>
        </w:rPr>
        <w:t xml:space="preserve"> Aug. 2018].</w:t>
      </w:r>
    </w:p>
    <w:p w:rsidR="00D30E4B" w:rsidRDefault="00D30E4B" w:rsidP="00BA32C9">
      <w:pPr>
        <w:rPr>
          <w:lang w:val="en-US"/>
        </w:rPr>
      </w:pPr>
      <w:proofErr w:type="spellStart"/>
      <w:r w:rsidRPr="00D825C0">
        <w:rPr>
          <w:bCs/>
        </w:rPr>
        <w:t>Nikitas</w:t>
      </w:r>
      <w:proofErr w:type="spellEnd"/>
      <w:r>
        <w:t>, S</w:t>
      </w:r>
      <w:r>
        <w:rPr>
          <w:lang w:val="en-US"/>
        </w:rPr>
        <w:t>. (2018</w:t>
      </w:r>
      <w:r w:rsidRPr="00000F81">
        <w:rPr>
          <w:lang w:val="en-US"/>
        </w:rPr>
        <w:t>). </w:t>
      </w:r>
      <w:r w:rsidRPr="00D825C0">
        <w:rPr>
          <w:bCs/>
          <w:i/>
        </w:rPr>
        <w:t>5 Major Retail Banking Challenges in 2018 (and How to Overcome Them)</w:t>
      </w:r>
      <w:r w:rsidRPr="00D825C0">
        <w:rPr>
          <w:lang w:val="en-US"/>
        </w:rPr>
        <w:t xml:space="preserve">. </w:t>
      </w:r>
      <w:r w:rsidRPr="00000F81">
        <w:rPr>
          <w:lang w:val="en-US"/>
        </w:rPr>
        <w:t>[</w:t>
      </w:r>
      <w:proofErr w:type="gramStart"/>
      <w:r w:rsidRPr="00000F81">
        <w:rPr>
          <w:lang w:val="en-US"/>
        </w:rPr>
        <w:t>online</w:t>
      </w:r>
      <w:proofErr w:type="gramEnd"/>
      <w:r w:rsidRPr="00000F81">
        <w:rPr>
          <w:lang w:val="en-US"/>
        </w:rPr>
        <w:t xml:space="preserve">] Available at: </w:t>
      </w:r>
      <w:r w:rsidRPr="001E1ED0">
        <w:rPr>
          <w:lang w:val="en-US"/>
        </w:rPr>
        <w:t xml:space="preserve">https://thefinancialbrand.com/69375/5-retail-banking-challenges-2018/ </w:t>
      </w:r>
      <w:r>
        <w:rPr>
          <w:lang w:val="en-US"/>
        </w:rPr>
        <w:t>[Accessed 23</w:t>
      </w:r>
      <w:r w:rsidRPr="00000F81">
        <w:rPr>
          <w:lang w:val="en-US"/>
        </w:rPr>
        <w:t xml:space="preserve"> Aug. 2018].</w:t>
      </w:r>
    </w:p>
    <w:p w:rsidR="00D30E4B" w:rsidRDefault="00D30E4B" w:rsidP="00BA32C9">
      <w:pPr>
        <w:rPr>
          <w:rFonts w:cs="Times New Roman"/>
          <w:color w:val="222222"/>
          <w:szCs w:val="24"/>
          <w:shd w:val="clear" w:color="auto" w:fill="FFFFFF"/>
        </w:rPr>
      </w:pPr>
      <w:r w:rsidRPr="00A35C90">
        <w:rPr>
          <w:rFonts w:cs="Times New Roman"/>
          <w:color w:val="222222"/>
          <w:szCs w:val="24"/>
          <w:shd w:val="clear" w:color="auto" w:fill="FFFFFF"/>
        </w:rPr>
        <w:t>Nugent, N., 2017. The government and politics of the European Union. Palgrave.</w:t>
      </w:r>
    </w:p>
    <w:p w:rsidR="00D30E4B" w:rsidRDefault="00D30E4B" w:rsidP="00BA32C9">
      <w:pPr>
        <w:rPr>
          <w:rFonts w:cs="Times New Roman"/>
          <w:color w:val="222222"/>
          <w:szCs w:val="24"/>
          <w:shd w:val="clear" w:color="auto" w:fill="FFFFFF"/>
        </w:rPr>
      </w:pPr>
      <w:proofErr w:type="spellStart"/>
      <w:r w:rsidRPr="00BF77D8">
        <w:rPr>
          <w:rFonts w:cs="Times New Roman"/>
          <w:color w:val="222222"/>
          <w:szCs w:val="24"/>
          <w:shd w:val="clear" w:color="auto" w:fill="FFFFFF"/>
        </w:rPr>
        <w:t>Ongore</w:t>
      </w:r>
      <w:proofErr w:type="spellEnd"/>
      <w:r w:rsidRPr="00BF77D8">
        <w:rPr>
          <w:rFonts w:cs="Times New Roman"/>
          <w:color w:val="222222"/>
          <w:szCs w:val="24"/>
          <w:shd w:val="clear" w:color="auto" w:fill="FFFFFF"/>
        </w:rPr>
        <w:t xml:space="preserve">, V.O. and </w:t>
      </w:r>
      <w:proofErr w:type="spellStart"/>
      <w:r w:rsidRPr="00BF77D8">
        <w:rPr>
          <w:rFonts w:cs="Times New Roman"/>
          <w:color w:val="222222"/>
          <w:szCs w:val="24"/>
          <w:shd w:val="clear" w:color="auto" w:fill="FFFFFF"/>
        </w:rPr>
        <w:t>Kusa</w:t>
      </w:r>
      <w:proofErr w:type="spellEnd"/>
      <w:r w:rsidRPr="00BF77D8">
        <w:rPr>
          <w:rFonts w:cs="Times New Roman"/>
          <w:color w:val="222222"/>
          <w:szCs w:val="24"/>
          <w:shd w:val="clear" w:color="auto" w:fill="FFFFFF"/>
        </w:rPr>
        <w:t>, G.B., 2013. Determinants of financial performance of commercial banks in Kenya. International Journal of Economics and Financial Issues, 3(1), pp.237-252.</w:t>
      </w:r>
    </w:p>
    <w:p w:rsidR="00D30E4B" w:rsidRDefault="00D30E4B" w:rsidP="00BA32C9">
      <w:pPr>
        <w:rPr>
          <w:lang w:val="en-US"/>
        </w:rPr>
      </w:pPr>
      <w:proofErr w:type="spellStart"/>
      <w:r w:rsidRPr="003D37F0">
        <w:rPr>
          <w:bCs/>
        </w:rPr>
        <w:t>Partington</w:t>
      </w:r>
      <w:proofErr w:type="spellEnd"/>
      <w:r>
        <w:rPr>
          <w:bCs/>
        </w:rPr>
        <w:t>, R</w:t>
      </w:r>
      <w:r>
        <w:rPr>
          <w:lang w:val="en-US"/>
        </w:rPr>
        <w:t>. (2018</w:t>
      </w:r>
      <w:r w:rsidRPr="00000F81">
        <w:rPr>
          <w:lang w:val="en-US"/>
        </w:rPr>
        <w:t>). </w:t>
      </w:r>
      <w:r w:rsidRPr="00D20386">
        <w:rPr>
          <w:i/>
        </w:rPr>
        <w:t>UK GDP beats forecasts but growth remains uneven</w:t>
      </w:r>
      <w:r w:rsidRPr="00D825C0">
        <w:rPr>
          <w:lang w:val="en-US"/>
        </w:rPr>
        <w:t xml:space="preserve">. </w:t>
      </w:r>
      <w:r w:rsidRPr="00000F81">
        <w:rPr>
          <w:lang w:val="en-US"/>
        </w:rPr>
        <w:t>[</w:t>
      </w:r>
      <w:proofErr w:type="gramStart"/>
      <w:r w:rsidRPr="00000F81">
        <w:rPr>
          <w:lang w:val="en-US"/>
        </w:rPr>
        <w:t>online</w:t>
      </w:r>
      <w:proofErr w:type="gramEnd"/>
      <w:r w:rsidRPr="00000F81">
        <w:rPr>
          <w:lang w:val="en-US"/>
        </w:rPr>
        <w:t xml:space="preserve">] Available at: </w:t>
      </w:r>
      <w:r w:rsidRPr="00E11357">
        <w:rPr>
          <w:lang w:val="en-US"/>
        </w:rPr>
        <w:t xml:space="preserve">https://www.theguardian.com/business/2018/jan/26/uk-gdp-grows-faster-than-expected-ons </w:t>
      </w:r>
      <w:r>
        <w:rPr>
          <w:lang w:val="en-US"/>
        </w:rPr>
        <w:t>[Accessed 23</w:t>
      </w:r>
      <w:r w:rsidRPr="00000F81">
        <w:rPr>
          <w:lang w:val="en-US"/>
        </w:rPr>
        <w:t xml:space="preserve"> Aug. 2018].</w:t>
      </w:r>
    </w:p>
    <w:p w:rsidR="00D30E4B" w:rsidRPr="00D30E4B" w:rsidRDefault="00D30E4B" w:rsidP="00BA32C9">
      <w:r w:rsidRPr="00D30E4B">
        <w:t xml:space="preserve">Picard, R.G., </w:t>
      </w:r>
      <w:proofErr w:type="spellStart"/>
      <w:r w:rsidRPr="00D30E4B">
        <w:t>Selva</w:t>
      </w:r>
      <w:proofErr w:type="spellEnd"/>
      <w:r w:rsidRPr="00D30E4B">
        <w:t xml:space="preserve">, M. and </w:t>
      </w:r>
      <w:proofErr w:type="spellStart"/>
      <w:r w:rsidRPr="00D30E4B">
        <w:t>Bironzo</w:t>
      </w:r>
      <w:proofErr w:type="spellEnd"/>
      <w:r w:rsidRPr="00D30E4B">
        <w:t>, D., 2014. Media coverage of banking and financial news.</w:t>
      </w:r>
    </w:p>
    <w:p w:rsidR="00D30E4B" w:rsidRDefault="00D30E4B" w:rsidP="00BA32C9">
      <w:proofErr w:type="spellStart"/>
      <w:r>
        <w:t>Romānova</w:t>
      </w:r>
      <w:proofErr w:type="spellEnd"/>
      <w:r>
        <w:t>, I., and</w:t>
      </w:r>
      <w:r w:rsidRPr="007743D3">
        <w:t xml:space="preserve"> Kudinska, M. (2016). Banking and Fintech: A Challenge or Opportunity</w:t>
      </w:r>
      <w:proofErr w:type="gramStart"/>
      <w:r w:rsidRPr="007743D3">
        <w:t>?.</w:t>
      </w:r>
      <w:proofErr w:type="gramEnd"/>
      <w:r w:rsidRPr="007743D3">
        <w:t xml:space="preserve"> In </w:t>
      </w:r>
      <w:r w:rsidRPr="007743D3">
        <w:rPr>
          <w:i/>
        </w:rPr>
        <w:t>Contemporary Issues in Finance: Current Challenges from Across Europe</w:t>
      </w:r>
      <w:r w:rsidRPr="007743D3">
        <w:t> (pp. 21-35). Emerald Group Publishing Limited.</w:t>
      </w:r>
    </w:p>
    <w:p w:rsidR="00D30E4B" w:rsidRDefault="00D30E4B" w:rsidP="00BA32C9">
      <w:r>
        <w:t xml:space="preserve">Schiereck, D., </w:t>
      </w:r>
      <w:proofErr w:type="spellStart"/>
      <w:r>
        <w:t>Kiesel</w:t>
      </w:r>
      <w:proofErr w:type="spellEnd"/>
      <w:r>
        <w:t>, F., and</w:t>
      </w:r>
      <w:r w:rsidRPr="00971EA5">
        <w:t xml:space="preserve"> </w:t>
      </w:r>
      <w:proofErr w:type="spellStart"/>
      <w:r w:rsidRPr="00971EA5">
        <w:t>Kolaric</w:t>
      </w:r>
      <w:proofErr w:type="spellEnd"/>
      <w:r w:rsidRPr="00971EA5">
        <w:t xml:space="preserve">, S. (2016). </w:t>
      </w:r>
      <w:proofErr w:type="gramStart"/>
      <w:r w:rsidRPr="00971EA5">
        <w:t>Brexit:</w:t>
      </w:r>
      <w:proofErr w:type="gramEnd"/>
      <w:r w:rsidRPr="00971EA5">
        <w:t>(Not) another Lehman moment for banks?. </w:t>
      </w:r>
      <w:r w:rsidRPr="00971EA5">
        <w:rPr>
          <w:i/>
        </w:rPr>
        <w:t>Finance Research Letters</w:t>
      </w:r>
      <w:r w:rsidRPr="00971EA5">
        <w:t>, </w:t>
      </w:r>
      <w:r w:rsidRPr="00971EA5">
        <w:rPr>
          <w:i/>
        </w:rPr>
        <w:t>19</w:t>
      </w:r>
      <w:r w:rsidRPr="00971EA5">
        <w:t>, 291-297.</w:t>
      </w:r>
    </w:p>
    <w:p w:rsidR="00D30E4B" w:rsidRDefault="00D30E4B" w:rsidP="00BA32C9">
      <w:r w:rsidRPr="000A2F4B">
        <w:t>Sinha, G. (2012). </w:t>
      </w:r>
      <w:r w:rsidRPr="000A2F4B">
        <w:rPr>
          <w:i/>
        </w:rPr>
        <w:t>Financial statement analysis</w:t>
      </w:r>
      <w:r w:rsidRPr="000A2F4B">
        <w:t xml:space="preserve">. PHI Learning Pvt. </w:t>
      </w:r>
      <w:proofErr w:type="gramStart"/>
      <w:r w:rsidRPr="000A2F4B">
        <w:t>Ltd..</w:t>
      </w:r>
      <w:proofErr w:type="gramEnd"/>
    </w:p>
    <w:p w:rsidR="00D30E4B" w:rsidRDefault="00D30E4B" w:rsidP="00BA32C9">
      <w:pPr>
        <w:rPr>
          <w:lang w:val="en-US"/>
        </w:rPr>
      </w:pPr>
      <w:proofErr w:type="spellStart"/>
      <w:proofErr w:type="gramStart"/>
      <w:r w:rsidRPr="00C353EA">
        <w:rPr>
          <w:bCs/>
        </w:rPr>
        <w:lastRenderedPageBreak/>
        <w:t>theconversation</w:t>
      </w:r>
      <w:proofErr w:type="spellEnd"/>
      <w:proofErr w:type="gramEnd"/>
      <w:r>
        <w:rPr>
          <w:lang w:val="en-US"/>
        </w:rPr>
        <w:t>. (2016</w:t>
      </w:r>
      <w:r w:rsidRPr="00000F81">
        <w:rPr>
          <w:lang w:val="en-US"/>
        </w:rPr>
        <w:t>). </w:t>
      </w:r>
      <w:r w:rsidRPr="003B3A91">
        <w:rPr>
          <w:bCs/>
          <w:i/>
        </w:rPr>
        <w:t>UK Treasury Brexit report is overly negative</w:t>
      </w:r>
      <w:r w:rsidRPr="00C461C4">
        <w:rPr>
          <w:lang w:val="en-US"/>
        </w:rPr>
        <w:t>.</w:t>
      </w:r>
      <w:r w:rsidRPr="00D825C0">
        <w:rPr>
          <w:lang w:val="en-US"/>
        </w:rPr>
        <w:t xml:space="preserve"> </w:t>
      </w:r>
      <w:r w:rsidRPr="00000F81">
        <w:rPr>
          <w:lang w:val="en-US"/>
        </w:rPr>
        <w:t>[</w:t>
      </w:r>
      <w:proofErr w:type="gramStart"/>
      <w:r w:rsidRPr="00000F81">
        <w:rPr>
          <w:lang w:val="en-US"/>
        </w:rPr>
        <w:t>online</w:t>
      </w:r>
      <w:proofErr w:type="gramEnd"/>
      <w:r w:rsidRPr="00000F81">
        <w:rPr>
          <w:lang w:val="en-US"/>
        </w:rPr>
        <w:t xml:space="preserve">] Available at: </w:t>
      </w:r>
      <w:r w:rsidRPr="007164BA">
        <w:rPr>
          <w:lang w:val="en-US"/>
        </w:rPr>
        <w:t xml:space="preserve">https://theconversation.com/uk-treasury-brexit-report-is-overly-negative-59849 </w:t>
      </w:r>
      <w:r>
        <w:rPr>
          <w:lang w:val="en-US"/>
        </w:rPr>
        <w:t>[Accessed 23</w:t>
      </w:r>
      <w:r w:rsidRPr="00000F81">
        <w:rPr>
          <w:lang w:val="en-US"/>
        </w:rPr>
        <w:t xml:space="preserve"> Aug. 2018].</w:t>
      </w:r>
    </w:p>
    <w:p w:rsidR="00D30E4B" w:rsidRDefault="00D30E4B" w:rsidP="00BA32C9">
      <w:pPr>
        <w:rPr>
          <w:rFonts w:cs="Times New Roman"/>
          <w:color w:val="222222"/>
          <w:szCs w:val="24"/>
          <w:shd w:val="clear" w:color="auto" w:fill="FFFFFF"/>
        </w:rPr>
      </w:pPr>
      <w:r w:rsidRPr="00A35C90">
        <w:rPr>
          <w:rFonts w:cs="Times New Roman"/>
          <w:color w:val="222222"/>
          <w:szCs w:val="24"/>
          <w:shd w:val="clear" w:color="auto" w:fill="FFFFFF"/>
        </w:rPr>
        <w:t xml:space="preserve">Wadsworth, J., Dhingra, S., </w:t>
      </w:r>
      <w:proofErr w:type="spellStart"/>
      <w:r w:rsidRPr="00A35C90">
        <w:rPr>
          <w:rFonts w:cs="Times New Roman"/>
          <w:color w:val="222222"/>
          <w:szCs w:val="24"/>
          <w:shd w:val="clear" w:color="auto" w:fill="FFFFFF"/>
        </w:rPr>
        <w:t>Ottaviano</w:t>
      </w:r>
      <w:proofErr w:type="spellEnd"/>
      <w:r w:rsidRPr="00A35C90">
        <w:rPr>
          <w:rFonts w:cs="Times New Roman"/>
          <w:color w:val="222222"/>
          <w:szCs w:val="24"/>
          <w:shd w:val="clear" w:color="auto" w:fill="FFFFFF"/>
        </w:rPr>
        <w:t xml:space="preserve">, G. and Van </w:t>
      </w:r>
      <w:proofErr w:type="spellStart"/>
      <w:r w:rsidRPr="00A35C90">
        <w:rPr>
          <w:rFonts w:cs="Times New Roman"/>
          <w:color w:val="222222"/>
          <w:szCs w:val="24"/>
          <w:shd w:val="clear" w:color="auto" w:fill="FFFFFF"/>
        </w:rPr>
        <w:t>Reenen</w:t>
      </w:r>
      <w:proofErr w:type="spellEnd"/>
      <w:r w:rsidRPr="00A35C90">
        <w:rPr>
          <w:rFonts w:cs="Times New Roman"/>
          <w:color w:val="222222"/>
          <w:szCs w:val="24"/>
          <w:shd w:val="clear" w:color="auto" w:fill="FFFFFF"/>
        </w:rPr>
        <w:t>, J., 2016. Brexit and the Impact of Immigration on the UK. CEP Brexit Analysis, (5), pp.34-53.</w:t>
      </w:r>
    </w:p>
    <w:p w:rsidR="00D30E4B" w:rsidRDefault="00D30E4B" w:rsidP="00BA32C9">
      <w:pPr>
        <w:rPr>
          <w:rFonts w:cs="Times New Roman"/>
          <w:color w:val="222222"/>
          <w:szCs w:val="24"/>
          <w:shd w:val="clear" w:color="auto" w:fill="FFFFFF"/>
        </w:rPr>
      </w:pPr>
      <w:r w:rsidRPr="00BF77D8">
        <w:rPr>
          <w:rFonts w:cs="Times New Roman"/>
          <w:color w:val="222222"/>
          <w:szCs w:val="24"/>
          <w:shd w:val="clear" w:color="auto" w:fill="FFFFFF"/>
        </w:rPr>
        <w:t>Xu, Y., 2011. Towards a more accurate measure of foreign bank entry and its impact on domestic banking performance: The case of China. Journal of Banking &amp; Finance, 35(4), pp.886-901.</w:t>
      </w:r>
    </w:p>
    <w:p w:rsidR="00D30E4B" w:rsidRPr="00D30E4B" w:rsidRDefault="00D30E4B" w:rsidP="00BA32C9"/>
    <w:sectPr w:rsidR="00D30E4B" w:rsidRPr="00D30E4B" w:rsidSect="00960C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C2205B"/>
    <w:rsid w:val="000031AA"/>
    <w:rsid w:val="000103B8"/>
    <w:rsid w:val="000266C1"/>
    <w:rsid w:val="00041B76"/>
    <w:rsid w:val="00070299"/>
    <w:rsid w:val="000703ED"/>
    <w:rsid w:val="00070C11"/>
    <w:rsid w:val="00071317"/>
    <w:rsid w:val="000A2FDB"/>
    <w:rsid w:val="000C705B"/>
    <w:rsid w:val="000E2C47"/>
    <w:rsid w:val="000F16FB"/>
    <w:rsid w:val="001200D7"/>
    <w:rsid w:val="00124E51"/>
    <w:rsid w:val="00127764"/>
    <w:rsid w:val="001377C2"/>
    <w:rsid w:val="0014145A"/>
    <w:rsid w:val="001961C7"/>
    <w:rsid w:val="001C22F3"/>
    <w:rsid w:val="0021668A"/>
    <w:rsid w:val="0021730F"/>
    <w:rsid w:val="0023052C"/>
    <w:rsid w:val="00231268"/>
    <w:rsid w:val="00243F12"/>
    <w:rsid w:val="00261C47"/>
    <w:rsid w:val="00286EA9"/>
    <w:rsid w:val="002C3A19"/>
    <w:rsid w:val="002F0ACD"/>
    <w:rsid w:val="003145B7"/>
    <w:rsid w:val="00354A69"/>
    <w:rsid w:val="003550CD"/>
    <w:rsid w:val="00380DD8"/>
    <w:rsid w:val="003D575D"/>
    <w:rsid w:val="004171D1"/>
    <w:rsid w:val="00420CB3"/>
    <w:rsid w:val="00452997"/>
    <w:rsid w:val="00452AE7"/>
    <w:rsid w:val="00455CB5"/>
    <w:rsid w:val="0045731E"/>
    <w:rsid w:val="00492E11"/>
    <w:rsid w:val="00501F76"/>
    <w:rsid w:val="00504682"/>
    <w:rsid w:val="00536081"/>
    <w:rsid w:val="00537D09"/>
    <w:rsid w:val="005463B7"/>
    <w:rsid w:val="00563596"/>
    <w:rsid w:val="005B32AA"/>
    <w:rsid w:val="005E7FCD"/>
    <w:rsid w:val="0060040F"/>
    <w:rsid w:val="00603509"/>
    <w:rsid w:val="006319A6"/>
    <w:rsid w:val="00644405"/>
    <w:rsid w:val="00647AAA"/>
    <w:rsid w:val="0065627A"/>
    <w:rsid w:val="0066621A"/>
    <w:rsid w:val="0067373B"/>
    <w:rsid w:val="006856E3"/>
    <w:rsid w:val="006922DD"/>
    <w:rsid w:val="00693561"/>
    <w:rsid w:val="006C1187"/>
    <w:rsid w:val="006C2BEE"/>
    <w:rsid w:val="006C4FBD"/>
    <w:rsid w:val="00710CB6"/>
    <w:rsid w:val="0072575E"/>
    <w:rsid w:val="0073695D"/>
    <w:rsid w:val="0075534F"/>
    <w:rsid w:val="00765A77"/>
    <w:rsid w:val="00782FCF"/>
    <w:rsid w:val="007851F6"/>
    <w:rsid w:val="007A6CE8"/>
    <w:rsid w:val="007D0364"/>
    <w:rsid w:val="007E072A"/>
    <w:rsid w:val="007E09D1"/>
    <w:rsid w:val="007E62E5"/>
    <w:rsid w:val="00806599"/>
    <w:rsid w:val="008163BA"/>
    <w:rsid w:val="00821373"/>
    <w:rsid w:val="00857E1A"/>
    <w:rsid w:val="00877EDB"/>
    <w:rsid w:val="008D33FD"/>
    <w:rsid w:val="00910655"/>
    <w:rsid w:val="009411DD"/>
    <w:rsid w:val="00943F2A"/>
    <w:rsid w:val="00943F70"/>
    <w:rsid w:val="0095181A"/>
    <w:rsid w:val="00960C94"/>
    <w:rsid w:val="009D39FF"/>
    <w:rsid w:val="009E7C2B"/>
    <w:rsid w:val="00A542E6"/>
    <w:rsid w:val="00A63244"/>
    <w:rsid w:val="00AE11C2"/>
    <w:rsid w:val="00B05F37"/>
    <w:rsid w:val="00B1562D"/>
    <w:rsid w:val="00B2582D"/>
    <w:rsid w:val="00B42642"/>
    <w:rsid w:val="00B444BB"/>
    <w:rsid w:val="00BA32C9"/>
    <w:rsid w:val="00BB4DC9"/>
    <w:rsid w:val="00BB79A5"/>
    <w:rsid w:val="00BC384F"/>
    <w:rsid w:val="00BD594A"/>
    <w:rsid w:val="00C2205B"/>
    <w:rsid w:val="00C471BB"/>
    <w:rsid w:val="00C505B8"/>
    <w:rsid w:val="00C738B2"/>
    <w:rsid w:val="00C7398F"/>
    <w:rsid w:val="00C844D8"/>
    <w:rsid w:val="00C84591"/>
    <w:rsid w:val="00C87484"/>
    <w:rsid w:val="00C9012B"/>
    <w:rsid w:val="00CD0816"/>
    <w:rsid w:val="00CD3EC9"/>
    <w:rsid w:val="00CE4ECF"/>
    <w:rsid w:val="00D202E6"/>
    <w:rsid w:val="00D30E4B"/>
    <w:rsid w:val="00D30FEF"/>
    <w:rsid w:val="00D42B3D"/>
    <w:rsid w:val="00D7127E"/>
    <w:rsid w:val="00D85CAD"/>
    <w:rsid w:val="00DE0E45"/>
    <w:rsid w:val="00E33645"/>
    <w:rsid w:val="00E41B29"/>
    <w:rsid w:val="00E4710F"/>
    <w:rsid w:val="00E73BC0"/>
    <w:rsid w:val="00E73DB5"/>
    <w:rsid w:val="00E83ABB"/>
    <w:rsid w:val="00EB1664"/>
    <w:rsid w:val="00EB44B5"/>
    <w:rsid w:val="00F0018C"/>
    <w:rsid w:val="00F51BC2"/>
    <w:rsid w:val="00F93E13"/>
    <w:rsid w:val="00F94117"/>
    <w:rsid w:val="00FA07BC"/>
    <w:rsid w:val="00FB0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81B94"/>
  <w15:docId w15:val="{755AD485-97A2-4E35-B3AD-C0CF195A7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166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52997"/>
    <w:pPr>
      <w:keepNext/>
      <w:keepLines/>
      <w:pBdr>
        <w:top w:val="single" w:sz="4" w:space="1" w:color="auto"/>
        <w:left w:val="single" w:sz="4" w:space="4" w:color="auto"/>
        <w:bottom w:val="single" w:sz="4" w:space="1" w:color="auto"/>
        <w:right w:val="single" w:sz="4" w:space="4" w:color="auto"/>
      </w:pBdr>
      <w:spacing w:before="480" w:after="0"/>
      <w:outlineLvl w:val="0"/>
    </w:pPr>
    <w:rPr>
      <w:rFonts w:asciiTheme="majorHAnsi" w:eastAsiaTheme="majorEastAsia" w:hAnsiTheme="majorHAnsi" w:cstheme="majorBidi"/>
      <w:b/>
      <w:bCs/>
      <w:color w:val="403152" w:themeColor="accent4" w:themeShade="80"/>
      <w:sz w:val="28"/>
      <w:szCs w:val="28"/>
    </w:rPr>
  </w:style>
  <w:style w:type="paragraph" w:styleId="Heading2">
    <w:name w:val="heading 2"/>
    <w:basedOn w:val="Normal"/>
    <w:next w:val="Normal"/>
    <w:link w:val="Heading2Char"/>
    <w:uiPriority w:val="9"/>
    <w:unhideWhenUsed/>
    <w:qFormat/>
    <w:rsid w:val="006922DD"/>
    <w:pPr>
      <w:keepNext/>
      <w:keepLines/>
      <w:framePr w:wrap="around" w:vAnchor="text" w:hAnchor="text" w:y="1"/>
      <w:spacing w:before="200" w:after="0"/>
      <w:outlineLvl w:val="1"/>
    </w:pPr>
    <w:rPr>
      <w:rFonts w:asciiTheme="majorHAnsi" w:eastAsiaTheme="majorEastAsia" w:hAnsiTheme="majorHAnsi" w:cstheme="majorBidi"/>
      <w:b/>
      <w:bCs/>
      <w:color w:val="E36C0A" w:themeColor="accent6"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44405"/>
    <w:pPr>
      <w:pBdr>
        <w:top w:val="single" w:sz="8" w:space="1" w:color="4F81BD" w:themeColor="accent1"/>
        <w:left w:val="single" w:sz="8" w:space="4" w:color="4F81BD" w:themeColor="accent1"/>
        <w:bottom w:val="single" w:sz="8" w:space="4" w:color="4F81BD" w:themeColor="accent1"/>
        <w:right w:val="single" w:sz="8" w:space="4" w:color="4F81BD" w:themeColor="accent1"/>
      </w:pBdr>
      <w:spacing w:after="300" w:line="240" w:lineRule="auto"/>
      <w:contextualSpacing/>
    </w:pPr>
    <w:rPr>
      <w:rFonts w:asciiTheme="majorHAnsi" w:eastAsiaTheme="majorEastAsia" w:hAnsiTheme="majorHAnsi" w:cstheme="majorBidi"/>
      <w:color w:val="00B0F0"/>
      <w:spacing w:val="5"/>
      <w:kern w:val="28"/>
      <w:sz w:val="52"/>
      <w:szCs w:val="52"/>
    </w:rPr>
  </w:style>
  <w:style w:type="character" w:customStyle="1" w:styleId="TitleChar">
    <w:name w:val="Title Char"/>
    <w:basedOn w:val="DefaultParagraphFont"/>
    <w:link w:val="Title"/>
    <w:uiPriority w:val="10"/>
    <w:rsid w:val="00644405"/>
    <w:rPr>
      <w:rFonts w:asciiTheme="majorHAnsi" w:eastAsiaTheme="majorEastAsia" w:hAnsiTheme="majorHAnsi" w:cstheme="majorBidi"/>
      <w:color w:val="00B0F0"/>
      <w:spacing w:val="5"/>
      <w:kern w:val="28"/>
      <w:sz w:val="52"/>
      <w:szCs w:val="52"/>
      <w:lang w:val="en-GB"/>
    </w:rPr>
  </w:style>
  <w:style w:type="character" w:customStyle="1" w:styleId="Heading1Char">
    <w:name w:val="Heading 1 Char"/>
    <w:basedOn w:val="DefaultParagraphFont"/>
    <w:link w:val="Heading1"/>
    <w:uiPriority w:val="9"/>
    <w:rsid w:val="00452997"/>
    <w:rPr>
      <w:rFonts w:asciiTheme="majorHAnsi" w:eastAsiaTheme="majorEastAsia" w:hAnsiTheme="majorHAnsi" w:cstheme="majorBidi"/>
      <w:b/>
      <w:bCs/>
      <w:color w:val="403152" w:themeColor="accent4" w:themeShade="80"/>
      <w:sz w:val="28"/>
      <w:szCs w:val="28"/>
      <w:lang w:val="en-GB"/>
    </w:rPr>
  </w:style>
  <w:style w:type="character" w:styleId="HTMLCite">
    <w:name w:val="HTML Cite"/>
    <w:basedOn w:val="DefaultParagraphFont"/>
    <w:uiPriority w:val="99"/>
    <w:semiHidden/>
    <w:unhideWhenUsed/>
    <w:rsid w:val="007E072A"/>
    <w:rPr>
      <w:i/>
      <w:iCs/>
    </w:rPr>
  </w:style>
  <w:style w:type="character" w:styleId="Hyperlink">
    <w:name w:val="Hyperlink"/>
    <w:basedOn w:val="DefaultParagraphFont"/>
    <w:uiPriority w:val="99"/>
    <w:unhideWhenUsed/>
    <w:rsid w:val="007E072A"/>
    <w:rPr>
      <w:color w:val="0000FF"/>
      <w:u w:val="single"/>
    </w:rPr>
  </w:style>
  <w:style w:type="character" w:customStyle="1" w:styleId="reference-accessdate">
    <w:name w:val="reference-accessdate"/>
    <w:basedOn w:val="DefaultParagraphFont"/>
    <w:rsid w:val="00C505B8"/>
  </w:style>
  <w:style w:type="character" w:customStyle="1" w:styleId="nowrap">
    <w:name w:val="nowrap"/>
    <w:basedOn w:val="DefaultParagraphFont"/>
    <w:rsid w:val="00C505B8"/>
  </w:style>
  <w:style w:type="character" w:customStyle="1" w:styleId="Heading2Char">
    <w:name w:val="Heading 2 Char"/>
    <w:basedOn w:val="DefaultParagraphFont"/>
    <w:link w:val="Heading2"/>
    <w:uiPriority w:val="9"/>
    <w:rsid w:val="006922DD"/>
    <w:rPr>
      <w:rFonts w:asciiTheme="majorHAnsi" w:eastAsiaTheme="majorEastAsia" w:hAnsiTheme="majorHAnsi" w:cstheme="majorBidi"/>
      <w:b/>
      <w:bCs/>
      <w:color w:val="E36C0A" w:themeColor="accent6" w:themeShade="BF"/>
      <w:sz w:val="26"/>
      <w:szCs w:val="26"/>
      <w:lang w:val="en-GB"/>
    </w:rPr>
  </w:style>
  <w:style w:type="paragraph" w:styleId="BalloonText">
    <w:name w:val="Balloon Text"/>
    <w:basedOn w:val="Normal"/>
    <w:link w:val="BalloonTextChar"/>
    <w:uiPriority w:val="99"/>
    <w:semiHidden/>
    <w:unhideWhenUsed/>
    <w:rsid w:val="00CE4E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4ECF"/>
    <w:rPr>
      <w:rFonts w:ascii="Tahoma" w:hAnsi="Tahoma" w:cs="Tahoma"/>
      <w:sz w:val="16"/>
      <w:szCs w:val="16"/>
      <w:lang w:val="en-GB"/>
    </w:rPr>
  </w:style>
  <w:style w:type="paragraph" w:styleId="TOCHeading">
    <w:name w:val="TOC Heading"/>
    <w:basedOn w:val="Heading1"/>
    <w:next w:val="Normal"/>
    <w:uiPriority w:val="39"/>
    <w:semiHidden/>
    <w:unhideWhenUsed/>
    <w:qFormat/>
    <w:rsid w:val="00C7398F"/>
    <w:pPr>
      <w:pBdr>
        <w:top w:val="none" w:sz="0" w:space="0" w:color="auto"/>
        <w:left w:val="none" w:sz="0" w:space="0" w:color="auto"/>
        <w:bottom w:val="none" w:sz="0" w:space="0" w:color="auto"/>
        <w:right w:val="none" w:sz="0" w:space="0" w:color="auto"/>
      </w:pBdr>
      <w:spacing w:line="276" w:lineRule="auto"/>
      <w:jc w:val="left"/>
      <w:outlineLvl w:val="9"/>
    </w:pPr>
    <w:rPr>
      <w:color w:val="365F91" w:themeColor="accent1" w:themeShade="BF"/>
      <w:lang w:val="en-US"/>
    </w:rPr>
  </w:style>
  <w:style w:type="paragraph" w:styleId="TOC1">
    <w:name w:val="toc 1"/>
    <w:basedOn w:val="Normal"/>
    <w:next w:val="Normal"/>
    <w:autoRedefine/>
    <w:uiPriority w:val="39"/>
    <w:unhideWhenUsed/>
    <w:rsid w:val="00C7398F"/>
    <w:pPr>
      <w:spacing w:after="100"/>
    </w:pPr>
  </w:style>
  <w:style w:type="paragraph" w:styleId="TOC2">
    <w:name w:val="toc 2"/>
    <w:basedOn w:val="Normal"/>
    <w:next w:val="Normal"/>
    <w:autoRedefine/>
    <w:uiPriority w:val="39"/>
    <w:unhideWhenUsed/>
    <w:rsid w:val="00C7398F"/>
    <w:pPr>
      <w:spacing w:after="100"/>
      <w:ind w:left="240"/>
    </w:pPr>
  </w:style>
  <w:style w:type="paragraph" w:styleId="NoSpacing">
    <w:name w:val="No Spacing"/>
    <w:uiPriority w:val="1"/>
    <w:qFormat/>
    <w:rsid w:val="00BA32C9"/>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113291">
      <w:bodyDiv w:val="1"/>
      <w:marLeft w:val="0"/>
      <w:marRight w:val="0"/>
      <w:marTop w:val="0"/>
      <w:marBottom w:val="0"/>
      <w:divBdr>
        <w:top w:val="none" w:sz="0" w:space="0" w:color="auto"/>
        <w:left w:val="none" w:sz="0" w:space="0" w:color="auto"/>
        <w:bottom w:val="none" w:sz="0" w:space="0" w:color="auto"/>
        <w:right w:val="none" w:sz="0" w:space="0" w:color="auto"/>
      </w:divBdr>
    </w:div>
    <w:div w:id="376130153">
      <w:bodyDiv w:val="1"/>
      <w:marLeft w:val="0"/>
      <w:marRight w:val="0"/>
      <w:marTop w:val="0"/>
      <w:marBottom w:val="0"/>
      <w:divBdr>
        <w:top w:val="none" w:sz="0" w:space="0" w:color="auto"/>
        <w:left w:val="none" w:sz="0" w:space="0" w:color="auto"/>
        <w:bottom w:val="none" w:sz="0" w:space="0" w:color="auto"/>
        <w:right w:val="none" w:sz="0" w:space="0" w:color="auto"/>
      </w:divBdr>
    </w:div>
    <w:div w:id="1028406394">
      <w:bodyDiv w:val="1"/>
      <w:marLeft w:val="0"/>
      <w:marRight w:val="0"/>
      <w:marTop w:val="0"/>
      <w:marBottom w:val="0"/>
      <w:divBdr>
        <w:top w:val="none" w:sz="0" w:space="0" w:color="auto"/>
        <w:left w:val="none" w:sz="0" w:space="0" w:color="auto"/>
        <w:bottom w:val="none" w:sz="0" w:space="0" w:color="auto"/>
        <w:right w:val="none" w:sz="0" w:space="0" w:color="auto"/>
      </w:divBdr>
    </w:div>
    <w:div w:id="1106193729">
      <w:bodyDiv w:val="1"/>
      <w:marLeft w:val="0"/>
      <w:marRight w:val="0"/>
      <w:marTop w:val="0"/>
      <w:marBottom w:val="0"/>
      <w:divBdr>
        <w:top w:val="none" w:sz="0" w:space="0" w:color="auto"/>
        <w:left w:val="none" w:sz="0" w:space="0" w:color="auto"/>
        <w:bottom w:val="none" w:sz="0" w:space="0" w:color="auto"/>
        <w:right w:val="none" w:sz="0" w:space="0" w:color="auto"/>
      </w:divBdr>
    </w:div>
    <w:div w:id="1370107969">
      <w:bodyDiv w:val="1"/>
      <w:marLeft w:val="0"/>
      <w:marRight w:val="0"/>
      <w:marTop w:val="0"/>
      <w:marBottom w:val="0"/>
      <w:divBdr>
        <w:top w:val="none" w:sz="0" w:space="0" w:color="auto"/>
        <w:left w:val="none" w:sz="0" w:space="0" w:color="auto"/>
        <w:bottom w:val="none" w:sz="0" w:space="0" w:color="auto"/>
        <w:right w:val="none" w:sz="0" w:space="0" w:color="auto"/>
      </w:divBdr>
    </w:div>
    <w:div w:id="1492601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70046BA-3AD9-424A-8976-1E2E61254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27</Pages>
  <Words>6196</Words>
  <Characters>35318</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Hardik Patel (1710830)</cp:lastModifiedBy>
  <cp:revision>5</cp:revision>
  <dcterms:created xsi:type="dcterms:W3CDTF">2018-08-23T00:42:00Z</dcterms:created>
  <dcterms:modified xsi:type="dcterms:W3CDTF">2018-08-30T09:43:00Z</dcterms:modified>
</cp:coreProperties>
</file>