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1B3335" w14:textId="56884DAC" w:rsidR="009A5D35" w:rsidRDefault="00470523">
      <w:r w:rsidRPr="00470523">
        <w:rPr>
          <w:noProof/>
        </w:rPr>
        <w:drawing>
          <wp:inline distT="0" distB="0" distL="0" distR="0" wp14:anchorId="68BEFD8B" wp14:editId="30AB53B4">
            <wp:extent cx="5652000" cy="3656248"/>
            <wp:effectExtent l="0" t="0" r="6350" b="1905"/>
            <wp:docPr id="1673927881" name="Picture 1" descr="A stone building with Fountains Abbey and a green law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927881" name="Picture 1" descr="A stone building with Fountains Abbey and a green lawn&#10;&#10;AI-generated content may be incorrect."/>
                    <pic:cNvPicPr/>
                  </pic:nvPicPr>
                  <pic:blipFill rotWithShape="1">
                    <a:blip r:embed="rId7"/>
                    <a:srcRect t="1430" r="820"/>
                    <a:stretch>
                      <a:fillRect/>
                    </a:stretch>
                  </pic:blipFill>
                  <pic:spPr bwMode="auto">
                    <a:xfrm>
                      <a:off x="0" y="0"/>
                      <a:ext cx="5652000" cy="3656248"/>
                    </a:xfrm>
                    <a:prstGeom prst="rect">
                      <a:avLst/>
                    </a:prstGeom>
                    <a:ln>
                      <a:noFill/>
                    </a:ln>
                    <a:extLst>
                      <a:ext uri="{53640926-AAD7-44D8-BBD7-CCE9431645EC}">
                        <a14:shadowObscured xmlns:a14="http://schemas.microsoft.com/office/drawing/2010/main"/>
                      </a:ext>
                    </a:extLst>
                  </pic:spPr>
                </pic:pic>
              </a:graphicData>
            </a:graphic>
          </wp:inline>
        </w:drawing>
      </w:r>
    </w:p>
    <w:p w14:paraId="402F36BF" w14:textId="7ED61BB1" w:rsidR="00E86287" w:rsidRDefault="00E86287">
      <w:r>
        <w:t xml:space="preserve">The Cistercians took </w:t>
      </w:r>
      <w:r w:rsidR="00470523">
        <w:t>their</w:t>
      </w:r>
      <w:r>
        <w:t xml:space="preserve"> asceticism and their vows of poverty and humility very seriously, </w:t>
      </w:r>
      <w:r w:rsidR="005E3D17">
        <w:t xml:space="preserve">with chapters 32 and 33 of the </w:t>
      </w:r>
      <w:r w:rsidR="005E3D17" w:rsidRPr="005E3D17">
        <w:rPr>
          <w:i/>
          <w:iCs/>
        </w:rPr>
        <w:t>Rule of Saint Benedict</w:t>
      </w:r>
      <w:r w:rsidR="005E3D17">
        <w:t xml:space="preserve"> reminding monks that they shouldn’t have any possessions of their own, anything within the monastery being property that belonged to all the monks equally as common property. </w:t>
      </w:r>
      <w:r w:rsidR="005E3D17">
        <w:rPr>
          <w:rStyle w:val="FootnoteReference"/>
        </w:rPr>
        <w:footnoteReference w:id="1"/>
      </w:r>
      <w:r w:rsidR="005E3D17">
        <w:t xml:space="preserve"> </w:t>
      </w:r>
      <w:r w:rsidR="009962C7">
        <w:t xml:space="preserve">this frugality extended to their adornments and architecture, as stated in chapters 25 and 26 of the </w:t>
      </w:r>
      <w:r w:rsidR="009962C7" w:rsidRPr="009962C7">
        <w:rPr>
          <w:i/>
          <w:iCs/>
        </w:rPr>
        <w:t>Exordium Cistercii</w:t>
      </w:r>
      <w:r w:rsidR="009962C7">
        <w:t xml:space="preserve">, </w:t>
      </w:r>
      <w:r w:rsidR="006C32D7">
        <w:t xml:space="preserve">with the exceptions of the chalice and the communion reed nothing should be made of silver or gold or have any precious stones in it, and the only paintings can be on crosses and crosses can only be made of wood. </w:t>
      </w:r>
      <w:r w:rsidR="006C32D7">
        <w:rPr>
          <w:rStyle w:val="FootnoteReference"/>
        </w:rPr>
        <w:footnoteReference w:id="2"/>
      </w:r>
    </w:p>
    <w:p w14:paraId="41D22C2A" w14:textId="584E96D1" w:rsidR="00217EF0" w:rsidRDefault="004429CA">
      <w:r>
        <w:t xml:space="preserve">Fountains Abbey in York was founded </w:t>
      </w:r>
      <w:r w:rsidR="006C32D7">
        <w:t>on the 27</w:t>
      </w:r>
      <w:r w:rsidR="006C32D7" w:rsidRPr="006C32D7">
        <w:rPr>
          <w:vertAlign w:val="superscript"/>
        </w:rPr>
        <w:t>th</w:t>
      </w:r>
      <w:r w:rsidR="006C32D7">
        <w:t xml:space="preserve"> of </w:t>
      </w:r>
      <w:r w:rsidR="00FC021D">
        <w:t>December</w:t>
      </w:r>
      <w:r>
        <w:t xml:space="preserve"> 1132 by a group of 13 Benedictine Monks who had come from St Mary’s, also in York, </w:t>
      </w:r>
      <w:r w:rsidR="004C47CC">
        <w:t xml:space="preserve">after being unsuccessful </w:t>
      </w:r>
      <w:r w:rsidR="00FC021D">
        <w:t>i</w:t>
      </w:r>
      <w:r w:rsidR="004C47CC">
        <w:t xml:space="preserve">n reforming that abbey. </w:t>
      </w:r>
      <w:r w:rsidR="00FC021D">
        <w:t xml:space="preserve">Despite its lack of initial patronage, Fountains Abbey would go on to be the richest Cistercian house in Britain and have the largest ruins of a </w:t>
      </w:r>
      <w:r w:rsidR="00DC2781">
        <w:t>Cistercian house in England.</w:t>
      </w:r>
      <w:r w:rsidR="00470523">
        <w:t xml:space="preserve"> Fountains broke some of the </w:t>
      </w:r>
      <w:proofErr w:type="gramStart"/>
      <w:r w:rsidR="00470523">
        <w:t>Cistercians</w:t>
      </w:r>
      <w:proofErr w:type="gramEnd"/>
      <w:r w:rsidR="00470523">
        <w:t xml:space="preserve"> rules concerning flashy adornment and architecture by having some painted decorations, something specifically mentioned as being not permitted in chapter 26 of the </w:t>
      </w:r>
      <w:r w:rsidR="00470523" w:rsidRPr="00470523">
        <w:rPr>
          <w:i/>
          <w:iCs/>
        </w:rPr>
        <w:t xml:space="preserve">Exordium </w:t>
      </w:r>
      <w:proofErr w:type="gramStart"/>
      <w:r w:rsidR="00470523" w:rsidRPr="00470523">
        <w:rPr>
          <w:i/>
          <w:iCs/>
        </w:rPr>
        <w:t>Cistercii</w:t>
      </w:r>
      <w:r w:rsidR="00470523">
        <w:t>, and</w:t>
      </w:r>
      <w:proofErr w:type="gramEnd"/>
      <w:r w:rsidR="00470523">
        <w:t xml:space="preserve"> having windows with coloured glass. </w:t>
      </w:r>
      <w:r w:rsidR="004C47CC">
        <w:rPr>
          <w:rStyle w:val="FootnoteReference"/>
        </w:rPr>
        <w:footnoteReference w:id="3"/>
      </w:r>
      <w:r w:rsidR="00DC2781">
        <w:t xml:space="preserve"> </w:t>
      </w:r>
    </w:p>
    <w:p w14:paraId="3926522B" w14:textId="77777777" w:rsidR="009A5D35" w:rsidRDefault="009A5D35" w:rsidP="00FC728F"/>
    <w:p w14:paraId="26955986" w14:textId="77777777" w:rsidR="009A5D35" w:rsidRDefault="009A5D35" w:rsidP="00FC728F"/>
    <w:p w14:paraId="4A86437A" w14:textId="77777777" w:rsidR="009A5D35" w:rsidRDefault="009A5D35" w:rsidP="00FC728F"/>
    <w:p w14:paraId="73ECBA4C" w14:textId="569BCEF5" w:rsidR="00217EF0" w:rsidRDefault="00CD358A" w:rsidP="00FC728F">
      <w:r>
        <w:lastRenderedPageBreak/>
        <w:t xml:space="preserve">But the </w:t>
      </w:r>
      <w:proofErr w:type="gramStart"/>
      <w:r>
        <w:t>most clear</w:t>
      </w:r>
      <w:proofErr w:type="gramEnd"/>
      <w:r>
        <w:t xml:space="preserve"> exception to the rules Cistercians imposed on their architecture is the bell tower constructed by Marmaduke Huby. In the Cistercian General Chapter there is a decree made in 1157 that states</w:t>
      </w:r>
      <w:r w:rsidR="00FC728F">
        <w:t xml:space="preserve"> “let stone towers with bells not be built”</w:t>
      </w:r>
      <w:r w:rsidR="00E63D09">
        <w:t>, which Huby’s bell tower violates.</w:t>
      </w:r>
      <w:r w:rsidR="00267321">
        <w:t xml:space="preserve"> </w:t>
      </w:r>
      <w:r w:rsidR="009A5D35">
        <w:t>However, other similar Western towers were constructed around the same time of the early sixteenth century, such as the tower at Bolton Priory and the tower at Shap Abbey, so Huby was just following the architectural trends of the time</w:t>
      </w:r>
      <w:r w:rsidR="00694075">
        <w:t xml:space="preserve"> that also echoes previous architectural traditions of the Cistercians.</w:t>
      </w:r>
      <w:r w:rsidR="009A5D35">
        <w:t xml:space="preserve"> </w:t>
      </w:r>
      <w:r w:rsidR="006F65ED">
        <w:rPr>
          <w:rStyle w:val="FootnoteReference"/>
        </w:rPr>
        <w:footnoteReference w:id="4"/>
      </w:r>
    </w:p>
    <w:p w14:paraId="1E83056C" w14:textId="6DA06368" w:rsidR="00217EF0" w:rsidRDefault="009D68E3">
      <w:r>
        <w:t>Huby attributes the increased number of monks at Fountains abbey from twenty two to fifty two monks</w:t>
      </w:r>
      <w:r w:rsidR="00707A99">
        <w:t xml:space="preserve"> to his efforts to reinvigorate the monestary which was </w:t>
      </w:r>
      <w:r w:rsidR="004568D0">
        <w:t>resulted</w:t>
      </w:r>
      <w:r>
        <w:t xml:space="preserve"> in a large part to his bell tower</w:t>
      </w:r>
      <w:r w:rsidR="00707A99">
        <w:t xml:space="preserve"> and the liturgical inscriptions inside of it</w:t>
      </w:r>
      <w:r>
        <w:t xml:space="preserve">, </w:t>
      </w:r>
      <w:r w:rsidR="00707A99">
        <w:t xml:space="preserve">and </w:t>
      </w:r>
      <w:r w:rsidR="00D22FA4">
        <w:t>his emphasis on the “correct and dignified” singing of the divine office</w:t>
      </w:r>
      <w:r w:rsidR="00707A99">
        <w:t xml:space="preserve">, in his letters to the General Chapter at </w:t>
      </w:r>
      <w:r w:rsidR="00707A99" w:rsidRPr="00707A99">
        <w:t>Cîteaux</w:t>
      </w:r>
      <w:r w:rsidR="00707A99">
        <w:t>.</w:t>
      </w:r>
      <w:r w:rsidR="004568D0">
        <w:t xml:space="preserve"> Having the Liturgical inscriptions inside of the bell tower is symbolic, as the bell in monastic life is a tool used to order life at the monastery, acting as the way to signify important times and summoning monks for communal events and moments,  </w:t>
      </w:r>
      <w:r w:rsidR="0018682F">
        <w:t xml:space="preserve">so having the inscriptions so close to the mouthpiece of the calling of the monks is a symbol of how the community of monks listen to the calling by holding the liturgy close to them too. </w:t>
      </w:r>
      <w:r w:rsidR="004568D0">
        <w:rPr>
          <w:rStyle w:val="FootnoteReference"/>
        </w:rPr>
        <w:footnoteReference w:id="5"/>
      </w:r>
    </w:p>
    <w:p w14:paraId="56F7FA9D" w14:textId="7DE3AD2A" w:rsidR="00003C02" w:rsidRDefault="00003C02">
      <w:r>
        <w:t xml:space="preserve">The overall architectural design of the Fountains Abbey is consistent with other Cistercian houses, with the distinctive cross shape formed by the nave and the transept which was the earliest built part, being built sometime between 1132 and 1147, with the infirmary and the kitchen being staged along the river to take advantage of the natural water source, with the </w:t>
      </w:r>
      <w:r w:rsidR="000B09ED">
        <w:t xml:space="preserve">latrine and </w:t>
      </w:r>
      <w:r>
        <w:t>original infirmary</w:t>
      </w:r>
      <w:r w:rsidR="000B09ED">
        <w:t>,</w:t>
      </w:r>
      <w:r>
        <w:t xml:space="preserve"> built between 1147 and 1179</w:t>
      </w:r>
      <w:r w:rsidR="000B09ED">
        <w:t>,</w:t>
      </w:r>
      <w:r>
        <w:t xml:space="preserve"> and the newer infirmary</w:t>
      </w:r>
      <w:r w:rsidR="000B09ED">
        <w:t>,</w:t>
      </w:r>
      <w:r>
        <w:t xml:space="preserve"> that was built between 1203 and 1247</w:t>
      </w:r>
      <w:r w:rsidR="000B09ED">
        <w:t>,</w:t>
      </w:r>
      <w:r>
        <w:t xml:space="preserve"> being built downstream from the kitchen</w:t>
      </w:r>
      <w:r w:rsidR="000B09ED">
        <w:t xml:space="preserve">. </w:t>
      </w:r>
      <w:r w:rsidR="000B09ED">
        <w:rPr>
          <w:rStyle w:val="FootnoteReference"/>
        </w:rPr>
        <w:footnoteReference w:id="6"/>
      </w:r>
    </w:p>
    <w:p w14:paraId="3F93A8E4" w14:textId="15EC26AE" w:rsidR="00217EF0" w:rsidRDefault="00003C02">
      <w:r w:rsidRPr="00003C02">
        <w:drawing>
          <wp:inline distT="0" distB="0" distL="0" distR="0" wp14:anchorId="552566C7" wp14:editId="16CFCCB5">
            <wp:extent cx="5652000" cy="3286761"/>
            <wp:effectExtent l="0" t="0" r="6350" b="8890"/>
            <wp:docPr id="874438306" name="Picture 1" descr="A bluepri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438306" name="Picture 1" descr="A blueprint of a building&#10;&#10;AI-generated content may be incorrect."/>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330" t="2254" r="819" b="1295"/>
                    <a:stretch>
                      <a:fillRect/>
                    </a:stretch>
                  </pic:blipFill>
                  <pic:spPr bwMode="auto">
                    <a:xfrm>
                      <a:off x="0" y="0"/>
                      <a:ext cx="5652000" cy="3286761"/>
                    </a:xfrm>
                    <a:prstGeom prst="rect">
                      <a:avLst/>
                    </a:prstGeom>
                    <a:noFill/>
                    <a:ln>
                      <a:noFill/>
                    </a:ln>
                    <a:extLst>
                      <a:ext uri="{53640926-AAD7-44D8-BBD7-CCE9431645EC}">
                        <a14:shadowObscured xmlns:a14="http://schemas.microsoft.com/office/drawing/2010/main"/>
                      </a:ext>
                    </a:extLst>
                  </pic:spPr>
                </pic:pic>
              </a:graphicData>
            </a:graphic>
          </wp:inline>
        </w:drawing>
      </w:r>
    </w:p>
    <w:p w14:paraId="34DE08E8" w14:textId="2CE41412" w:rsidR="00217EF0" w:rsidRPr="00DC2781" w:rsidRDefault="00DC2781">
      <w:pPr>
        <w:rPr>
          <w:b/>
          <w:bCs/>
        </w:rPr>
      </w:pPr>
      <w:r w:rsidRPr="00DC2781">
        <w:rPr>
          <w:b/>
          <w:bCs/>
        </w:rPr>
        <w:lastRenderedPageBreak/>
        <w:t>Bibliography</w:t>
      </w:r>
    </w:p>
    <w:p w14:paraId="7447604C" w14:textId="6F116DEE" w:rsidR="00DC2781" w:rsidRPr="00DC2781" w:rsidRDefault="00DC2781">
      <w:pPr>
        <w:rPr>
          <w:u w:val="single"/>
        </w:rPr>
      </w:pPr>
      <w:r w:rsidRPr="00DC2781">
        <w:rPr>
          <w:u w:val="single"/>
        </w:rPr>
        <w:t>Primary sources</w:t>
      </w:r>
    </w:p>
    <w:p w14:paraId="212A2F91" w14:textId="77777777" w:rsidR="00DC2781" w:rsidRDefault="00DC2781" w:rsidP="00DC2781">
      <w:pPr>
        <w:spacing w:after="0"/>
      </w:pPr>
      <w:r w:rsidRPr="00DC2781">
        <w:t>Chibnall, Marjorie</w:t>
      </w:r>
      <w:r>
        <w:t>,</w:t>
      </w:r>
      <w:r w:rsidRPr="00DC2781">
        <w:t xml:space="preserve"> </w:t>
      </w:r>
      <w:r w:rsidRPr="00DC2781">
        <w:rPr>
          <w:i/>
          <w:iCs/>
        </w:rPr>
        <w:t>The Ecclesiastical History of Orderic Vitalis</w:t>
      </w:r>
      <w:r w:rsidRPr="00DC2781">
        <w:t xml:space="preserve">, Vol. IV, (Oxford: Clarendon </w:t>
      </w:r>
    </w:p>
    <w:p w14:paraId="5E0B4559" w14:textId="79EB5AD6" w:rsidR="00DC2781" w:rsidRDefault="00DC2781" w:rsidP="003E111E">
      <w:pPr>
        <w:ind w:firstLine="720"/>
      </w:pPr>
      <w:r w:rsidRPr="00DC2781">
        <w:t>Press, 1973)</w:t>
      </w:r>
    </w:p>
    <w:p w14:paraId="1854B83C" w14:textId="1F66C6C3" w:rsidR="00DC2781" w:rsidRPr="00DC2781" w:rsidRDefault="00DC2781">
      <w:pPr>
        <w:rPr>
          <w:u w:val="single"/>
        </w:rPr>
      </w:pPr>
      <w:r w:rsidRPr="00DC2781">
        <w:rPr>
          <w:u w:val="single"/>
        </w:rPr>
        <w:t>Modern scholarships</w:t>
      </w:r>
    </w:p>
    <w:p w14:paraId="27911470" w14:textId="77777777" w:rsidR="00DC2781" w:rsidRDefault="00DC2781" w:rsidP="00DC2781">
      <w:pPr>
        <w:spacing w:after="0"/>
      </w:pPr>
      <w:r w:rsidRPr="00DC2781">
        <w:t>Robinson, David Martin</w:t>
      </w:r>
      <w:r>
        <w:t>,</w:t>
      </w:r>
      <w:r w:rsidRPr="00DC2781">
        <w:t xml:space="preserve"> </w:t>
      </w:r>
      <w:r w:rsidRPr="00DC2781">
        <w:rPr>
          <w:i/>
          <w:iCs/>
        </w:rPr>
        <w:t>The Cistercian Abbeys of Britain: Far from the Concourse of Men</w:t>
      </w:r>
      <w:r w:rsidRPr="00DC2781">
        <w:t xml:space="preserve"> </w:t>
      </w:r>
    </w:p>
    <w:p w14:paraId="777FA176" w14:textId="7C10B232" w:rsidR="00DC2781" w:rsidRDefault="00DC2781" w:rsidP="00DC2781">
      <w:pPr>
        <w:ind w:firstLine="720"/>
      </w:pPr>
      <w:r w:rsidRPr="00DC2781">
        <w:t>(London: B.T. Batsford, 1998)</w:t>
      </w:r>
    </w:p>
    <w:p w14:paraId="672CA844" w14:textId="77777777" w:rsidR="003E111E" w:rsidRDefault="003E111E" w:rsidP="003E111E">
      <w:pPr>
        <w:spacing w:after="0"/>
      </w:pPr>
      <w:r w:rsidRPr="003E111E">
        <w:t>Carter, Michael</w:t>
      </w:r>
      <w:r>
        <w:t>,</w:t>
      </w:r>
      <w:r w:rsidRPr="003E111E">
        <w:t xml:space="preserve"> </w:t>
      </w:r>
      <w:r w:rsidRPr="003E111E">
        <w:rPr>
          <w:i/>
          <w:iCs/>
        </w:rPr>
        <w:t>The Art and Architecture of the Cistercians in Northern England, c. 1300–1540</w:t>
      </w:r>
      <w:r w:rsidRPr="003E111E">
        <w:t xml:space="preserve">, </w:t>
      </w:r>
    </w:p>
    <w:p w14:paraId="7D528631" w14:textId="3A0B8651" w:rsidR="00DC2781" w:rsidRDefault="003E111E" w:rsidP="003E111E">
      <w:pPr>
        <w:ind w:firstLine="720"/>
      </w:pPr>
      <w:r w:rsidRPr="003E111E">
        <w:t>(Belgium: Brepols Publishing, 2019)</w:t>
      </w:r>
    </w:p>
    <w:sectPr w:rsidR="00DC27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35C982" w14:textId="77777777" w:rsidR="00D7564B" w:rsidRDefault="00D7564B" w:rsidP="005E3D17">
      <w:pPr>
        <w:spacing w:after="0" w:line="240" w:lineRule="auto"/>
      </w:pPr>
      <w:r>
        <w:separator/>
      </w:r>
    </w:p>
  </w:endnote>
  <w:endnote w:type="continuationSeparator" w:id="0">
    <w:p w14:paraId="02E45431" w14:textId="77777777" w:rsidR="00D7564B" w:rsidRDefault="00D7564B" w:rsidP="005E3D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406166" w14:textId="77777777" w:rsidR="00D7564B" w:rsidRDefault="00D7564B" w:rsidP="005E3D17">
      <w:pPr>
        <w:spacing w:after="0" w:line="240" w:lineRule="auto"/>
      </w:pPr>
      <w:r>
        <w:separator/>
      </w:r>
    </w:p>
  </w:footnote>
  <w:footnote w:type="continuationSeparator" w:id="0">
    <w:p w14:paraId="1E4F6061" w14:textId="77777777" w:rsidR="00D7564B" w:rsidRDefault="00D7564B" w:rsidP="005E3D17">
      <w:pPr>
        <w:spacing w:after="0" w:line="240" w:lineRule="auto"/>
      </w:pPr>
      <w:r>
        <w:continuationSeparator/>
      </w:r>
    </w:p>
  </w:footnote>
  <w:footnote w:id="1">
    <w:p w14:paraId="425F33C9" w14:textId="27EF965F" w:rsidR="005E3D17" w:rsidRDefault="005E3D17">
      <w:pPr>
        <w:pStyle w:val="FootnoteText"/>
      </w:pPr>
      <w:r>
        <w:rPr>
          <w:rStyle w:val="FootnoteReference"/>
        </w:rPr>
        <w:footnoteRef/>
      </w:r>
      <w:r w:rsidR="00DC2781">
        <w:t xml:space="preserve"> </w:t>
      </w:r>
      <w:r w:rsidR="009962C7" w:rsidRPr="00FB3399">
        <w:t>Marjorie Chibnall,</w:t>
      </w:r>
      <w:r w:rsidR="009962C7" w:rsidRPr="00FB3399">
        <w:rPr>
          <w:i/>
          <w:iCs/>
        </w:rPr>
        <w:t xml:space="preserve"> The Ecclesiastical History of Orderic Vitalis</w:t>
      </w:r>
      <w:r w:rsidR="009962C7" w:rsidRPr="00FB3399">
        <w:t xml:space="preserve">, Vol. IV, (Oxford: Clarendon Press, 1973), </w:t>
      </w:r>
      <w:r w:rsidR="009962C7">
        <w:t>p</w:t>
      </w:r>
      <w:r w:rsidR="009962C7" w:rsidRPr="00FB3399">
        <w:t xml:space="preserve">. </w:t>
      </w:r>
      <w:r w:rsidR="009962C7">
        <w:t>8</w:t>
      </w:r>
    </w:p>
  </w:footnote>
  <w:footnote w:id="2">
    <w:p w14:paraId="69551609" w14:textId="0EC1EE6C" w:rsidR="006C32D7" w:rsidRDefault="006C32D7">
      <w:pPr>
        <w:pStyle w:val="FootnoteText"/>
      </w:pPr>
      <w:r>
        <w:rPr>
          <w:rStyle w:val="FootnoteReference"/>
        </w:rPr>
        <w:footnoteRef/>
      </w:r>
      <w:r>
        <w:t xml:space="preserve"> </w:t>
      </w:r>
      <w:r w:rsidRPr="00FB3399">
        <w:t>Chibnall,</w:t>
      </w:r>
      <w:r w:rsidRPr="00FB3399">
        <w:rPr>
          <w:i/>
          <w:iCs/>
        </w:rPr>
        <w:t xml:space="preserve"> The Ecclesiastical History of Orderic Vitalis</w:t>
      </w:r>
      <w:r w:rsidRPr="00FB3399">
        <w:t xml:space="preserve">, </w:t>
      </w:r>
      <w:r>
        <w:t>p</w:t>
      </w:r>
      <w:r w:rsidRPr="00FB3399">
        <w:t xml:space="preserve">. </w:t>
      </w:r>
      <w:r>
        <w:t>39</w:t>
      </w:r>
    </w:p>
  </w:footnote>
  <w:footnote w:id="3">
    <w:p w14:paraId="199B6D9E" w14:textId="13406902" w:rsidR="004C47CC" w:rsidRDefault="004C47CC">
      <w:pPr>
        <w:pStyle w:val="FootnoteText"/>
      </w:pPr>
      <w:r>
        <w:rPr>
          <w:rStyle w:val="FootnoteReference"/>
        </w:rPr>
        <w:footnoteRef/>
      </w:r>
      <w:r>
        <w:t xml:space="preserve"> </w:t>
      </w:r>
      <w:r w:rsidRPr="004C47CC">
        <w:t>David Martin Robinson</w:t>
      </w:r>
      <w:r>
        <w:t xml:space="preserve">, </w:t>
      </w:r>
      <w:r w:rsidRPr="00DC2781">
        <w:rPr>
          <w:i/>
          <w:iCs/>
        </w:rPr>
        <w:t>The Cistercian Abbeys of Britain: Far from the Concourse of Men</w:t>
      </w:r>
      <w:r w:rsidR="00E63D09">
        <w:rPr>
          <w:i/>
          <w:iCs/>
        </w:rPr>
        <w:t>,</w:t>
      </w:r>
      <w:r>
        <w:t xml:space="preserve"> (London: </w:t>
      </w:r>
      <w:r w:rsidRPr="004C47CC">
        <w:t>B.T. Batsford</w:t>
      </w:r>
      <w:r>
        <w:t>, 1998) pp. 111</w:t>
      </w:r>
      <w:r w:rsidR="00FC021D">
        <w:t>-11</w:t>
      </w:r>
      <w:r w:rsidR="00DC2781">
        <w:t>2</w:t>
      </w:r>
    </w:p>
  </w:footnote>
  <w:footnote w:id="4">
    <w:p w14:paraId="7334613E" w14:textId="5B003107" w:rsidR="006F65ED" w:rsidRDefault="006F65ED" w:rsidP="006F65ED">
      <w:pPr>
        <w:pStyle w:val="FootnoteText"/>
      </w:pPr>
      <w:r>
        <w:rPr>
          <w:rStyle w:val="FootnoteReference"/>
        </w:rPr>
        <w:footnoteRef/>
      </w:r>
      <w:r>
        <w:t xml:space="preserve"> </w:t>
      </w:r>
      <w:r w:rsidRPr="00E63D09">
        <w:t>Michael Carter</w:t>
      </w:r>
      <w:r>
        <w:t xml:space="preserve">, </w:t>
      </w:r>
      <w:r w:rsidRPr="004568D0">
        <w:rPr>
          <w:i/>
          <w:iCs/>
        </w:rPr>
        <w:t>The Art and Architecture of the Cistercians in Northern England, c. 1300–1540</w:t>
      </w:r>
      <w:r>
        <w:t>, (Belgium: Brepols Publishing, 2019), p</w:t>
      </w:r>
      <w:r w:rsidR="004568D0">
        <w:t>p</w:t>
      </w:r>
      <w:r>
        <w:t>. 93</w:t>
      </w:r>
      <w:r w:rsidR="00694075">
        <w:t>-95</w:t>
      </w:r>
    </w:p>
  </w:footnote>
  <w:footnote w:id="5">
    <w:p w14:paraId="6AB50782" w14:textId="6B6A0630" w:rsidR="004568D0" w:rsidRDefault="004568D0">
      <w:pPr>
        <w:pStyle w:val="FootnoteText"/>
      </w:pPr>
      <w:r>
        <w:rPr>
          <w:rStyle w:val="FootnoteReference"/>
        </w:rPr>
        <w:footnoteRef/>
      </w:r>
      <w:r>
        <w:t xml:space="preserve"> </w:t>
      </w:r>
      <w:r w:rsidRPr="00E63D09">
        <w:t>Carter</w:t>
      </w:r>
      <w:r>
        <w:t xml:space="preserve">, </w:t>
      </w:r>
      <w:r w:rsidRPr="004568D0">
        <w:rPr>
          <w:i/>
          <w:iCs/>
        </w:rPr>
        <w:t>The Art and Architecture of the Cistercians in Northern England, c. 1300–1540</w:t>
      </w:r>
      <w:r>
        <w:t>, p. 9</w:t>
      </w:r>
      <w:r>
        <w:t>9</w:t>
      </w:r>
    </w:p>
  </w:footnote>
  <w:footnote w:id="6">
    <w:p w14:paraId="22772776" w14:textId="29085E20" w:rsidR="000B09ED" w:rsidRDefault="000B09ED">
      <w:pPr>
        <w:pStyle w:val="FootnoteText"/>
      </w:pPr>
      <w:r>
        <w:rPr>
          <w:rStyle w:val="FootnoteReference"/>
        </w:rPr>
        <w:footnoteRef/>
      </w:r>
      <w:r>
        <w:t xml:space="preserve"> </w:t>
      </w:r>
      <w:r w:rsidRPr="000B09ED">
        <w:t>David Martin Robinson, The Cistercian Abbeys of Britain: Far from the Concourse of Men, (London: B.T. Batsford, 1998) p. 11</w:t>
      </w:r>
      <w:r>
        <w:t>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7EF0"/>
    <w:rsid w:val="00003C02"/>
    <w:rsid w:val="000B09ED"/>
    <w:rsid w:val="00174331"/>
    <w:rsid w:val="0018682F"/>
    <w:rsid w:val="00217EF0"/>
    <w:rsid w:val="00267321"/>
    <w:rsid w:val="002C447E"/>
    <w:rsid w:val="003171A2"/>
    <w:rsid w:val="003E111E"/>
    <w:rsid w:val="004429CA"/>
    <w:rsid w:val="004568D0"/>
    <w:rsid w:val="00470523"/>
    <w:rsid w:val="004C47CC"/>
    <w:rsid w:val="005E3D17"/>
    <w:rsid w:val="006879AF"/>
    <w:rsid w:val="00694075"/>
    <w:rsid w:val="006C32D7"/>
    <w:rsid w:val="006F65ED"/>
    <w:rsid w:val="00707A99"/>
    <w:rsid w:val="007F48A5"/>
    <w:rsid w:val="00844971"/>
    <w:rsid w:val="00906B3F"/>
    <w:rsid w:val="009962C7"/>
    <w:rsid w:val="009A5D35"/>
    <w:rsid w:val="009D68E3"/>
    <w:rsid w:val="00B06F4C"/>
    <w:rsid w:val="00BA32CC"/>
    <w:rsid w:val="00C9547A"/>
    <w:rsid w:val="00CD358A"/>
    <w:rsid w:val="00D22FA4"/>
    <w:rsid w:val="00D7564B"/>
    <w:rsid w:val="00DC2781"/>
    <w:rsid w:val="00E63D09"/>
    <w:rsid w:val="00E86287"/>
    <w:rsid w:val="00F7619A"/>
    <w:rsid w:val="00FC021D"/>
    <w:rsid w:val="00FC72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52D1C"/>
  <w15:chartTrackingRefBased/>
  <w15:docId w15:val="{21F99F00-146E-431B-87FF-F737D7115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7E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7E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7E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7E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7E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7E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7E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7E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7E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7E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7E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7E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7E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7E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7E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7E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7E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7EF0"/>
    <w:rPr>
      <w:rFonts w:eastAsiaTheme="majorEastAsia" w:cstheme="majorBidi"/>
      <w:color w:val="272727" w:themeColor="text1" w:themeTint="D8"/>
    </w:rPr>
  </w:style>
  <w:style w:type="paragraph" w:styleId="Title">
    <w:name w:val="Title"/>
    <w:basedOn w:val="Normal"/>
    <w:next w:val="Normal"/>
    <w:link w:val="TitleChar"/>
    <w:uiPriority w:val="10"/>
    <w:qFormat/>
    <w:rsid w:val="00217E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7E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7E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7E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7EF0"/>
    <w:pPr>
      <w:spacing w:before="160"/>
      <w:jc w:val="center"/>
    </w:pPr>
    <w:rPr>
      <w:i/>
      <w:iCs/>
      <w:color w:val="404040" w:themeColor="text1" w:themeTint="BF"/>
    </w:rPr>
  </w:style>
  <w:style w:type="character" w:customStyle="1" w:styleId="QuoteChar">
    <w:name w:val="Quote Char"/>
    <w:basedOn w:val="DefaultParagraphFont"/>
    <w:link w:val="Quote"/>
    <w:uiPriority w:val="29"/>
    <w:rsid w:val="00217EF0"/>
    <w:rPr>
      <w:i/>
      <w:iCs/>
      <w:color w:val="404040" w:themeColor="text1" w:themeTint="BF"/>
    </w:rPr>
  </w:style>
  <w:style w:type="paragraph" w:styleId="ListParagraph">
    <w:name w:val="List Paragraph"/>
    <w:basedOn w:val="Normal"/>
    <w:uiPriority w:val="34"/>
    <w:qFormat/>
    <w:rsid w:val="00217EF0"/>
    <w:pPr>
      <w:ind w:left="720"/>
      <w:contextualSpacing/>
    </w:pPr>
  </w:style>
  <w:style w:type="character" w:styleId="IntenseEmphasis">
    <w:name w:val="Intense Emphasis"/>
    <w:basedOn w:val="DefaultParagraphFont"/>
    <w:uiPriority w:val="21"/>
    <w:qFormat/>
    <w:rsid w:val="00217EF0"/>
    <w:rPr>
      <w:i/>
      <w:iCs/>
      <w:color w:val="0F4761" w:themeColor="accent1" w:themeShade="BF"/>
    </w:rPr>
  </w:style>
  <w:style w:type="paragraph" w:styleId="IntenseQuote">
    <w:name w:val="Intense Quote"/>
    <w:basedOn w:val="Normal"/>
    <w:next w:val="Normal"/>
    <w:link w:val="IntenseQuoteChar"/>
    <w:uiPriority w:val="30"/>
    <w:qFormat/>
    <w:rsid w:val="00217E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7EF0"/>
    <w:rPr>
      <w:i/>
      <w:iCs/>
      <w:color w:val="0F4761" w:themeColor="accent1" w:themeShade="BF"/>
    </w:rPr>
  </w:style>
  <w:style w:type="character" w:styleId="IntenseReference">
    <w:name w:val="Intense Reference"/>
    <w:basedOn w:val="DefaultParagraphFont"/>
    <w:uiPriority w:val="32"/>
    <w:qFormat/>
    <w:rsid w:val="00217EF0"/>
    <w:rPr>
      <w:b/>
      <w:bCs/>
      <w:smallCaps/>
      <w:color w:val="0F4761" w:themeColor="accent1" w:themeShade="BF"/>
      <w:spacing w:val="5"/>
    </w:rPr>
  </w:style>
  <w:style w:type="paragraph" w:styleId="FootnoteText">
    <w:name w:val="footnote text"/>
    <w:basedOn w:val="Normal"/>
    <w:link w:val="FootnoteTextChar"/>
    <w:uiPriority w:val="99"/>
    <w:semiHidden/>
    <w:unhideWhenUsed/>
    <w:rsid w:val="005E3D1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E3D17"/>
    <w:rPr>
      <w:sz w:val="20"/>
      <w:szCs w:val="20"/>
    </w:rPr>
  </w:style>
  <w:style w:type="character" w:styleId="FootnoteReference">
    <w:name w:val="footnote reference"/>
    <w:basedOn w:val="DefaultParagraphFont"/>
    <w:uiPriority w:val="99"/>
    <w:semiHidden/>
    <w:unhideWhenUsed/>
    <w:rsid w:val="005E3D1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983F5E-6251-45E3-B0BF-010D7206DE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TotalTime>
  <Pages>3</Pages>
  <Words>545</Words>
  <Characters>3108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Emmett Leitch (2305899)</dc:creator>
  <cp:keywords/>
  <dc:description/>
  <cp:lastModifiedBy>Emmett Leitch (2305899)</cp:lastModifiedBy>
  <cp:revision>10</cp:revision>
  <dcterms:created xsi:type="dcterms:W3CDTF">2025-10-31T16:50:00Z</dcterms:created>
  <dcterms:modified xsi:type="dcterms:W3CDTF">2025-11-02T22:17:00Z</dcterms:modified>
</cp:coreProperties>
</file>