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7C3E" w:rsidRDefault="00E07C3E" w:rsidP="00E07C3E">
      <w:pPr>
        <w:spacing w:line="360" w:lineRule="auto"/>
        <w:jc w:val="both"/>
        <w:rPr>
          <w:rFonts w:ascii="Times New Roman" w:hAnsi="Times New Roman" w:cs="Times New Roman"/>
          <w:sz w:val="32"/>
          <w:szCs w:val="32"/>
        </w:rPr>
      </w:pPr>
    </w:p>
    <w:p w:rsidR="00E07C3E" w:rsidRDefault="00E07C3E" w:rsidP="00E07C3E">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Financial Management </w:t>
      </w:r>
    </w:p>
    <w:p w:rsidR="00E07C3E" w:rsidRDefault="00E07C3E" w:rsidP="00E07C3E">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LCMB700</w:t>
      </w:r>
      <w:r>
        <w:rPr>
          <w:rFonts w:ascii="Times New Roman" w:hAnsi="Times New Roman" w:cs="Times New Roman"/>
          <w:sz w:val="32"/>
          <w:szCs w:val="32"/>
        </w:rPr>
        <w:t>2</w:t>
      </w:r>
    </w:p>
    <w:p w:rsidR="00E07C3E" w:rsidRDefault="00E07C3E" w:rsidP="00E07C3E">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NELSON TIMOH FONGOH</w:t>
      </w:r>
    </w:p>
    <w:p w:rsidR="00E07C3E" w:rsidRDefault="00E07C3E" w:rsidP="00E07C3E">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2000183</w:t>
      </w:r>
    </w:p>
    <w:p w:rsidR="00E07C3E" w:rsidRPr="00D55F76" w:rsidRDefault="00E07C3E" w:rsidP="00E07C3E">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Pr="00E07C3E">
        <w:rPr>
          <w:rFonts w:ascii="Times New Roman" w:hAnsi="Times New Roman" w:cs="Times New Roman"/>
          <w:sz w:val="32"/>
          <w:szCs w:val="32"/>
        </w:rPr>
        <w:t>Jia Miao</w:t>
      </w:r>
    </w:p>
    <w:p w:rsidR="00E07C3E" w:rsidRPr="00D55F76" w:rsidRDefault="00E07C3E" w:rsidP="00E07C3E">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25</w:t>
      </w:r>
      <w:r w:rsidRPr="00D55F76">
        <w:rPr>
          <w:rFonts w:ascii="Times New Roman" w:hAnsi="Times New Roman" w:cs="Times New Roman"/>
          <w:sz w:val="32"/>
          <w:szCs w:val="32"/>
        </w:rPr>
        <w:t>/0</w:t>
      </w:r>
      <w:r>
        <w:rPr>
          <w:rFonts w:ascii="Times New Roman" w:hAnsi="Times New Roman" w:cs="Times New Roman"/>
          <w:sz w:val="32"/>
          <w:szCs w:val="32"/>
        </w:rPr>
        <w:t>5</w:t>
      </w:r>
      <w:r w:rsidRPr="00D55F76">
        <w:rPr>
          <w:rFonts w:ascii="Times New Roman" w:hAnsi="Times New Roman" w:cs="Times New Roman"/>
          <w:sz w:val="32"/>
          <w:szCs w:val="32"/>
        </w:rPr>
        <w:t>/20</w:t>
      </w:r>
    </w:p>
    <w:p w:rsidR="00E07C3E" w:rsidRDefault="00E07C3E" w:rsidP="00E07C3E">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Pr>
          <w:rFonts w:ascii="Times New Roman" w:hAnsi="Times New Roman" w:cs="Times New Roman"/>
          <w:sz w:val="32"/>
          <w:szCs w:val="32"/>
        </w:rPr>
        <w:t xml:space="preserve">Report </w:t>
      </w: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6B368D" w:rsidRDefault="006B368D" w:rsidP="003C54F0">
      <w:pPr>
        <w:spacing w:line="360" w:lineRule="auto"/>
        <w:jc w:val="both"/>
        <w:rPr>
          <w:rFonts w:ascii="Times New Roman" w:hAnsi="Times New Roman" w:cs="Times New Roman"/>
          <w:b/>
          <w:bCs/>
          <w:sz w:val="24"/>
          <w:szCs w:val="24"/>
        </w:rPr>
      </w:pPr>
    </w:p>
    <w:p w:rsidR="00E07C3E" w:rsidRDefault="00E07C3E" w:rsidP="003C54F0">
      <w:pPr>
        <w:spacing w:line="360" w:lineRule="auto"/>
        <w:jc w:val="both"/>
        <w:rPr>
          <w:rFonts w:ascii="Times New Roman" w:hAnsi="Times New Roman" w:cs="Times New Roman"/>
          <w:b/>
          <w:bCs/>
          <w:sz w:val="24"/>
          <w:szCs w:val="24"/>
        </w:rPr>
      </w:pPr>
    </w:p>
    <w:p w:rsidR="00894080" w:rsidRPr="00027988" w:rsidRDefault="00894080" w:rsidP="003C54F0">
      <w:pPr>
        <w:spacing w:line="360" w:lineRule="auto"/>
        <w:jc w:val="both"/>
        <w:rPr>
          <w:rFonts w:ascii="Times New Roman" w:hAnsi="Times New Roman" w:cs="Times New Roman"/>
          <w:b/>
          <w:bCs/>
          <w:sz w:val="24"/>
          <w:szCs w:val="24"/>
        </w:rPr>
      </w:pPr>
      <w:r w:rsidRPr="00027988">
        <w:rPr>
          <w:rFonts w:ascii="Times New Roman" w:hAnsi="Times New Roman" w:cs="Times New Roman"/>
          <w:b/>
          <w:bCs/>
          <w:sz w:val="24"/>
          <w:szCs w:val="24"/>
        </w:rPr>
        <w:lastRenderedPageBreak/>
        <w:t xml:space="preserve">Introduction </w:t>
      </w:r>
    </w:p>
    <w:p w:rsidR="00894080" w:rsidRPr="003C54F0" w:rsidRDefault="0089408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This is a report on the financial performance of Ultra-Electronics Holdings PLC for the financial year 2015-2019 and will be compared with the financial performance of </w:t>
      </w:r>
      <w:r w:rsidR="00657333" w:rsidRPr="003C54F0">
        <w:rPr>
          <w:rFonts w:ascii="Times New Roman" w:hAnsi="Times New Roman" w:cs="Times New Roman"/>
          <w:sz w:val="24"/>
          <w:szCs w:val="24"/>
        </w:rPr>
        <w:t>QinetiQ PLC</w:t>
      </w:r>
      <w:r w:rsidR="003C356F" w:rsidRPr="003C54F0">
        <w:rPr>
          <w:rFonts w:ascii="Times New Roman" w:hAnsi="Times New Roman" w:cs="Times New Roman"/>
          <w:sz w:val="24"/>
          <w:szCs w:val="24"/>
        </w:rPr>
        <w:t xml:space="preserve"> for</w:t>
      </w:r>
      <w:r w:rsidRPr="003C54F0">
        <w:rPr>
          <w:rFonts w:ascii="Times New Roman" w:hAnsi="Times New Roman" w:cs="Times New Roman"/>
          <w:sz w:val="24"/>
          <w:szCs w:val="24"/>
        </w:rPr>
        <w:t xml:space="preserve"> the year 2019. this report will present the analysis of profitability, liquidity, gearing and efficiency ratios </w:t>
      </w:r>
      <w:r w:rsidR="003C356F" w:rsidRPr="003C54F0">
        <w:rPr>
          <w:rFonts w:ascii="Times New Roman" w:hAnsi="Times New Roman" w:cs="Times New Roman"/>
          <w:sz w:val="24"/>
          <w:szCs w:val="24"/>
        </w:rPr>
        <w:t>of Ultra</w:t>
      </w:r>
      <w:r w:rsidRPr="003C54F0">
        <w:rPr>
          <w:rFonts w:ascii="Times New Roman" w:hAnsi="Times New Roman" w:cs="Times New Roman"/>
          <w:sz w:val="24"/>
          <w:szCs w:val="24"/>
        </w:rPr>
        <w:t>-Electronics Holdings PLC and</w:t>
      </w:r>
      <w:r w:rsidR="003C356F" w:rsidRPr="003C54F0">
        <w:rPr>
          <w:rFonts w:ascii="Times New Roman" w:hAnsi="Times New Roman" w:cs="Times New Roman"/>
          <w:sz w:val="24"/>
          <w:szCs w:val="24"/>
        </w:rPr>
        <w:t xml:space="preserve"> </w:t>
      </w:r>
      <w:r w:rsidR="00657333" w:rsidRPr="003C54F0">
        <w:rPr>
          <w:rFonts w:ascii="Times New Roman" w:hAnsi="Times New Roman" w:cs="Times New Roman"/>
          <w:sz w:val="24"/>
          <w:szCs w:val="24"/>
        </w:rPr>
        <w:t>QinetiQ PLC</w:t>
      </w:r>
      <w:r w:rsidR="003C356F" w:rsidRPr="003C54F0">
        <w:rPr>
          <w:rFonts w:ascii="Times New Roman" w:hAnsi="Times New Roman" w:cs="Times New Roman"/>
          <w:sz w:val="24"/>
          <w:szCs w:val="24"/>
        </w:rPr>
        <w:t xml:space="preserve"> for the years above derived</w:t>
      </w:r>
      <w:r w:rsidRPr="003C54F0">
        <w:rPr>
          <w:rFonts w:ascii="Times New Roman" w:hAnsi="Times New Roman" w:cs="Times New Roman"/>
          <w:sz w:val="24"/>
          <w:szCs w:val="24"/>
        </w:rPr>
        <w:t xml:space="preserve"> </w:t>
      </w:r>
      <w:r w:rsidR="003C356F" w:rsidRPr="003C54F0">
        <w:rPr>
          <w:rFonts w:ascii="Times New Roman" w:hAnsi="Times New Roman" w:cs="Times New Roman"/>
          <w:sz w:val="24"/>
          <w:szCs w:val="24"/>
        </w:rPr>
        <w:t xml:space="preserve">from the </w:t>
      </w:r>
      <w:r w:rsidRPr="003C54F0">
        <w:rPr>
          <w:rFonts w:ascii="Times New Roman" w:hAnsi="Times New Roman" w:cs="Times New Roman"/>
          <w:sz w:val="24"/>
          <w:szCs w:val="24"/>
        </w:rPr>
        <w:t>financial statements of the</w:t>
      </w:r>
      <w:r w:rsidR="003C356F" w:rsidRPr="003C54F0">
        <w:rPr>
          <w:rFonts w:ascii="Times New Roman" w:hAnsi="Times New Roman" w:cs="Times New Roman"/>
          <w:sz w:val="24"/>
          <w:szCs w:val="24"/>
        </w:rPr>
        <w:t xml:space="preserve"> companies</w:t>
      </w:r>
      <w:r w:rsidRPr="003C54F0">
        <w:rPr>
          <w:rFonts w:ascii="Times New Roman" w:hAnsi="Times New Roman" w:cs="Times New Roman"/>
          <w:sz w:val="24"/>
          <w:szCs w:val="24"/>
        </w:rPr>
        <w:t>.</w:t>
      </w:r>
    </w:p>
    <w:p w:rsidR="003C356F" w:rsidRPr="00027988" w:rsidRDefault="003C356F" w:rsidP="003C54F0">
      <w:pPr>
        <w:spacing w:line="360" w:lineRule="auto"/>
        <w:jc w:val="both"/>
        <w:rPr>
          <w:rFonts w:ascii="Times New Roman" w:hAnsi="Times New Roman" w:cs="Times New Roman"/>
          <w:b/>
          <w:bCs/>
          <w:sz w:val="24"/>
          <w:szCs w:val="24"/>
        </w:rPr>
      </w:pPr>
      <w:r w:rsidRPr="00027988">
        <w:rPr>
          <w:rFonts w:ascii="Times New Roman" w:hAnsi="Times New Roman" w:cs="Times New Roman"/>
          <w:b/>
          <w:bCs/>
          <w:sz w:val="24"/>
          <w:szCs w:val="24"/>
        </w:rPr>
        <w:t>History of Ultra-Electronics Holdings PLC</w:t>
      </w:r>
    </w:p>
    <w:p w:rsidR="0009525F" w:rsidRPr="003C54F0" w:rsidRDefault="007F3834"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Ultra-Electronics started in the 1920s. at that time, Teddy Rosen began producing </w:t>
      </w:r>
      <w:r w:rsidR="0009525F" w:rsidRPr="003C54F0">
        <w:rPr>
          <w:rFonts w:ascii="Times New Roman" w:hAnsi="Times New Roman" w:cs="Times New Roman"/>
          <w:sz w:val="24"/>
          <w:szCs w:val="24"/>
        </w:rPr>
        <w:t>headphones of very good quality under</w:t>
      </w:r>
      <w:r w:rsidRPr="003C54F0">
        <w:rPr>
          <w:rFonts w:ascii="Times New Roman" w:hAnsi="Times New Roman" w:cs="Times New Roman"/>
          <w:sz w:val="24"/>
          <w:szCs w:val="24"/>
        </w:rPr>
        <w:t xml:space="preserve"> the name Edward E. Rosen &amp; Co.</w:t>
      </w:r>
      <w:r w:rsidR="0009525F" w:rsidRPr="003C54F0">
        <w:rPr>
          <w:rFonts w:ascii="Times New Roman" w:hAnsi="Times New Roman" w:cs="Times New Roman"/>
          <w:sz w:val="24"/>
          <w:szCs w:val="24"/>
        </w:rPr>
        <w:t xml:space="preserve"> the company in 1925 became Ultra Electronics Ltd and in 1931, it launches its first main powered set.</w:t>
      </w:r>
    </w:p>
    <w:p w:rsidR="007F3834" w:rsidRPr="003C54F0" w:rsidRDefault="0009525F"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Before the 2</w:t>
      </w:r>
      <w:r w:rsidRPr="003C54F0">
        <w:rPr>
          <w:rFonts w:ascii="Times New Roman" w:hAnsi="Times New Roman" w:cs="Times New Roman"/>
          <w:sz w:val="24"/>
          <w:szCs w:val="24"/>
          <w:vertAlign w:val="superscript"/>
        </w:rPr>
        <w:t>nd</w:t>
      </w:r>
      <w:r w:rsidRPr="003C54F0">
        <w:rPr>
          <w:rFonts w:ascii="Times New Roman" w:hAnsi="Times New Roman" w:cs="Times New Roman"/>
          <w:sz w:val="24"/>
          <w:szCs w:val="24"/>
        </w:rPr>
        <w:t xml:space="preserve"> </w:t>
      </w:r>
      <w:r w:rsidR="000A6639" w:rsidRPr="003C54F0">
        <w:rPr>
          <w:rFonts w:ascii="Times New Roman" w:hAnsi="Times New Roman" w:cs="Times New Roman"/>
          <w:sz w:val="24"/>
          <w:szCs w:val="24"/>
        </w:rPr>
        <w:t>world war Ultra Electronics had expanded</w:t>
      </w:r>
      <w:r w:rsidR="00BE6F77" w:rsidRPr="003C54F0">
        <w:rPr>
          <w:rFonts w:ascii="Times New Roman" w:hAnsi="Times New Roman" w:cs="Times New Roman"/>
          <w:sz w:val="24"/>
          <w:szCs w:val="24"/>
        </w:rPr>
        <w:t xml:space="preserve"> and</w:t>
      </w:r>
      <w:r w:rsidR="000A6639" w:rsidRPr="003C54F0">
        <w:rPr>
          <w:rFonts w:ascii="Times New Roman" w:hAnsi="Times New Roman" w:cs="Times New Roman"/>
          <w:sz w:val="24"/>
          <w:szCs w:val="24"/>
        </w:rPr>
        <w:t xml:space="preserve"> manufactured large scale</w:t>
      </w:r>
      <w:r w:rsidR="007F3834" w:rsidRPr="003C54F0">
        <w:rPr>
          <w:rFonts w:ascii="Times New Roman" w:hAnsi="Times New Roman" w:cs="Times New Roman"/>
          <w:sz w:val="24"/>
          <w:szCs w:val="24"/>
        </w:rPr>
        <w:t xml:space="preserve"> domestic radio receivers </w:t>
      </w:r>
      <w:r w:rsidR="000A6639" w:rsidRPr="003C54F0">
        <w:rPr>
          <w:rFonts w:ascii="Times New Roman" w:hAnsi="Times New Roman" w:cs="Times New Roman"/>
          <w:sz w:val="24"/>
          <w:szCs w:val="24"/>
        </w:rPr>
        <w:t>like</w:t>
      </w:r>
      <w:r w:rsidR="007F3834" w:rsidRPr="003C54F0">
        <w:rPr>
          <w:rFonts w:ascii="Times New Roman" w:hAnsi="Times New Roman" w:cs="Times New Roman"/>
          <w:sz w:val="24"/>
          <w:szCs w:val="24"/>
        </w:rPr>
        <w:t xml:space="preserve"> the Blue Fox, Lynx, Panther and Tiger models</w:t>
      </w:r>
      <w:r w:rsidR="000A6639" w:rsidRPr="003C54F0">
        <w:rPr>
          <w:rFonts w:ascii="Times New Roman" w:hAnsi="Times New Roman" w:cs="Times New Roman"/>
          <w:sz w:val="24"/>
          <w:szCs w:val="24"/>
        </w:rPr>
        <w:t>, and manufactured a high definition television for BBC in 1939</w:t>
      </w:r>
      <w:r w:rsidR="00BE6F77" w:rsidRPr="003C54F0">
        <w:rPr>
          <w:rFonts w:ascii="Times New Roman" w:hAnsi="Times New Roman" w:cs="Times New Roman"/>
          <w:sz w:val="24"/>
          <w:szCs w:val="24"/>
        </w:rPr>
        <w:t xml:space="preserve"> and started producing aircraft parts during the 2</w:t>
      </w:r>
      <w:r w:rsidR="00BE6F77" w:rsidRPr="003C54F0">
        <w:rPr>
          <w:rFonts w:ascii="Times New Roman" w:hAnsi="Times New Roman" w:cs="Times New Roman"/>
          <w:sz w:val="24"/>
          <w:szCs w:val="24"/>
          <w:vertAlign w:val="superscript"/>
        </w:rPr>
        <w:t>nd</w:t>
      </w:r>
      <w:r w:rsidR="00BE6F77" w:rsidRPr="003C54F0">
        <w:rPr>
          <w:rFonts w:ascii="Times New Roman" w:hAnsi="Times New Roman" w:cs="Times New Roman"/>
          <w:sz w:val="24"/>
          <w:szCs w:val="24"/>
        </w:rPr>
        <w:t xml:space="preserve"> world war</w:t>
      </w:r>
    </w:p>
    <w:p w:rsidR="007F3834" w:rsidRPr="003C54F0" w:rsidRDefault="007F3834"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 </w:t>
      </w:r>
      <w:r w:rsidR="00027988" w:rsidRPr="003C54F0">
        <w:rPr>
          <w:rFonts w:ascii="Times New Roman" w:hAnsi="Times New Roman" w:cs="Times New Roman"/>
          <w:sz w:val="24"/>
          <w:szCs w:val="24"/>
        </w:rPr>
        <w:t>I</w:t>
      </w:r>
      <w:r w:rsidRPr="003C54F0">
        <w:rPr>
          <w:rFonts w:ascii="Times New Roman" w:hAnsi="Times New Roman" w:cs="Times New Roman"/>
          <w:sz w:val="24"/>
          <w:szCs w:val="24"/>
        </w:rPr>
        <w:t xml:space="preserve">n 1956, </w:t>
      </w:r>
      <w:r w:rsidR="000A6639" w:rsidRPr="003C54F0">
        <w:rPr>
          <w:rFonts w:ascii="Times New Roman" w:hAnsi="Times New Roman" w:cs="Times New Roman"/>
          <w:sz w:val="24"/>
          <w:szCs w:val="24"/>
        </w:rPr>
        <w:t xml:space="preserve">the company </w:t>
      </w:r>
      <w:r w:rsidR="00C20683" w:rsidRPr="003C54F0">
        <w:rPr>
          <w:rFonts w:ascii="Times New Roman" w:hAnsi="Times New Roman" w:cs="Times New Roman"/>
          <w:sz w:val="24"/>
          <w:szCs w:val="24"/>
        </w:rPr>
        <w:t>opened a new</w:t>
      </w:r>
      <w:r w:rsidRPr="003C54F0">
        <w:rPr>
          <w:rFonts w:ascii="Times New Roman" w:hAnsi="Times New Roman" w:cs="Times New Roman"/>
          <w:sz w:val="24"/>
          <w:szCs w:val="24"/>
        </w:rPr>
        <w:t xml:space="preserve"> factory </w:t>
      </w:r>
      <w:r w:rsidR="00C20683" w:rsidRPr="003C54F0">
        <w:rPr>
          <w:rFonts w:ascii="Times New Roman" w:hAnsi="Times New Roman" w:cs="Times New Roman"/>
          <w:sz w:val="24"/>
          <w:szCs w:val="24"/>
        </w:rPr>
        <w:t>at Gosport (UK) for the manufacturing of televisions and radios.</w:t>
      </w:r>
      <w:r w:rsidR="00617521" w:rsidRPr="003C54F0">
        <w:rPr>
          <w:rFonts w:ascii="Times New Roman" w:hAnsi="Times New Roman" w:cs="Times New Roman"/>
          <w:sz w:val="24"/>
          <w:szCs w:val="24"/>
        </w:rPr>
        <w:t xml:space="preserve"> </w:t>
      </w:r>
      <w:r w:rsidR="00116619" w:rsidRPr="003C54F0">
        <w:rPr>
          <w:rFonts w:ascii="Times New Roman" w:hAnsi="Times New Roman" w:cs="Times New Roman"/>
          <w:sz w:val="24"/>
          <w:szCs w:val="24"/>
        </w:rPr>
        <w:t>Ultra-Electronics</w:t>
      </w:r>
      <w:r w:rsidR="00617521" w:rsidRPr="003C54F0">
        <w:rPr>
          <w:rFonts w:ascii="Times New Roman" w:hAnsi="Times New Roman" w:cs="Times New Roman"/>
          <w:sz w:val="24"/>
          <w:szCs w:val="24"/>
        </w:rPr>
        <w:t xml:space="preserve"> </w:t>
      </w:r>
      <w:r w:rsidR="00B258F1" w:rsidRPr="003C54F0">
        <w:rPr>
          <w:rFonts w:ascii="Times New Roman" w:hAnsi="Times New Roman" w:cs="Times New Roman"/>
          <w:sz w:val="24"/>
          <w:szCs w:val="24"/>
        </w:rPr>
        <w:t xml:space="preserve">acquired Pilot Radio and Television in 1956 </w:t>
      </w:r>
    </w:p>
    <w:p w:rsidR="00743671" w:rsidRPr="003C54F0" w:rsidRDefault="00BE6F77"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ultra was acquired by</w:t>
      </w:r>
      <w:r w:rsidR="00116619" w:rsidRPr="003C54F0">
        <w:rPr>
          <w:rFonts w:ascii="Times New Roman" w:hAnsi="Times New Roman" w:cs="Times New Roman"/>
          <w:sz w:val="24"/>
          <w:szCs w:val="24"/>
        </w:rPr>
        <w:t xml:space="preserve"> Dowty</w:t>
      </w:r>
      <w:r w:rsidR="007F3834" w:rsidRPr="003C54F0">
        <w:rPr>
          <w:rFonts w:ascii="Times New Roman" w:hAnsi="Times New Roman" w:cs="Times New Roman"/>
          <w:sz w:val="24"/>
          <w:szCs w:val="24"/>
        </w:rPr>
        <w:t xml:space="preserve"> Group, a British aircraft manufacturer </w:t>
      </w:r>
      <w:r w:rsidR="00116619" w:rsidRPr="003C54F0">
        <w:rPr>
          <w:rFonts w:ascii="Times New Roman" w:hAnsi="Times New Roman" w:cs="Times New Roman"/>
          <w:sz w:val="24"/>
          <w:szCs w:val="24"/>
        </w:rPr>
        <w:t>in</w:t>
      </w:r>
      <w:r w:rsidRPr="003C54F0">
        <w:rPr>
          <w:rFonts w:ascii="Times New Roman" w:hAnsi="Times New Roman" w:cs="Times New Roman"/>
          <w:sz w:val="24"/>
          <w:szCs w:val="24"/>
        </w:rPr>
        <w:t xml:space="preserve"> 1977, and </w:t>
      </w:r>
      <w:r w:rsidR="00116619" w:rsidRPr="003C54F0">
        <w:rPr>
          <w:rFonts w:ascii="Times New Roman" w:hAnsi="Times New Roman" w:cs="Times New Roman"/>
          <w:sz w:val="24"/>
          <w:szCs w:val="24"/>
        </w:rPr>
        <w:t>in 199</w:t>
      </w:r>
      <w:r w:rsidR="00F808D3" w:rsidRPr="003C54F0">
        <w:rPr>
          <w:rFonts w:ascii="Times New Roman" w:hAnsi="Times New Roman" w:cs="Times New Roman"/>
          <w:sz w:val="24"/>
          <w:szCs w:val="24"/>
        </w:rPr>
        <w:t>6</w:t>
      </w:r>
      <w:r w:rsidRPr="003C54F0">
        <w:rPr>
          <w:rFonts w:ascii="Times New Roman" w:hAnsi="Times New Roman" w:cs="Times New Roman"/>
          <w:sz w:val="24"/>
          <w:szCs w:val="24"/>
        </w:rPr>
        <w:t xml:space="preserve"> </w:t>
      </w:r>
      <w:r w:rsidR="007F3834" w:rsidRPr="003C54F0">
        <w:rPr>
          <w:rFonts w:ascii="Times New Roman" w:hAnsi="Times New Roman" w:cs="Times New Roman"/>
          <w:sz w:val="24"/>
          <w:szCs w:val="24"/>
        </w:rPr>
        <w:t>was</w:t>
      </w:r>
      <w:r w:rsidR="00F808D3" w:rsidRPr="003C54F0">
        <w:rPr>
          <w:rFonts w:ascii="Times New Roman" w:hAnsi="Times New Roman" w:cs="Times New Roman"/>
          <w:sz w:val="24"/>
          <w:szCs w:val="24"/>
        </w:rPr>
        <w:t xml:space="preserve"> floated on the London stock Exchange</w:t>
      </w:r>
      <w:r w:rsidR="007F3834" w:rsidRPr="003C54F0">
        <w:rPr>
          <w:rFonts w:ascii="Times New Roman" w:hAnsi="Times New Roman" w:cs="Times New Roman"/>
          <w:sz w:val="24"/>
          <w:szCs w:val="24"/>
        </w:rPr>
        <w:t>.</w:t>
      </w:r>
      <w:r w:rsidRPr="003C54F0">
        <w:rPr>
          <w:rFonts w:ascii="Times New Roman" w:hAnsi="Times New Roman" w:cs="Times New Roman"/>
          <w:sz w:val="24"/>
          <w:szCs w:val="24"/>
        </w:rPr>
        <w:t xml:space="preserve"> </w:t>
      </w:r>
      <w:r w:rsidR="00116619" w:rsidRPr="003C54F0">
        <w:rPr>
          <w:rFonts w:ascii="Times New Roman" w:hAnsi="Times New Roman" w:cs="Times New Roman"/>
          <w:sz w:val="24"/>
          <w:szCs w:val="24"/>
        </w:rPr>
        <w:t xml:space="preserve">Ultra-Electronics </w:t>
      </w:r>
      <w:r w:rsidRPr="003C54F0">
        <w:rPr>
          <w:rFonts w:ascii="Times New Roman" w:hAnsi="Times New Roman" w:cs="Times New Roman"/>
          <w:sz w:val="24"/>
          <w:szCs w:val="24"/>
        </w:rPr>
        <w:t>specialises in providing application-engineered bespoke solutions</w:t>
      </w:r>
      <w:r w:rsidR="00116619" w:rsidRPr="003C54F0">
        <w:rPr>
          <w:rFonts w:ascii="Times New Roman" w:hAnsi="Times New Roman" w:cs="Times New Roman"/>
          <w:sz w:val="24"/>
          <w:szCs w:val="24"/>
        </w:rPr>
        <w:t xml:space="preserve"> and focuses</w:t>
      </w:r>
      <w:r w:rsidRPr="003C54F0">
        <w:rPr>
          <w:rFonts w:ascii="Times New Roman" w:hAnsi="Times New Roman" w:cs="Times New Roman"/>
          <w:sz w:val="24"/>
          <w:szCs w:val="24"/>
        </w:rPr>
        <w:t xml:space="preserve"> on customers’ mission critical and intelligent systems in the defence, security, critical detection </w:t>
      </w:r>
      <w:r w:rsidR="00116619" w:rsidRPr="003C54F0">
        <w:rPr>
          <w:rFonts w:ascii="Times New Roman" w:hAnsi="Times New Roman" w:cs="Times New Roman"/>
          <w:sz w:val="24"/>
          <w:szCs w:val="24"/>
        </w:rPr>
        <w:t>and</w:t>
      </w:r>
      <w:r w:rsidRPr="003C54F0">
        <w:rPr>
          <w:rFonts w:ascii="Times New Roman" w:hAnsi="Times New Roman" w:cs="Times New Roman"/>
          <w:sz w:val="24"/>
          <w:szCs w:val="24"/>
        </w:rPr>
        <w:t xml:space="preserve"> control markets.</w:t>
      </w:r>
      <w:r w:rsidR="00743671" w:rsidRPr="003C54F0">
        <w:rPr>
          <w:rFonts w:ascii="Times New Roman" w:hAnsi="Times New Roman" w:cs="Times New Roman"/>
          <w:sz w:val="24"/>
          <w:szCs w:val="24"/>
        </w:rPr>
        <w:t xml:space="preserve"> The main markets for the company are in the UK, USA, Canada, New Zealand and Australia</w:t>
      </w:r>
      <w:r w:rsidR="00587995" w:rsidRPr="003C54F0">
        <w:rPr>
          <w:rFonts w:ascii="Times New Roman" w:hAnsi="Times New Roman" w:cs="Times New Roman"/>
          <w:sz w:val="24"/>
          <w:szCs w:val="24"/>
        </w:rPr>
        <w:t>, working with the US Department of Defence (DoD), UK Ministry of Defence (MoD) and other aerospace, defence and critical infrastructure providers both directly and through prime contractors.</w:t>
      </w:r>
      <w:r w:rsidR="0042134E">
        <w:rPr>
          <w:rFonts w:ascii="Times New Roman" w:hAnsi="Times New Roman" w:cs="Times New Roman"/>
          <w:sz w:val="24"/>
          <w:szCs w:val="24"/>
        </w:rPr>
        <w:t xml:space="preserve"> The major competitors to</w:t>
      </w:r>
      <w:r w:rsidR="00B73160" w:rsidRPr="003C54F0">
        <w:rPr>
          <w:rFonts w:ascii="Times New Roman" w:hAnsi="Times New Roman" w:cs="Times New Roman"/>
          <w:sz w:val="24"/>
          <w:szCs w:val="24"/>
        </w:rPr>
        <w:t xml:space="preserve"> Ultra-electronics include QinetiQ, BAE System,</w:t>
      </w:r>
      <w:r w:rsidR="00190F55" w:rsidRPr="003C54F0">
        <w:rPr>
          <w:rFonts w:ascii="Times New Roman" w:hAnsi="Times New Roman" w:cs="Times New Roman"/>
          <w:sz w:val="24"/>
          <w:szCs w:val="24"/>
        </w:rPr>
        <w:t xml:space="preserve"> Cobham and Ansys.</w:t>
      </w:r>
      <w:r w:rsidR="00B73160" w:rsidRPr="003C54F0">
        <w:rPr>
          <w:rFonts w:ascii="Times New Roman" w:hAnsi="Times New Roman" w:cs="Times New Roman"/>
          <w:sz w:val="24"/>
          <w:szCs w:val="24"/>
        </w:rPr>
        <w:t xml:space="preserve"> </w:t>
      </w:r>
    </w:p>
    <w:p w:rsidR="006901FB" w:rsidRPr="003C54F0" w:rsidRDefault="00987FA7"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Between 2015 and 2019, U</w:t>
      </w:r>
      <w:r w:rsidR="00242587" w:rsidRPr="003C54F0">
        <w:rPr>
          <w:rFonts w:ascii="Times New Roman" w:hAnsi="Times New Roman" w:cs="Times New Roman"/>
          <w:sz w:val="24"/>
          <w:szCs w:val="24"/>
        </w:rPr>
        <w:t xml:space="preserve">ltra have </w:t>
      </w:r>
      <w:r w:rsidR="002F01EA" w:rsidRPr="003C54F0">
        <w:rPr>
          <w:rFonts w:ascii="Times New Roman" w:hAnsi="Times New Roman" w:cs="Times New Roman"/>
          <w:sz w:val="24"/>
          <w:szCs w:val="24"/>
        </w:rPr>
        <w:t>changed</w:t>
      </w:r>
      <w:r w:rsidR="00242587" w:rsidRPr="003C54F0">
        <w:rPr>
          <w:rFonts w:ascii="Times New Roman" w:hAnsi="Times New Roman" w:cs="Times New Roman"/>
          <w:sz w:val="24"/>
          <w:szCs w:val="24"/>
        </w:rPr>
        <w:t xml:space="preserve"> a couple of directors some of which include; John Raymond, Simon Charles Conrad Pryce and William Anthony Rice.</w:t>
      </w:r>
    </w:p>
    <w:p w:rsidR="009B0739" w:rsidRDefault="006901FB"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The UK defence company, warned on profits and confirmed the</w:t>
      </w:r>
      <w:r w:rsidR="008D364B" w:rsidRPr="003C54F0">
        <w:rPr>
          <w:rFonts w:ascii="Times New Roman" w:hAnsi="Times New Roman" w:cs="Times New Roman"/>
          <w:sz w:val="24"/>
          <w:szCs w:val="24"/>
        </w:rPr>
        <w:t xml:space="preserve"> resignation</w:t>
      </w:r>
      <w:r w:rsidRPr="003C54F0">
        <w:rPr>
          <w:rFonts w:ascii="Times New Roman" w:hAnsi="Times New Roman" w:cs="Times New Roman"/>
          <w:sz w:val="24"/>
          <w:szCs w:val="24"/>
        </w:rPr>
        <w:t xml:space="preserve"> of its chief executive causing its share price to fall by as much as 20</w:t>
      </w:r>
      <w:r w:rsidR="008D364B" w:rsidRPr="003C54F0">
        <w:rPr>
          <w:rFonts w:ascii="Times New Roman" w:hAnsi="Times New Roman" w:cs="Times New Roman"/>
          <w:sz w:val="24"/>
          <w:szCs w:val="24"/>
        </w:rPr>
        <w:t>%</w:t>
      </w:r>
      <w:r w:rsidRPr="003C54F0">
        <w:rPr>
          <w:rFonts w:ascii="Times New Roman" w:hAnsi="Times New Roman" w:cs="Times New Roman"/>
          <w:sz w:val="24"/>
          <w:szCs w:val="24"/>
        </w:rPr>
        <w:t xml:space="preserve"> (Pooler, 2017).</w:t>
      </w:r>
      <w:r w:rsidR="008D364B" w:rsidRPr="003C54F0">
        <w:rPr>
          <w:rFonts w:ascii="Times New Roman" w:hAnsi="Times New Roman" w:cs="Times New Roman"/>
          <w:sz w:val="24"/>
          <w:szCs w:val="24"/>
        </w:rPr>
        <w:t xml:space="preserve"> In 2018, Ultra Electronics issued a second profit warning due to the cost overruns at the electronic warfare unit Herley, which it bought.</w:t>
      </w:r>
    </w:p>
    <w:p w:rsidR="00027988" w:rsidRPr="003C54F0" w:rsidRDefault="00027988" w:rsidP="003C54F0">
      <w:pPr>
        <w:spacing w:line="360" w:lineRule="auto"/>
        <w:jc w:val="both"/>
        <w:rPr>
          <w:rFonts w:ascii="Times New Roman" w:hAnsi="Times New Roman" w:cs="Times New Roman"/>
          <w:sz w:val="24"/>
          <w:szCs w:val="24"/>
        </w:rPr>
      </w:pPr>
      <w:r w:rsidRPr="00027988">
        <w:rPr>
          <w:rFonts w:ascii="Times New Roman" w:hAnsi="Times New Roman" w:cs="Times New Roman"/>
          <w:sz w:val="24"/>
          <w:szCs w:val="24"/>
        </w:rPr>
        <w:lastRenderedPageBreak/>
        <w:t>The main source for the analysis</w:t>
      </w:r>
      <w:r>
        <w:rPr>
          <w:rFonts w:ascii="Times New Roman" w:hAnsi="Times New Roman" w:cs="Times New Roman"/>
          <w:sz w:val="24"/>
          <w:szCs w:val="24"/>
        </w:rPr>
        <w:t xml:space="preserve"> of this report</w:t>
      </w:r>
      <w:r w:rsidRPr="00027988">
        <w:rPr>
          <w:rFonts w:ascii="Times New Roman" w:hAnsi="Times New Roman" w:cs="Times New Roman"/>
          <w:sz w:val="24"/>
          <w:szCs w:val="24"/>
        </w:rPr>
        <w:t xml:space="preserve"> will be </w:t>
      </w:r>
      <w:r w:rsidR="00E07C3E" w:rsidRPr="00027988">
        <w:rPr>
          <w:rFonts w:ascii="Times New Roman" w:hAnsi="Times New Roman" w:cs="Times New Roman"/>
          <w:sz w:val="24"/>
          <w:szCs w:val="24"/>
        </w:rPr>
        <w:t>companies’</w:t>
      </w:r>
      <w:r w:rsidRPr="00027988">
        <w:rPr>
          <w:rFonts w:ascii="Times New Roman" w:hAnsi="Times New Roman" w:cs="Times New Roman"/>
          <w:sz w:val="24"/>
          <w:szCs w:val="24"/>
        </w:rPr>
        <w:t xml:space="preserve"> Annual</w:t>
      </w:r>
      <w:r>
        <w:rPr>
          <w:rFonts w:ascii="Times New Roman" w:hAnsi="Times New Roman" w:cs="Times New Roman"/>
          <w:sz w:val="24"/>
          <w:szCs w:val="24"/>
        </w:rPr>
        <w:t xml:space="preserve"> financial statements</w:t>
      </w:r>
      <w:r w:rsidRPr="00027988">
        <w:rPr>
          <w:rFonts w:ascii="Times New Roman" w:hAnsi="Times New Roman" w:cs="Times New Roman"/>
          <w:sz w:val="24"/>
          <w:szCs w:val="24"/>
        </w:rPr>
        <w:t>.</w:t>
      </w:r>
    </w:p>
    <w:p w:rsidR="00AD203B" w:rsidRPr="00141FDA" w:rsidRDefault="0024355F" w:rsidP="003C54F0">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Tab.</w:t>
      </w:r>
      <w:r w:rsidR="00E27414" w:rsidRPr="00141FDA">
        <w:rPr>
          <w:rFonts w:ascii="Times New Roman" w:hAnsi="Times New Roman" w:cs="Times New Roman"/>
          <w:b/>
          <w:bCs/>
          <w:sz w:val="24"/>
          <w:szCs w:val="24"/>
        </w:rPr>
        <w:t>1</w:t>
      </w:r>
      <w:r w:rsidRPr="00141FDA">
        <w:rPr>
          <w:rFonts w:ascii="Times New Roman" w:hAnsi="Times New Roman" w:cs="Times New Roman"/>
          <w:b/>
          <w:bCs/>
          <w:sz w:val="24"/>
          <w:szCs w:val="24"/>
        </w:rPr>
        <w:t xml:space="preserve"> Liquidity ratios of U</w:t>
      </w:r>
      <w:r w:rsidR="000F3695" w:rsidRPr="00141FDA">
        <w:rPr>
          <w:rFonts w:ascii="Times New Roman" w:hAnsi="Times New Roman" w:cs="Times New Roman"/>
          <w:b/>
          <w:bCs/>
          <w:sz w:val="24"/>
          <w:szCs w:val="24"/>
        </w:rPr>
        <w:t>ltra Electronics</w:t>
      </w:r>
      <w:r w:rsidRPr="00141FDA">
        <w:rPr>
          <w:rFonts w:ascii="Times New Roman" w:hAnsi="Times New Roman" w:cs="Times New Roman"/>
          <w:b/>
          <w:bCs/>
          <w:sz w:val="24"/>
          <w:szCs w:val="24"/>
        </w:rPr>
        <w:t xml:space="preserve"> (20</w:t>
      </w:r>
      <w:r w:rsidR="000F3695" w:rsidRPr="00141FDA">
        <w:rPr>
          <w:rFonts w:ascii="Times New Roman" w:hAnsi="Times New Roman" w:cs="Times New Roman"/>
          <w:b/>
          <w:bCs/>
          <w:sz w:val="24"/>
          <w:szCs w:val="24"/>
        </w:rPr>
        <w:t>15</w:t>
      </w:r>
      <w:r w:rsidRPr="00141FDA">
        <w:rPr>
          <w:rFonts w:ascii="Times New Roman" w:hAnsi="Times New Roman" w:cs="Times New Roman"/>
          <w:b/>
          <w:bCs/>
          <w:sz w:val="24"/>
          <w:szCs w:val="24"/>
        </w:rPr>
        <w:t xml:space="preserve"> - 20</w:t>
      </w:r>
      <w:r w:rsidR="000F3695" w:rsidRPr="00141FDA">
        <w:rPr>
          <w:rFonts w:ascii="Times New Roman" w:hAnsi="Times New Roman" w:cs="Times New Roman"/>
          <w:b/>
          <w:bCs/>
          <w:sz w:val="24"/>
          <w:szCs w:val="24"/>
        </w:rPr>
        <w:t>19</w:t>
      </w:r>
      <w:r w:rsidRPr="00141FDA">
        <w:rPr>
          <w:rFonts w:ascii="Times New Roman" w:hAnsi="Times New Roman" w:cs="Times New Roman"/>
          <w:b/>
          <w:bCs/>
          <w:sz w:val="24"/>
          <w:szCs w:val="24"/>
        </w:rPr>
        <w:t xml:space="preserve">) and </w:t>
      </w:r>
      <w:r w:rsidR="00EA74C8" w:rsidRPr="00141FDA">
        <w:rPr>
          <w:rFonts w:ascii="Times New Roman" w:hAnsi="Times New Roman" w:cs="Times New Roman"/>
          <w:b/>
          <w:bCs/>
          <w:sz w:val="24"/>
          <w:szCs w:val="24"/>
        </w:rPr>
        <w:t>QinetiQ</w:t>
      </w:r>
      <w:r w:rsidRPr="00141FDA">
        <w:rPr>
          <w:rFonts w:ascii="Times New Roman" w:hAnsi="Times New Roman" w:cs="Times New Roman"/>
          <w:b/>
          <w:bCs/>
          <w:sz w:val="24"/>
          <w:szCs w:val="24"/>
        </w:rPr>
        <w:t xml:space="preserve"> (20</w:t>
      </w:r>
      <w:r w:rsidR="000F3695" w:rsidRPr="00141FDA">
        <w:rPr>
          <w:rFonts w:ascii="Times New Roman" w:hAnsi="Times New Roman" w:cs="Times New Roman"/>
          <w:b/>
          <w:bCs/>
          <w:sz w:val="24"/>
          <w:szCs w:val="24"/>
        </w:rPr>
        <w:t>19</w:t>
      </w:r>
      <w:r w:rsidRPr="00141FDA">
        <w:rPr>
          <w:rFonts w:ascii="Times New Roman" w:hAnsi="Times New Roman" w:cs="Times New Roman"/>
          <w:b/>
          <w:bCs/>
          <w:sz w:val="24"/>
          <w:szCs w:val="24"/>
        </w:rPr>
        <w:t xml:space="preserve">) </w:t>
      </w:r>
    </w:p>
    <w:tbl>
      <w:tblPr>
        <w:tblStyle w:val="TableGrid"/>
        <w:tblW w:w="0" w:type="auto"/>
        <w:tblLook w:val="04A0" w:firstRow="1" w:lastRow="0" w:firstColumn="1" w:lastColumn="0" w:noHBand="0" w:noVBand="1"/>
      </w:tblPr>
      <w:tblGrid>
        <w:gridCol w:w="1296"/>
        <w:gridCol w:w="1286"/>
        <w:gridCol w:w="1286"/>
        <w:gridCol w:w="1287"/>
        <w:gridCol w:w="1287"/>
        <w:gridCol w:w="1287"/>
        <w:gridCol w:w="1287"/>
      </w:tblGrid>
      <w:tr w:rsidR="0024355F" w:rsidRPr="003C54F0" w:rsidTr="0024355F">
        <w:tc>
          <w:tcPr>
            <w:tcW w:w="1288" w:type="dxa"/>
          </w:tcPr>
          <w:p w:rsidR="0024355F"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Ultra-Electronics</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2015</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2016</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2017</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2018</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2019</w:t>
            </w:r>
          </w:p>
        </w:tc>
        <w:tc>
          <w:tcPr>
            <w:tcW w:w="1288" w:type="dxa"/>
          </w:tcPr>
          <w:p w:rsidR="0024355F"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QinetiQ 2019</w:t>
            </w:r>
          </w:p>
        </w:tc>
      </w:tr>
      <w:tr w:rsidR="0024355F" w:rsidRPr="003C54F0" w:rsidTr="0024355F">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Current Ratio</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1.44</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1.65</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1.53</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1.02</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1.81</w:t>
            </w:r>
          </w:p>
        </w:tc>
        <w:tc>
          <w:tcPr>
            <w:tcW w:w="1288" w:type="dxa"/>
          </w:tcPr>
          <w:p w:rsidR="0024355F"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1.22</w:t>
            </w:r>
          </w:p>
        </w:tc>
      </w:tr>
      <w:tr w:rsidR="0024355F" w:rsidRPr="003C54F0" w:rsidTr="0024355F">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Quick Ratio</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1.09</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1.30</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1.26</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0.80</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1.41</w:t>
            </w:r>
          </w:p>
        </w:tc>
        <w:tc>
          <w:tcPr>
            <w:tcW w:w="1288" w:type="dxa"/>
          </w:tcPr>
          <w:p w:rsidR="0024355F"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1.11</w:t>
            </w:r>
          </w:p>
        </w:tc>
      </w:tr>
      <w:tr w:rsidR="0024355F" w:rsidRPr="003C54F0" w:rsidTr="0024355F">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Cash Ratio</w:t>
            </w:r>
            <w:r w:rsidR="000116D5" w:rsidRPr="003C54F0">
              <w:rPr>
                <w:rFonts w:ascii="Times New Roman" w:hAnsi="Times New Roman" w:cs="Times New Roman"/>
                <w:sz w:val="24"/>
                <w:szCs w:val="24"/>
              </w:rPr>
              <w:t xml:space="preserve"> </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0.19</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0.32</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0.51</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0.22</w:t>
            </w:r>
          </w:p>
        </w:tc>
        <w:tc>
          <w:tcPr>
            <w:tcW w:w="1288" w:type="dxa"/>
          </w:tcPr>
          <w:p w:rsidR="0024355F" w:rsidRPr="003C54F0" w:rsidRDefault="000F369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0.36</w:t>
            </w:r>
          </w:p>
        </w:tc>
        <w:tc>
          <w:tcPr>
            <w:tcW w:w="1288" w:type="dxa"/>
          </w:tcPr>
          <w:p w:rsidR="0024355F"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0.52</w:t>
            </w:r>
          </w:p>
        </w:tc>
      </w:tr>
    </w:tbl>
    <w:p w:rsidR="0024355F" w:rsidRPr="003C54F0" w:rsidRDefault="0024355F" w:rsidP="003C54F0">
      <w:pPr>
        <w:spacing w:line="360" w:lineRule="auto"/>
        <w:jc w:val="both"/>
        <w:rPr>
          <w:rFonts w:ascii="Times New Roman" w:hAnsi="Times New Roman" w:cs="Times New Roman"/>
          <w:sz w:val="24"/>
          <w:szCs w:val="24"/>
        </w:rPr>
      </w:pPr>
    </w:p>
    <w:p w:rsidR="00AE07E7" w:rsidRPr="003C54F0" w:rsidRDefault="00E45EE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Liquidity ratios assess a company’s ability to turn assets into cash in order to pay its short-term </w:t>
      </w:r>
      <w:r w:rsidR="00AE07E7" w:rsidRPr="003C54F0">
        <w:rPr>
          <w:rFonts w:ascii="Times New Roman" w:hAnsi="Times New Roman" w:cs="Times New Roman"/>
          <w:sz w:val="24"/>
          <w:szCs w:val="24"/>
        </w:rPr>
        <w:t xml:space="preserve">liabilities as it becomes due </w:t>
      </w:r>
      <w:r w:rsidR="00B3595D" w:rsidRPr="003C54F0">
        <w:rPr>
          <w:rFonts w:ascii="Times New Roman" w:hAnsi="Times New Roman" w:cs="Times New Roman"/>
          <w:sz w:val="24"/>
          <w:szCs w:val="24"/>
        </w:rPr>
        <w:t>and</w:t>
      </w:r>
      <w:r w:rsidR="00AE07E7" w:rsidRPr="003C54F0">
        <w:rPr>
          <w:rFonts w:ascii="Times New Roman" w:hAnsi="Times New Roman" w:cs="Times New Roman"/>
          <w:sz w:val="24"/>
          <w:szCs w:val="24"/>
        </w:rPr>
        <w:t xml:space="preserve"> its long-term liabilities as it becomes current.</w:t>
      </w:r>
    </w:p>
    <w:p w:rsidR="001758A9" w:rsidRPr="003C54F0" w:rsidRDefault="005F59E1"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Current rati</w:t>
      </w:r>
      <w:r w:rsidR="001758A9" w:rsidRPr="003C54F0">
        <w:rPr>
          <w:rFonts w:ascii="Times New Roman" w:hAnsi="Times New Roman" w:cs="Times New Roman"/>
          <w:sz w:val="24"/>
          <w:szCs w:val="24"/>
        </w:rPr>
        <w:t xml:space="preserve">o is used to compare a company’s current assets to available current liabilities. A low ratio is an indication of poor financial strength while a high ratio indicates good financial strength. From the above analysis, one can see that Ultra from 2015-2017 was in good position to take care of its </w:t>
      </w:r>
      <w:r w:rsidR="00F871A8" w:rsidRPr="003C54F0">
        <w:rPr>
          <w:rFonts w:ascii="Times New Roman" w:hAnsi="Times New Roman" w:cs="Times New Roman"/>
          <w:sz w:val="24"/>
          <w:szCs w:val="24"/>
        </w:rPr>
        <w:t>short-term</w:t>
      </w:r>
      <w:r w:rsidR="001758A9" w:rsidRPr="003C54F0">
        <w:rPr>
          <w:rFonts w:ascii="Times New Roman" w:hAnsi="Times New Roman" w:cs="Times New Roman"/>
          <w:sz w:val="24"/>
          <w:szCs w:val="24"/>
        </w:rPr>
        <w:t xml:space="preserve"> obligations </w:t>
      </w:r>
      <w:r w:rsidR="003649E1" w:rsidRPr="003C54F0">
        <w:rPr>
          <w:rFonts w:ascii="Times New Roman" w:hAnsi="Times New Roman" w:cs="Times New Roman"/>
          <w:sz w:val="24"/>
          <w:szCs w:val="24"/>
        </w:rPr>
        <w:t xml:space="preserve">with ratios of 1.44 </w:t>
      </w:r>
      <w:r w:rsidR="00AC75A9" w:rsidRPr="003C54F0">
        <w:rPr>
          <w:rFonts w:ascii="Times New Roman" w:hAnsi="Times New Roman" w:cs="Times New Roman"/>
          <w:sz w:val="24"/>
          <w:szCs w:val="24"/>
        </w:rPr>
        <w:t xml:space="preserve">in </w:t>
      </w:r>
      <w:r w:rsidR="003649E1" w:rsidRPr="003C54F0">
        <w:rPr>
          <w:rFonts w:ascii="Times New Roman" w:hAnsi="Times New Roman" w:cs="Times New Roman"/>
          <w:sz w:val="24"/>
          <w:szCs w:val="24"/>
        </w:rPr>
        <w:t xml:space="preserve">2015 </w:t>
      </w:r>
      <w:r w:rsidR="00E63EB3" w:rsidRPr="003C54F0">
        <w:rPr>
          <w:rFonts w:ascii="Times New Roman" w:hAnsi="Times New Roman" w:cs="Times New Roman"/>
          <w:sz w:val="24"/>
          <w:szCs w:val="24"/>
        </w:rPr>
        <w:t>which increased to</w:t>
      </w:r>
      <w:r w:rsidR="003649E1" w:rsidRPr="003C54F0">
        <w:rPr>
          <w:rFonts w:ascii="Times New Roman" w:hAnsi="Times New Roman" w:cs="Times New Roman"/>
          <w:sz w:val="24"/>
          <w:szCs w:val="24"/>
        </w:rPr>
        <w:t xml:space="preserve"> 1.65</w:t>
      </w:r>
      <w:r w:rsidR="00AC75A9" w:rsidRPr="003C54F0">
        <w:rPr>
          <w:rFonts w:ascii="Times New Roman" w:hAnsi="Times New Roman" w:cs="Times New Roman"/>
          <w:sz w:val="24"/>
          <w:szCs w:val="24"/>
        </w:rPr>
        <w:t xml:space="preserve"> in</w:t>
      </w:r>
      <w:r w:rsidR="003649E1" w:rsidRPr="003C54F0">
        <w:rPr>
          <w:rFonts w:ascii="Times New Roman" w:hAnsi="Times New Roman" w:cs="Times New Roman"/>
          <w:sz w:val="24"/>
          <w:szCs w:val="24"/>
        </w:rPr>
        <w:t xml:space="preserve"> 2016 </w:t>
      </w:r>
      <w:r w:rsidR="00E63EB3" w:rsidRPr="003C54F0">
        <w:rPr>
          <w:rFonts w:ascii="Times New Roman" w:hAnsi="Times New Roman" w:cs="Times New Roman"/>
          <w:sz w:val="24"/>
          <w:szCs w:val="24"/>
        </w:rPr>
        <w:t xml:space="preserve">and </w:t>
      </w:r>
      <w:r w:rsidR="00AC75A9" w:rsidRPr="003C54F0">
        <w:rPr>
          <w:rFonts w:ascii="Times New Roman" w:hAnsi="Times New Roman" w:cs="Times New Roman"/>
          <w:sz w:val="24"/>
          <w:szCs w:val="24"/>
        </w:rPr>
        <w:t xml:space="preserve">in decreased to </w:t>
      </w:r>
      <w:r w:rsidR="00F871A8" w:rsidRPr="003C54F0">
        <w:rPr>
          <w:rFonts w:ascii="Times New Roman" w:hAnsi="Times New Roman" w:cs="Times New Roman"/>
          <w:sz w:val="24"/>
          <w:szCs w:val="24"/>
        </w:rPr>
        <w:t>1.53 in 2017. In 2018 Ultra had low current ratio</w:t>
      </w:r>
      <w:r w:rsidR="00E2642C" w:rsidRPr="003C54F0">
        <w:rPr>
          <w:rFonts w:ascii="Times New Roman" w:hAnsi="Times New Roman" w:cs="Times New Roman"/>
          <w:sz w:val="24"/>
          <w:szCs w:val="24"/>
        </w:rPr>
        <w:t xml:space="preserve"> of 1.02</w:t>
      </w:r>
      <w:r w:rsidR="008F1F5E" w:rsidRPr="003C54F0">
        <w:rPr>
          <w:rFonts w:ascii="Times New Roman" w:hAnsi="Times New Roman" w:cs="Times New Roman"/>
          <w:sz w:val="24"/>
          <w:szCs w:val="24"/>
        </w:rPr>
        <w:t xml:space="preserve"> which could be as a result of an increase in current liabilities.</w:t>
      </w:r>
      <w:r w:rsidR="00E2642C" w:rsidRPr="003C54F0">
        <w:rPr>
          <w:rFonts w:ascii="Times New Roman" w:hAnsi="Times New Roman" w:cs="Times New Roman"/>
          <w:sz w:val="24"/>
          <w:szCs w:val="24"/>
        </w:rPr>
        <w:t xml:space="preserve"> 2019</w:t>
      </w:r>
      <w:r w:rsidR="008F1F5E" w:rsidRPr="003C54F0">
        <w:rPr>
          <w:rFonts w:ascii="Times New Roman" w:hAnsi="Times New Roman" w:cs="Times New Roman"/>
          <w:sz w:val="24"/>
          <w:szCs w:val="24"/>
        </w:rPr>
        <w:t xml:space="preserve"> saw a drastic increase</w:t>
      </w:r>
      <w:r w:rsidR="00E2642C" w:rsidRPr="003C54F0">
        <w:rPr>
          <w:rFonts w:ascii="Times New Roman" w:hAnsi="Times New Roman" w:cs="Times New Roman"/>
          <w:sz w:val="24"/>
          <w:szCs w:val="24"/>
        </w:rPr>
        <w:t xml:space="preserve"> to 1.81</w:t>
      </w:r>
      <w:r w:rsidR="008F1F5E" w:rsidRPr="003C54F0">
        <w:rPr>
          <w:rFonts w:ascii="Times New Roman" w:hAnsi="Times New Roman" w:cs="Times New Roman"/>
          <w:sz w:val="24"/>
          <w:szCs w:val="24"/>
        </w:rPr>
        <w:t xml:space="preserve"> with a fall in current liabilities. Comparing this QinetiQ, it is obvious that Ultra Electronics with a high ratio is better placed to pay its short-term obligations.</w:t>
      </w:r>
      <w:r w:rsidR="00F871A8" w:rsidRPr="003C54F0">
        <w:rPr>
          <w:rFonts w:ascii="Times New Roman" w:hAnsi="Times New Roman" w:cs="Times New Roman"/>
          <w:sz w:val="24"/>
          <w:szCs w:val="24"/>
        </w:rPr>
        <w:t xml:space="preserve"> </w:t>
      </w:r>
    </w:p>
    <w:p w:rsidR="008F1F5E" w:rsidRPr="003C54F0" w:rsidRDefault="00024B9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Quick ratio is used to measure the extent to which a company can meet its short-term financial liabilities. The above analysis shows that for every pound of Ultra Electronics’ current </w:t>
      </w:r>
      <w:r w:rsidR="00192AE2" w:rsidRPr="003C54F0">
        <w:rPr>
          <w:rFonts w:ascii="Times New Roman" w:hAnsi="Times New Roman" w:cs="Times New Roman"/>
          <w:sz w:val="24"/>
          <w:szCs w:val="24"/>
        </w:rPr>
        <w:t>liability</w:t>
      </w:r>
      <w:r w:rsidRPr="003C54F0">
        <w:rPr>
          <w:rFonts w:ascii="Times New Roman" w:hAnsi="Times New Roman" w:cs="Times New Roman"/>
          <w:sz w:val="24"/>
          <w:szCs w:val="24"/>
        </w:rPr>
        <w:t xml:space="preserve">, the </w:t>
      </w:r>
      <w:r w:rsidR="00192AE2" w:rsidRPr="003C54F0">
        <w:rPr>
          <w:rFonts w:ascii="Times New Roman" w:hAnsi="Times New Roman" w:cs="Times New Roman"/>
          <w:sz w:val="24"/>
          <w:szCs w:val="24"/>
        </w:rPr>
        <w:t>company has</w:t>
      </w:r>
      <w:r w:rsidRPr="003C54F0">
        <w:rPr>
          <w:rFonts w:ascii="Times New Roman" w:hAnsi="Times New Roman" w:cs="Times New Roman"/>
          <w:sz w:val="24"/>
          <w:szCs w:val="24"/>
        </w:rPr>
        <w:t xml:space="preserve"> 1.</w:t>
      </w:r>
      <w:r w:rsidR="00192AE2" w:rsidRPr="003C54F0">
        <w:rPr>
          <w:rFonts w:ascii="Times New Roman" w:hAnsi="Times New Roman" w:cs="Times New Roman"/>
          <w:sz w:val="24"/>
          <w:szCs w:val="24"/>
        </w:rPr>
        <w:t>09 (2015)</w:t>
      </w:r>
      <w:r w:rsidRPr="003C54F0">
        <w:rPr>
          <w:rFonts w:ascii="Times New Roman" w:hAnsi="Times New Roman" w:cs="Times New Roman"/>
          <w:sz w:val="24"/>
          <w:szCs w:val="24"/>
        </w:rPr>
        <w:t xml:space="preserve"> of very liquid assets to cover those immediate</w:t>
      </w:r>
      <w:r w:rsidR="00192AE2" w:rsidRPr="003C54F0">
        <w:rPr>
          <w:rFonts w:ascii="Times New Roman" w:hAnsi="Times New Roman" w:cs="Times New Roman"/>
          <w:sz w:val="24"/>
          <w:szCs w:val="24"/>
        </w:rPr>
        <w:t xml:space="preserve"> debts</w:t>
      </w:r>
      <w:r w:rsidRPr="003C54F0">
        <w:rPr>
          <w:rFonts w:ascii="Times New Roman" w:hAnsi="Times New Roman" w:cs="Times New Roman"/>
          <w:sz w:val="24"/>
          <w:szCs w:val="24"/>
        </w:rPr>
        <w:t>.</w:t>
      </w:r>
      <w:r w:rsidR="00192AE2" w:rsidRPr="003C54F0">
        <w:rPr>
          <w:rFonts w:ascii="Times New Roman" w:hAnsi="Times New Roman" w:cs="Times New Roman"/>
          <w:sz w:val="24"/>
          <w:szCs w:val="24"/>
        </w:rPr>
        <w:t xml:space="preserve"> This figure increased to 1.30 in 2016. There was a downward movement in 2017 to 1.26 while 2018 saw a significant drop to 0.80</w:t>
      </w:r>
      <w:r w:rsidR="00D71A1D" w:rsidRPr="003C54F0">
        <w:rPr>
          <w:rFonts w:ascii="Times New Roman" w:hAnsi="Times New Roman" w:cs="Times New Roman"/>
          <w:sz w:val="24"/>
          <w:szCs w:val="24"/>
        </w:rPr>
        <w:t xml:space="preserve">. this could be caused by poor management and an inability for Ultra to maintain its sales. </w:t>
      </w:r>
      <w:r w:rsidR="00AE07E7" w:rsidRPr="003C54F0">
        <w:rPr>
          <w:rFonts w:ascii="Times New Roman" w:hAnsi="Times New Roman" w:cs="Times New Roman"/>
          <w:sz w:val="24"/>
          <w:szCs w:val="24"/>
        </w:rPr>
        <w:t>A</w:t>
      </w:r>
      <w:r w:rsidR="00D71A1D" w:rsidRPr="003C54F0">
        <w:rPr>
          <w:rFonts w:ascii="Times New Roman" w:hAnsi="Times New Roman" w:cs="Times New Roman"/>
          <w:sz w:val="24"/>
          <w:szCs w:val="24"/>
        </w:rPr>
        <w:t xml:space="preserve"> decrease in current liabilities in 2019 mean </w:t>
      </w:r>
      <w:r w:rsidR="00AE07E7" w:rsidRPr="003C54F0">
        <w:rPr>
          <w:rFonts w:ascii="Times New Roman" w:hAnsi="Times New Roman" w:cs="Times New Roman"/>
          <w:sz w:val="24"/>
          <w:szCs w:val="24"/>
        </w:rPr>
        <w:t>quick ratio increased for every pound to 1.41.</w:t>
      </w:r>
      <w:r w:rsidR="00192AE2" w:rsidRPr="003C54F0">
        <w:rPr>
          <w:rFonts w:ascii="Times New Roman" w:hAnsi="Times New Roman" w:cs="Times New Roman"/>
          <w:sz w:val="24"/>
          <w:szCs w:val="24"/>
        </w:rPr>
        <w:t xml:space="preserve"> </w:t>
      </w:r>
    </w:p>
    <w:p w:rsidR="00027988" w:rsidRDefault="00027988" w:rsidP="003C54F0">
      <w:pPr>
        <w:spacing w:line="360" w:lineRule="auto"/>
        <w:jc w:val="both"/>
        <w:rPr>
          <w:rFonts w:ascii="Times New Roman" w:hAnsi="Times New Roman" w:cs="Times New Roman"/>
          <w:sz w:val="24"/>
          <w:szCs w:val="24"/>
        </w:rPr>
      </w:pPr>
    </w:p>
    <w:p w:rsidR="001758A9" w:rsidRPr="003C54F0" w:rsidRDefault="00AE07E7"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Cash ratio</w:t>
      </w:r>
    </w:p>
    <w:p w:rsidR="00EA74C8" w:rsidRPr="003C54F0" w:rsidRDefault="00E702EF"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lastRenderedPageBreak/>
        <w:t xml:space="preserve">The figures above </w:t>
      </w:r>
      <w:r w:rsidR="00E6437D" w:rsidRPr="003C54F0">
        <w:rPr>
          <w:rFonts w:ascii="Times New Roman" w:hAnsi="Times New Roman" w:cs="Times New Roman"/>
          <w:sz w:val="24"/>
          <w:szCs w:val="24"/>
        </w:rPr>
        <w:t>show</w:t>
      </w:r>
      <w:r w:rsidRPr="003C54F0">
        <w:rPr>
          <w:rFonts w:ascii="Times New Roman" w:hAnsi="Times New Roman" w:cs="Times New Roman"/>
          <w:sz w:val="24"/>
          <w:szCs w:val="24"/>
        </w:rPr>
        <w:t xml:space="preserve"> that Ultra does not possess enough cash and cash equivalents to pay off its current liabilities. QinetiQ like Ultra is not in possession of high liquid cash to easily fund its de</w:t>
      </w:r>
      <w:r w:rsidR="00ED2510">
        <w:rPr>
          <w:rFonts w:ascii="Times New Roman" w:hAnsi="Times New Roman" w:cs="Times New Roman"/>
          <w:sz w:val="24"/>
          <w:szCs w:val="24"/>
        </w:rPr>
        <w:t>bt due to an increase in assets and inventories.</w:t>
      </w:r>
    </w:p>
    <w:p w:rsidR="000A7BCE" w:rsidRPr="00141FDA" w:rsidRDefault="000A7BCE" w:rsidP="003C54F0">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Tab.</w:t>
      </w:r>
      <w:r w:rsidR="00E27414" w:rsidRPr="00141FDA">
        <w:rPr>
          <w:rFonts w:ascii="Times New Roman" w:hAnsi="Times New Roman" w:cs="Times New Roman"/>
          <w:b/>
          <w:bCs/>
          <w:sz w:val="24"/>
          <w:szCs w:val="24"/>
        </w:rPr>
        <w:t>2</w:t>
      </w:r>
      <w:r w:rsidRPr="00141FDA">
        <w:rPr>
          <w:rFonts w:ascii="Times New Roman" w:hAnsi="Times New Roman" w:cs="Times New Roman"/>
          <w:b/>
          <w:bCs/>
          <w:sz w:val="24"/>
          <w:szCs w:val="24"/>
        </w:rPr>
        <w:t xml:space="preserve"> Profitability Ratios of Ultra Electronics (2015 - 2019) and </w:t>
      </w:r>
      <w:r w:rsidR="00EA74C8" w:rsidRPr="00141FDA">
        <w:rPr>
          <w:rFonts w:ascii="Times New Roman" w:hAnsi="Times New Roman" w:cs="Times New Roman"/>
          <w:b/>
          <w:bCs/>
          <w:sz w:val="24"/>
          <w:szCs w:val="24"/>
        </w:rPr>
        <w:t>QinetiQ</w:t>
      </w:r>
      <w:r w:rsidRPr="00141FDA">
        <w:rPr>
          <w:rFonts w:ascii="Times New Roman" w:hAnsi="Times New Roman" w:cs="Times New Roman"/>
          <w:b/>
          <w:bCs/>
          <w:sz w:val="24"/>
          <w:szCs w:val="24"/>
        </w:rPr>
        <w:t xml:space="preserve"> (2019) </w:t>
      </w:r>
    </w:p>
    <w:tbl>
      <w:tblPr>
        <w:tblStyle w:val="TableGrid"/>
        <w:tblW w:w="0" w:type="auto"/>
        <w:tblLook w:val="04A0" w:firstRow="1" w:lastRow="0" w:firstColumn="1" w:lastColumn="0" w:noHBand="0" w:noVBand="1"/>
      </w:tblPr>
      <w:tblGrid>
        <w:gridCol w:w="1296"/>
        <w:gridCol w:w="1286"/>
        <w:gridCol w:w="1286"/>
        <w:gridCol w:w="1287"/>
        <w:gridCol w:w="1287"/>
        <w:gridCol w:w="1287"/>
        <w:gridCol w:w="1287"/>
      </w:tblGrid>
      <w:tr w:rsidR="000A7BCE" w:rsidRPr="003C54F0" w:rsidTr="0055690A">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Ultra-Electronics</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2015</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2016</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2017</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2018</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2019</w:t>
            </w:r>
          </w:p>
        </w:tc>
        <w:tc>
          <w:tcPr>
            <w:tcW w:w="1288" w:type="dxa"/>
          </w:tcPr>
          <w:p w:rsidR="000A7BCE"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QinetiQ 2019</w:t>
            </w:r>
          </w:p>
        </w:tc>
      </w:tr>
      <w:tr w:rsidR="000A7BCE" w:rsidRPr="003C54F0" w:rsidTr="0055690A">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Gross </w:t>
            </w:r>
            <w:r w:rsidR="00AB3998" w:rsidRPr="003C54F0">
              <w:rPr>
                <w:rFonts w:ascii="Times New Roman" w:hAnsi="Times New Roman" w:cs="Times New Roman"/>
                <w:sz w:val="24"/>
                <w:szCs w:val="24"/>
              </w:rPr>
              <w:t>Margin (</w:t>
            </w:r>
            <w:r w:rsidR="00E970AE" w:rsidRPr="003C54F0">
              <w:rPr>
                <w:rFonts w:ascii="Times New Roman" w:hAnsi="Times New Roman" w:cs="Times New Roman"/>
                <w:sz w:val="24"/>
                <w:szCs w:val="24"/>
              </w:rPr>
              <w:t>%)</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0.31</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0.31</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0.29</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0.28</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0A7BCE" w:rsidRPr="003C54F0">
              <w:rPr>
                <w:rFonts w:ascii="Times New Roman" w:hAnsi="Times New Roman" w:cs="Times New Roman"/>
                <w:sz w:val="24"/>
                <w:szCs w:val="24"/>
              </w:rPr>
              <w:t>.</w:t>
            </w:r>
            <w:r w:rsidRPr="003C54F0">
              <w:rPr>
                <w:rFonts w:ascii="Times New Roman" w:hAnsi="Times New Roman" w:cs="Times New Roman"/>
                <w:sz w:val="24"/>
                <w:szCs w:val="24"/>
              </w:rPr>
              <w:t>28</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p>
        </w:tc>
      </w:tr>
      <w:tr w:rsidR="000A7BCE" w:rsidRPr="003C54F0" w:rsidTr="0055690A">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Operating </w:t>
            </w:r>
            <w:r w:rsidR="00AB3998" w:rsidRPr="003C54F0">
              <w:rPr>
                <w:rFonts w:ascii="Times New Roman" w:hAnsi="Times New Roman" w:cs="Times New Roman"/>
                <w:sz w:val="24"/>
                <w:szCs w:val="24"/>
              </w:rPr>
              <w:t>Margin (</w:t>
            </w:r>
            <w:r w:rsidR="00E970AE" w:rsidRPr="003C54F0">
              <w:rPr>
                <w:rFonts w:ascii="Times New Roman" w:hAnsi="Times New Roman" w:cs="Times New Roman"/>
                <w:sz w:val="24"/>
                <w:szCs w:val="24"/>
              </w:rPr>
              <w:t>%)</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0.09</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0.11</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0.07</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C503E0" w:rsidRPr="003C54F0">
              <w:rPr>
                <w:rFonts w:ascii="Times New Roman" w:hAnsi="Times New Roman" w:cs="Times New Roman"/>
                <w:sz w:val="24"/>
                <w:szCs w:val="24"/>
              </w:rPr>
              <w:t>08</w:t>
            </w:r>
          </w:p>
        </w:tc>
        <w:tc>
          <w:tcPr>
            <w:tcW w:w="1288" w:type="dxa"/>
          </w:tcPr>
          <w:p w:rsidR="000A7BCE"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0.11</w:t>
            </w:r>
          </w:p>
        </w:tc>
        <w:tc>
          <w:tcPr>
            <w:tcW w:w="1288" w:type="dxa"/>
          </w:tcPr>
          <w:p w:rsidR="000A7BCE"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0.13</w:t>
            </w:r>
          </w:p>
        </w:tc>
      </w:tr>
      <w:tr w:rsidR="000A7BCE" w:rsidRPr="003C54F0" w:rsidTr="0055690A">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Net Profit </w:t>
            </w:r>
            <w:r w:rsidR="00AB3998" w:rsidRPr="003C54F0">
              <w:rPr>
                <w:rFonts w:ascii="Times New Roman" w:hAnsi="Times New Roman" w:cs="Times New Roman"/>
                <w:sz w:val="24"/>
                <w:szCs w:val="24"/>
              </w:rPr>
              <w:t>Margin (</w:t>
            </w:r>
            <w:r w:rsidR="00E970AE" w:rsidRPr="003C54F0">
              <w:rPr>
                <w:rFonts w:ascii="Times New Roman" w:hAnsi="Times New Roman" w:cs="Times New Roman"/>
                <w:sz w:val="24"/>
                <w:szCs w:val="24"/>
              </w:rPr>
              <w:t>%)</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C503E0" w:rsidRPr="003C54F0">
              <w:rPr>
                <w:rFonts w:ascii="Times New Roman" w:hAnsi="Times New Roman" w:cs="Times New Roman"/>
                <w:sz w:val="24"/>
                <w:szCs w:val="24"/>
              </w:rPr>
              <w:t>03</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C503E0" w:rsidRPr="003C54F0">
              <w:rPr>
                <w:rFonts w:ascii="Times New Roman" w:hAnsi="Times New Roman" w:cs="Times New Roman"/>
                <w:sz w:val="24"/>
                <w:szCs w:val="24"/>
              </w:rPr>
              <w:t>07</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C503E0" w:rsidRPr="003C54F0">
              <w:rPr>
                <w:rFonts w:ascii="Times New Roman" w:hAnsi="Times New Roman" w:cs="Times New Roman"/>
                <w:sz w:val="24"/>
                <w:szCs w:val="24"/>
              </w:rPr>
              <w:t>06</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C503E0" w:rsidRPr="003C54F0">
              <w:rPr>
                <w:rFonts w:ascii="Times New Roman" w:hAnsi="Times New Roman" w:cs="Times New Roman"/>
                <w:sz w:val="24"/>
                <w:szCs w:val="24"/>
              </w:rPr>
              <w:t>04</w:t>
            </w:r>
          </w:p>
        </w:tc>
        <w:tc>
          <w:tcPr>
            <w:tcW w:w="1288" w:type="dxa"/>
          </w:tcPr>
          <w:p w:rsidR="000A7BCE" w:rsidRPr="003C54F0" w:rsidRDefault="000A7BCE"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w:t>
            </w:r>
            <w:r w:rsidR="00C503E0" w:rsidRPr="003C54F0">
              <w:rPr>
                <w:rFonts w:ascii="Times New Roman" w:hAnsi="Times New Roman" w:cs="Times New Roman"/>
                <w:sz w:val="24"/>
                <w:szCs w:val="24"/>
              </w:rPr>
              <w:t>09</w:t>
            </w:r>
          </w:p>
        </w:tc>
        <w:tc>
          <w:tcPr>
            <w:tcW w:w="1288" w:type="dxa"/>
          </w:tcPr>
          <w:p w:rsidR="000A7BCE"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0.12</w:t>
            </w:r>
          </w:p>
        </w:tc>
      </w:tr>
    </w:tbl>
    <w:p w:rsidR="000A7BCE" w:rsidRPr="003C54F0" w:rsidRDefault="000A7BCE" w:rsidP="003C54F0">
      <w:pPr>
        <w:spacing w:line="360" w:lineRule="auto"/>
        <w:jc w:val="both"/>
        <w:rPr>
          <w:rFonts w:ascii="Times New Roman" w:hAnsi="Times New Roman" w:cs="Times New Roman"/>
          <w:sz w:val="24"/>
          <w:szCs w:val="24"/>
        </w:rPr>
      </w:pPr>
    </w:p>
    <w:p w:rsidR="00BE5FF1" w:rsidRPr="003C54F0" w:rsidRDefault="00BE5FF1"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Profitability ratios are used to measure a company's ability to generate profits in relation to its sales, operating costs, balance sheet assets, and shareholders' equity during a giving time period.</w:t>
      </w:r>
      <w:r w:rsidR="0004353C" w:rsidRPr="003C54F0">
        <w:rPr>
          <w:rFonts w:ascii="Times New Roman" w:hAnsi="Times New Roman" w:cs="Times New Roman"/>
          <w:sz w:val="24"/>
          <w:szCs w:val="24"/>
        </w:rPr>
        <w:t xml:space="preserve"> </w:t>
      </w:r>
    </w:p>
    <w:p w:rsidR="0004353C" w:rsidRPr="003C54F0" w:rsidRDefault="0004353C"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The Gross margin indicates how much a company earns from each pound of sales after paying for the items sold. Gross margin for Ultra Electronics has been dropping slightly</w:t>
      </w:r>
      <w:r w:rsidR="002B5A21" w:rsidRPr="003C54F0">
        <w:rPr>
          <w:rFonts w:ascii="Times New Roman" w:hAnsi="Times New Roman" w:cs="Times New Roman"/>
          <w:sz w:val="24"/>
          <w:szCs w:val="24"/>
        </w:rPr>
        <w:t xml:space="preserve">. From 2015-2016, Gross margin remained at </w:t>
      </w:r>
      <w:r w:rsidR="00F97482" w:rsidRPr="003C54F0">
        <w:rPr>
          <w:rFonts w:ascii="Times New Roman" w:hAnsi="Times New Roman" w:cs="Times New Roman"/>
          <w:sz w:val="24"/>
          <w:szCs w:val="24"/>
        </w:rPr>
        <w:t>0.</w:t>
      </w:r>
      <w:r w:rsidR="002B5A21" w:rsidRPr="003C54F0">
        <w:rPr>
          <w:rFonts w:ascii="Times New Roman" w:hAnsi="Times New Roman" w:cs="Times New Roman"/>
          <w:sz w:val="24"/>
          <w:szCs w:val="24"/>
        </w:rPr>
        <w:t>31</w:t>
      </w:r>
      <w:r w:rsidR="009A588C" w:rsidRPr="003C54F0">
        <w:rPr>
          <w:rFonts w:ascii="Times New Roman" w:hAnsi="Times New Roman" w:cs="Times New Roman"/>
          <w:sz w:val="24"/>
          <w:szCs w:val="24"/>
        </w:rPr>
        <w:t xml:space="preserve"> for every pound of sale</w:t>
      </w:r>
      <w:r w:rsidR="00226193" w:rsidRPr="003C54F0">
        <w:rPr>
          <w:rFonts w:ascii="Times New Roman" w:hAnsi="Times New Roman" w:cs="Times New Roman"/>
          <w:sz w:val="24"/>
          <w:szCs w:val="24"/>
        </w:rPr>
        <w:t>,</w:t>
      </w:r>
      <w:r w:rsidR="009A588C" w:rsidRPr="003C54F0">
        <w:rPr>
          <w:rFonts w:ascii="Times New Roman" w:hAnsi="Times New Roman" w:cs="Times New Roman"/>
          <w:sz w:val="24"/>
          <w:szCs w:val="24"/>
        </w:rPr>
        <w:t xml:space="preserve"> this dropped</w:t>
      </w:r>
      <w:r w:rsidR="002B5A21" w:rsidRPr="003C54F0">
        <w:rPr>
          <w:rFonts w:ascii="Times New Roman" w:hAnsi="Times New Roman" w:cs="Times New Roman"/>
          <w:sz w:val="24"/>
          <w:szCs w:val="24"/>
        </w:rPr>
        <w:t xml:space="preserve"> in 2017 to </w:t>
      </w:r>
      <w:r w:rsidR="00F97482" w:rsidRPr="003C54F0">
        <w:rPr>
          <w:rFonts w:ascii="Times New Roman" w:hAnsi="Times New Roman" w:cs="Times New Roman"/>
          <w:sz w:val="24"/>
          <w:szCs w:val="24"/>
        </w:rPr>
        <w:t>0.</w:t>
      </w:r>
      <w:r w:rsidR="002B5A21" w:rsidRPr="003C54F0">
        <w:rPr>
          <w:rFonts w:ascii="Times New Roman" w:hAnsi="Times New Roman" w:cs="Times New Roman"/>
          <w:sz w:val="24"/>
          <w:szCs w:val="24"/>
        </w:rPr>
        <w:t xml:space="preserve">29 then </w:t>
      </w:r>
      <w:r w:rsidR="00F97482" w:rsidRPr="003C54F0">
        <w:rPr>
          <w:rFonts w:ascii="Times New Roman" w:hAnsi="Times New Roman" w:cs="Times New Roman"/>
          <w:sz w:val="24"/>
          <w:szCs w:val="24"/>
        </w:rPr>
        <w:t>0.</w:t>
      </w:r>
      <w:r w:rsidR="002B5A21" w:rsidRPr="003C54F0">
        <w:rPr>
          <w:rFonts w:ascii="Times New Roman" w:hAnsi="Times New Roman" w:cs="Times New Roman"/>
          <w:sz w:val="24"/>
          <w:szCs w:val="24"/>
        </w:rPr>
        <w:t>28 in 2018 and 2019 respectively</w:t>
      </w:r>
      <w:r w:rsidR="00226193" w:rsidRPr="003C54F0">
        <w:rPr>
          <w:rFonts w:ascii="Times New Roman" w:hAnsi="Times New Roman" w:cs="Times New Roman"/>
          <w:sz w:val="24"/>
          <w:szCs w:val="24"/>
        </w:rPr>
        <w:t>. The drop in Gross margin results from increase in cost of sale from 2015-2019</w:t>
      </w:r>
      <w:r w:rsidR="00E117E7" w:rsidRPr="003C54F0">
        <w:rPr>
          <w:rFonts w:ascii="Times New Roman" w:hAnsi="Times New Roman" w:cs="Times New Roman"/>
          <w:sz w:val="24"/>
          <w:szCs w:val="24"/>
        </w:rPr>
        <w:t>.</w:t>
      </w:r>
    </w:p>
    <w:p w:rsidR="0004353C" w:rsidRPr="003C54F0" w:rsidRDefault="00E117E7"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Operating margin looks at how much a company makes before interest and taxes from each pound of sales. </w:t>
      </w:r>
      <w:r w:rsidR="00810B76" w:rsidRPr="003C54F0">
        <w:rPr>
          <w:rFonts w:ascii="Times New Roman" w:hAnsi="Times New Roman" w:cs="Times New Roman"/>
          <w:sz w:val="24"/>
          <w:szCs w:val="24"/>
        </w:rPr>
        <w:t xml:space="preserve">This profit margin has been fluctuating for Ultra. </w:t>
      </w:r>
      <w:r w:rsidR="00EF39AE" w:rsidRPr="003C54F0">
        <w:rPr>
          <w:rFonts w:ascii="Times New Roman" w:hAnsi="Times New Roman" w:cs="Times New Roman"/>
          <w:sz w:val="24"/>
          <w:szCs w:val="24"/>
        </w:rPr>
        <w:t>Operating margin for every pound of sale</w:t>
      </w:r>
      <w:r w:rsidR="00810B76" w:rsidRPr="003C54F0">
        <w:rPr>
          <w:rFonts w:ascii="Times New Roman" w:hAnsi="Times New Roman" w:cs="Times New Roman"/>
          <w:sz w:val="24"/>
          <w:szCs w:val="24"/>
        </w:rPr>
        <w:t xml:space="preserve"> increased from </w:t>
      </w:r>
      <w:r w:rsidR="00F97482" w:rsidRPr="003C54F0">
        <w:rPr>
          <w:rFonts w:ascii="Times New Roman" w:hAnsi="Times New Roman" w:cs="Times New Roman"/>
          <w:sz w:val="24"/>
          <w:szCs w:val="24"/>
        </w:rPr>
        <w:t>0.0</w:t>
      </w:r>
      <w:r w:rsidR="00810B76" w:rsidRPr="003C54F0">
        <w:rPr>
          <w:rFonts w:ascii="Times New Roman" w:hAnsi="Times New Roman" w:cs="Times New Roman"/>
          <w:sz w:val="24"/>
          <w:szCs w:val="24"/>
        </w:rPr>
        <w:t xml:space="preserve">9 in 2015 to </w:t>
      </w:r>
      <w:r w:rsidR="00F97482" w:rsidRPr="003C54F0">
        <w:rPr>
          <w:rFonts w:ascii="Times New Roman" w:hAnsi="Times New Roman" w:cs="Times New Roman"/>
          <w:sz w:val="24"/>
          <w:szCs w:val="24"/>
        </w:rPr>
        <w:t>0.</w:t>
      </w:r>
      <w:r w:rsidR="00810B76" w:rsidRPr="003C54F0">
        <w:rPr>
          <w:rFonts w:ascii="Times New Roman" w:hAnsi="Times New Roman" w:cs="Times New Roman"/>
          <w:sz w:val="24"/>
          <w:szCs w:val="24"/>
        </w:rPr>
        <w:t>1</w:t>
      </w:r>
      <w:r w:rsidR="00144957" w:rsidRPr="003C54F0">
        <w:rPr>
          <w:rFonts w:ascii="Times New Roman" w:hAnsi="Times New Roman" w:cs="Times New Roman"/>
          <w:sz w:val="24"/>
          <w:szCs w:val="24"/>
        </w:rPr>
        <w:t>1</w:t>
      </w:r>
      <w:r w:rsidR="00810B76" w:rsidRPr="003C54F0">
        <w:rPr>
          <w:rFonts w:ascii="Times New Roman" w:hAnsi="Times New Roman" w:cs="Times New Roman"/>
          <w:sz w:val="24"/>
          <w:szCs w:val="24"/>
        </w:rPr>
        <w:t xml:space="preserve"> in 2016</w:t>
      </w:r>
      <w:r w:rsidR="00EF39AE" w:rsidRPr="003C54F0">
        <w:rPr>
          <w:rFonts w:ascii="Times New Roman" w:hAnsi="Times New Roman" w:cs="Times New Roman"/>
          <w:sz w:val="24"/>
          <w:szCs w:val="24"/>
        </w:rPr>
        <w:t xml:space="preserve">. This </w:t>
      </w:r>
      <w:r w:rsidR="00810B76" w:rsidRPr="003C54F0">
        <w:rPr>
          <w:rFonts w:ascii="Times New Roman" w:hAnsi="Times New Roman" w:cs="Times New Roman"/>
          <w:sz w:val="24"/>
          <w:szCs w:val="24"/>
        </w:rPr>
        <w:t xml:space="preserve">decreased to </w:t>
      </w:r>
      <w:r w:rsidR="00F97482" w:rsidRPr="003C54F0">
        <w:rPr>
          <w:rFonts w:ascii="Times New Roman" w:hAnsi="Times New Roman" w:cs="Times New Roman"/>
          <w:sz w:val="24"/>
          <w:szCs w:val="24"/>
        </w:rPr>
        <w:t>0.0</w:t>
      </w:r>
      <w:r w:rsidR="00810B76" w:rsidRPr="003C54F0">
        <w:rPr>
          <w:rFonts w:ascii="Times New Roman" w:hAnsi="Times New Roman" w:cs="Times New Roman"/>
          <w:sz w:val="24"/>
          <w:szCs w:val="24"/>
        </w:rPr>
        <w:t xml:space="preserve">7 in 2017 then moved up to </w:t>
      </w:r>
      <w:r w:rsidR="00F97482" w:rsidRPr="003C54F0">
        <w:rPr>
          <w:rFonts w:ascii="Times New Roman" w:hAnsi="Times New Roman" w:cs="Times New Roman"/>
          <w:sz w:val="24"/>
          <w:szCs w:val="24"/>
        </w:rPr>
        <w:t>0.0</w:t>
      </w:r>
      <w:r w:rsidR="00810B76" w:rsidRPr="003C54F0">
        <w:rPr>
          <w:rFonts w:ascii="Times New Roman" w:hAnsi="Times New Roman" w:cs="Times New Roman"/>
          <w:sz w:val="24"/>
          <w:szCs w:val="24"/>
        </w:rPr>
        <w:t xml:space="preserve">8 in 2018 and further increased to </w:t>
      </w:r>
      <w:r w:rsidR="00F97482" w:rsidRPr="003C54F0">
        <w:rPr>
          <w:rFonts w:ascii="Times New Roman" w:hAnsi="Times New Roman" w:cs="Times New Roman"/>
          <w:sz w:val="24"/>
          <w:szCs w:val="24"/>
        </w:rPr>
        <w:t>0.</w:t>
      </w:r>
      <w:r w:rsidR="00810B76" w:rsidRPr="003C54F0">
        <w:rPr>
          <w:rFonts w:ascii="Times New Roman" w:hAnsi="Times New Roman" w:cs="Times New Roman"/>
          <w:sz w:val="24"/>
          <w:szCs w:val="24"/>
        </w:rPr>
        <w:t>11 in 2019.</w:t>
      </w:r>
      <w:r w:rsidR="00CE2670" w:rsidRPr="003C54F0">
        <w:rPr>
          <w:rFonts w:ascii="Times New Roman" w:hAnsi="Times New Roman" w:cs="Times New Roman"/>
          <w:sz w:val="24"/>
          <w:szCs w:val="24"/>
        </w:rPr>
        <w:t xml:space="preserve"> QinetiQ on the other hand</w:t>
      </w:r>
      <w:r w:rsidR="00C45A51" w:rsidRPr="003C54F0">
        <w:rPr>
          <w:rFonts w:ascii="Times New Roman" w:hAnsi="Times New Roman" w:cs="Times New Roman"/>
          <w:sz w:val="24"/>
          <w:szCs w:val="24"/>
        </w:rPr>
        <w:t xml:space="preserve"> with a higher revenue</w:t>
      </w:r>
      <w:r w:rsidR="00CE2670" w:rsidRPr="003C54F0">
        <w:rPr>
          <w:rFonts w:ascii="Times New Roman" w:hAnsi="Times New Roman" w:cs="Times New Roman"/>
          <w:sz w:val="24"/>
          <w:szCs w:val="24"/>
        </w:rPr>
        <w:t xml:space="preserve"> is at </w:t>
      </w:r>
      <w:r w:rsidR="00F97482" w:rsidRPr="003C54F0">
        <w:rPr>
          <w:rFonts w:ascii="Times New Roman" w:hAnsi="Times New Roman" w:cs="Times New Roman"/>
          <w:sz w:val="24"/>
          <w:szCs w:val="24"/>
        </w:rPr>
        <w:t>0.</w:t>
      </w:r>
      <w:r w:rsidR="00CE2670" w:rsidRPr="003C54F0">
        <w:rPr>
          <w:rFonts w:ascii="Times New Roman" w:hAnsi="Times New Roman" w:cs="Times New Roman"/>
          <w:sz w:val="24"/>
          <w:szCs w:val="24"/>
        </w:rPr>
        <w:t>13</w:t>
      </w:r>
      <w:r w:rsidR="00C45A51" w:rsidRPr="003C54F0">
        <w:rPr>
          <w:rFonts w:ascii="Times New Roman" w:hAnsi="Times New Roman" w:cs="Times New Roman"/>
          <w:sz w:val="24"/>
          <w:szCs w:val="24"/>
        </w:rPr>
        <w:t xml:space="preserve"> (</w:t>
      </w:r>
      <w:r w:rsidR="00CE2670" w:rsidRPr="003C54F0">
        <w:rPr>
          <w:rFonts w:ascii="Times New Roman" w:hAnsi="Times New Roman" w:cs="Times New Roman"/>
          <w:sz w:val="24"/>
          <w:szCs w:val="24"/>
        </w:rPr>
        <w:t xml:space="preserve">2019) </w:t>
      </w:r>
      <w:r w:rsidR="00C45A51" w:rsidRPr="003C54F0">
        <w:rPr>
          <w:rFonts w:ascii="Times New Roman" w:hAnsi="Times New Roman" w:cs="Times New Roman"/>
          <w:sz w:val="24"/>
          <w:szCs w:val="24"/>
        </w:rPr>
        <w:t>showing it is slightly better than</w:t>
      </w:r>
      <w:r w:rsidR="00CE2670" w:rsidRPr="003C54F0">
        <w:rPr>
          <w:rFonts w:ascii="Times New Roman" w:hAnsi="Times New Roman" w:cs="Times New Roman"/>
          <w:sz w:val="24"/>
          <w:szCs w:val="24"/>
        </w:rPr>
        <w:t xml:space="preserve"> Ultra</w:t>
      </w:r>
      <w:r w:rsidR="00C45A51" w:rsidRPr="003C54F0">
        <w:rPr>
          <w:rFonts w:ascii="Times New Roman" w:hAnsi="Times New Roman" w:cs="Times New Roman"/>
          <w:sz w:val="24"/>
          <w:szCs w:val="24"/>
        </w:rPr>
        <w:t>.</w:t>
      </w:r>
      <w:r w:rsidR="00CE2670" w:rsidRPr="003C54F0">
        <w:rPr>
          <w:rFonts w:ascii="Times New Roman" w:hAnsi="Times New Roman" w:cs="Times New Roman"/>
          <w:sz w:val="24"/>
          <w:szCs w:val="24"/>
        </w:rPr>
        <w:t xml:space="preserve"> </w:t>
      </w:r>
    </w:p>
    <w:p w:rsidR="00BE5FF1" w:rsidRPr="003C54F0" w:rsidRDefault="00CE267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Net Profit Margin is the fraction of every pound in revenues that is available to equity holders after interest and taxes have been paid.</w:t>
      </w:r>
      <w:r w:rsidR="00EF39AE" w:rsidRPr="003C54F0">
        <w:rPr>
          <w:rFonts w:ascii="Times New Roman" w:hAnsi="Times New Roman" w:cs="Times New Roman"/>
          <w:sz w:val="24"/>
          <w:szCs w:val="24"/>
        </w:rPr>
        <w:t xml:space="preserve"> For every pound of goods sold,</w:t>
      </w:r>
      <w:r w:rsidR="00C45A51" w:rsidRPr="003C54F0">
        <w:rPr>
          <w:rFonts w:ascii="Times New Roman" w:hAnsi="Times New Roman" w:cs="Times New Roman"/>
          <w:sz w:val="24"/>
          <w:szCs w:val="24"/>
        </w:rPr>
        <w:t xml:space="preserve"> Ultra had a net profit </w:t>
      </w:r>
      <w:r w:rsidR="00C45A51" w:rsidRPr="003C54F0">
        <w:rPr>
          <w:rFonts w:ascii="Times New Roman" w:hAnsi="Times New Roman" w:cs="Times New Roman"/>
          <w:sz w:val="24"/>
          <w:szCs w:val="24"/>
        </w:rPr>
        <w:lastRenderedPageBreak/>
        <w:t xml:space="preserve">of </w:t>
      </w:r>
      <w:r w:rsidR="00F97482" w:rsidRPr="003C54F0">
        <w:rPr>
          <w:rFonts w:ascii="Times New Roman" w:hAnsi="Times New Roman" w:cs="Times New Roman"/>
          <w:sz w:val="24"/>
          <w:szCs w:val="24"/>
        </w:rPr>
        <w:t>0.0</w:t>
      </w:r>
      <w:r w:rsidR="00C45A51" w:rsidRPr="003C54F0">
        <w:rPr>
          <w:rFonts w:ascii="Times New Roman" w:hAnsi="Times New Roman" w:cs="Times New Roman"/>
          <w:sz w:val="24"/>
          <w:szCs w:val="24"/>
        </w:rPr>
        <w:t xml:space="preserve">3 </w:t>
      </w:r>
      <w:r w:rsidR="00EF39AE" w:rsidRPr="003C54F0">
        <w:rPr>
          <w:rFonts w:ascii="Times New Roman" w:hAnsi="Times New Roman" w:cs="Times New Roman"/>
          <w:sz w:val="24"/>
          <w:szCs w:val="24"/>
        </w:rPr>
        <w:t xml:space="preserve">in 2015 </w:t>
      </w:r>
      <w:r w:rsidR="00C45A51" w:rsidRPr="003C54F0">
        <w:rPr>
          <w:rFonts w:ascii="Times New Roman" w:hAnsi="Times New Roman" w:cs="Times New Roman"/>
          <w:sz w:val="24"/>
          <w:szCs w:val="24"/>
        </w:rPr>
        <w:t xml:space="preserve">which increased to </w:t>
      </w:r>
      <w:r w:rsidR="00F97482" w:rsidRPr="003C54F0">
        <w:rPr>
          <w:rFonts w:ascii="Times New Roman" w:hAnsi="Times New Roman" w:cs="Times New Roman"/>
          <w:sz w:val="24"/>
          <w:szCs w:val="24"/>
        </w:rPr>
        <w:t>0.0</w:t>
      </w:r>
      <w:r w:rsidR="00C45A51" w:rsidRPr="003C54F0">
        <w:rPr>
          <w:rFonts w:ascii="Times New Roman" w:hAnsi="Times New Roman" w:cs="Times New Roman"/>
          <w:sz w:val="24"/>
          <w:szCs w:val="24"/>
        </w:rPr>
        <w:t>7 in 2016 due to an increase in sales.</w:t>
      </w:r>
      <w:r w:rsidR="003C7BD7" w:rsidRPr="003C54F0">
        <w:rPr>
          <w:rFonts w:ascii="Times New Roman" w:hAnsi="Times New Roman" w:cs="Times New Roman"/>
          <w:sz w:val="24"/>
          <w:szCs w:val="24"/>
        </w:rPr>
        <w:t xml:space="preserve"> </w:t>
      </w:r>
      <w:r w:rsidR="00EF39AE" w:rsidRPr="003C54F0">
        <w:rPr>
          <w:rFonts w:ascii="Times New Roman" w:hAnsi="Times New Roman" w:cs="Times New Roman"/>
          <w:sz w:val="24"/>
          <w:szCs w:val="24"/>
        </w:rPr>
        <w:t>T</w:t>
      </w:r>
      <w:r w:rsidR="003C7BD7" w:rsidRPr="003C54F0">
        <w:rPr>
          <w:rFonts w:ascii="Times New Roman" w:hAnsi="Times New Roman" w:cs="Times New Roman"/>
          <w:sz w:val="24"/>
          <w:szCs w:val="24"/>
        </w:rPr>
        <w:t xml:space="preserve">he net profit margin decreased to </w:t>
      </w:r>
      <w:r w:rsidR="00F97482" w:rsidRPr="003C54F0">
        <w:rPr>
          <w:rFonts w:ascii="Times New Roman" w:hAnsi="Times New Roman" w:cs="Times New Roman"/>
          <w:sz w:val="24"/>
          <w:szCs w:val="24"/>
        </w:rPr>
        <w:t>0.0</w:t>
      </w:r>
      <w:r w:rsidR="003C7BD7" w:rsidRPr="003C54F0">
        <w:rPr>
          <w:rFonts w:ascii="Times New Roman" w:hAnsi="Times New Roman" w:cs="Times New Roman"/>
          <w:sz w:val="24"/>
          <w:szCs w:val="24"/>
        </w:rPr>
        <w:t xml:space="preserve">6 in 2017 and further went down to </w:t>
      </w:r>
      <w:r w:rsidR="00F97482" w:rsidRPr="003C54F0">
        <w:rPr>
          <w:rFonts w:ascii="Times New Roman" w:hAnsi="Times New Roman" w:cs="Times New Roman"/>
          <w:sz w:val="24"/>
          <w:szCs w:val="24"/>
        </w:rPr>
        <w:t>0.0</w:t>
      </w:r>
      <w:r w:rsidR="003C7BD7" w:rsidRPr="003C54F0">
        <w:rPr>
          <w:rFonts w:ascii="Times New Roman" w:hAnsi="Times New Roman" w:cs="Times New Roman"/>
          <w:sz w:val="24"/>
          <w:szCs w:val="24"/>
        </w:rPr>
        <w:t>4 in 2018 as sales also fell during this period.</w:t>
      </w:r>
      <w:r w:rsidR="00D42212" w:rsidRPr="003C54F0">
        <w:rPr>
          <w:rFonts w:ascii="Times New Roman" w:hAnsi="Times New Roman" w:cs="Times New Roman"/>
          <w:sz w:val="24"/>
          <w:szCs w:val="24"/>
        </w:rPr>
        <w:t xml:space="preserve"> 2019 saw an increase in sales and hence increase net profit to </w:t>
      </w:r>
      <w:r w:rsidR="00F97482" w:rsidRPr="003C54F0">
        <w:rPr>
          <w:rFonts w:ascii="Times New Roman" w:hAnsi="Times New Roman" w:cs="Times New Roman"/>
          <w:sz w:val="24"/>
          <w:szCs w:val="24"/>
        </w:rPr>
        <w:t>0.0</w:t>
      </w:r>
      <w:r w:rsidR="00D42212" w:rsidRPr="003C54F0">
        <w:rPr>
          <w:rFonts w:ascii="Times New Roman" w:hAnsi="Times New Roman" w:cs="Times New Roman"/>
          <w:sz w:val="24"/>
          <w:szCs w:val="24"/>
        </w:rPr>
        <w:t xml:space="preserve">9. The fluctuating nature of profitability for Ultra could result from increasing cost of sales and ineffective management. </w:t>
      </w:r>
      <w:r w:rsidR="000218FB" w:rsidRPr="003C54F0">
        <w:rPr>
          <w:rFonts w:ascii="Times New Roman" w:hAnsi="Times New Roman" w:cs="Times New Roman"/>
          <w:sz w:val="24"/>
          <w:szCs w:val="24"/>
        </w:rPr>
        <w:t xml:space="preserve">QinetiQ at </w:t>
      </w:r>
      <w:r w:rsidR="00F97482" w:rsidRPr="003C54F0">
        <w:rPr>
          <w:rFonts w:ascii="Times New Roman" w:hAnsi="Times New Roman" w:cs="Times New Roman"/>
          <w:sz w:val="24"/>
          <w:szCs w:val="24"/>
        </w:rPr>
        <w:t>0.</w:t>
      </w:r>
      <w:r w:rsidR="000218FB" w:rsidRPr="003C54F0">
        <w:rPr>
          <w:rFonts w:ascii="Times New Roman" w:hAnsi="Times New Roman" w:cs="Times New Roman"/>
          <w:sz w:val="24"/>
          <w:szCs w:val="24"/>
        </w:rPr>
        <w:t xml:space="preserve">12 in 2019 had a higher net profit margin and sales compare to Ultra at </w:t>
      </w:r>
      <w:r w:rsidR="0073654F" w:rsidRPr="003C54F0">
        <w:rPr>
          <w:rFonts w:ascii="Times New Roman" w:hAnsi="Times New Roman" w:cs="Times New Roman"/>
          <w:sz w:val="24"/>
          <w:szCs w:val="24"/>
        </w:rPr>
        <w:t>0.0</w:t>
      </w:r>
      <w:r w:rsidR="000218FB" w:rsidRPr="003C54F0">
        <w:rPr>
          <w:rFonts w:ascii="Times New Roman" w:hAnsi="Times New Roman" w:cs="Times New Roman"/>
          <w:sz w:val="24"/>
          <w:szCs w:val="24"/>
        </w:rPr>
        <w:t xml:space="preserve">9 in the same year. </w:t>
      </w:r>
      <w:r w:rsidR="00573A65">
        <w:rPr>
          <w:rFonts w:ascii="Times New Roman" w:hAnsi="Times New Roman" w:cs="Times New Roman"/>
          <w:sz w:val="24"/>
          <w:szCs w:val="24"/>
        </w:rPr>
        <w:t xml:space="preserve">For Ultra to increase profits, it should that the cost of sale is reduced. This is because looking at the balance sheet one would </w:t>
      </w:r>
      <w:r w:rsidR="00C61BA6">
        <w:rPr>
          <w:rFonts w:ascii="Times New Roman" w:hAnsi="Times New Roman" w:cs="Times New Roman"/>
          <w:sz w:val="24"/>
          <w:szCs w:val="24"/>
        </w:rPr>
        <w:t>realise</w:t>
      </w:r>
      <w:r w:rsidR="00573A65">
        <w:rPr>
          <w:rFonts w:ascii="Times New Roman" w:hAnsi="Times New Roman" w:cs="Times New Roman"/>
          <w:sz w:val="24"/>
          <w:szCs w:val="24"/>
        </w:rPr>
        <w:t xml:space="preserve"> that the cost of sales increases even in periods were revenue is decreasing.</w:t>
      </w:r>
    </w:p>
    <w:p w:rsidR="00C503E0" w:rsidRPr="00141FDA" w:rsidRDefault="00C503E0" w:rsidP="003C54F0">
      <w:pPr>
        <w:spacing w:line="360" w:lineRule="auto"/>
        <w:jc w:val="both"/>
        <w:rPr>
          <w:rFonts w:ascii="Times New Roman" w:hAnsi="Times New Roman" w:cs="Times New Roman"/>
          <w:b/>
          <w:bCs/>
          <w:sz w:val="24"/>
          <w:szCs w:val="24"/>
        </w:rPr>
      </w:pPr>
      <w:bookmarkStart w:id="0" w:name="_Hlk41265643"/>
      <w:r w:rsidRPr="00141FDA">
        <w:rPr>
          <w:rFonts w:ascii="Times New Roman" w:hAnsi="Times New Roman" w:cs="Times New Roman"/>
          <w:b/>
          <w:bCs/>
          <w:sz w:val="24"/>
          <w:szCs w:val="24"/>
        </w:rPr>
        <w:t>Tab.</w:t>
      </w:r>
      <w:r w:rsidR="00E27414" w:rsidRPr="00141FDA">
        <w:rPr>
          <w:rFonts w:ascii="Times New Roman" w:hAnsi="Times New Roman" w:cs="Times New Roman"/>
          <w:b/>
          <w:bCs/>
          <w:sz w:val="24"/>
          <w:szCs w:val="24"/>
        </w:rPr>
        <w:t>3</w:t>
      </w:r>
      <w:r w:rsidRPr="00141FDA">
        <w:rPr>
          <w:rFonts w:ascii="Times New Roman" w:hAnsi="Times New Roman" w:cs="Times New Roman"/>
          <w:b/>
          <w:bCs/>
          <w:sz w:val="24"/>
          <w:szCs w:val="24"/>
        </w:rPr>
        <w:t xml:space="preserve"> Gearing Ratios of Ultra Electronics (2015 - 2019) and </w:t>
      </w:r>
      <w:r w:rsidR="00EA74C8" w:rsidRPr="00141FDA">
        <w:rPr>
          <w:rFonts w:ascii="Times New Roman" w:hAnsi="Times New Roman" w:cs="Times New Roman"/>
          <w:b/>
          <w:bCs/>
          <w:sz w:val="24"/>
          <w:szCs w:val="24"/>
        </w:rPr>
        <w:t>QinetiQ</w:t>
      </w:r>
      <w:r w:rsidRPr="00141FDA">
        <w:rPr>
          <w:rFonts w:ascii="Times New Roman" w:hAnsi="Times New Roman" w:cs="Times New Roman"/>
          <w:b/>
          <w:bCs/>
          <w:sz w:val="24"/>
          <w:szCs w:val="24"/>
        </w:rPr>
        <w:t xml:space="preserve"> (2019) </w:t>
      </w:r>
    </w:p>
    <w:tbl>
      <w:tblPr>
        <w:tblStyle w:val="TableGrid"/>
        <w:tblW w:w="0" w:type="auto"/>
        <w:tblLook w:val="04A0" w:firstRow="1" w:lastRow="0" w:firstColumn="1" w:lastColumn="0" w:noHBand="0" w:noVBand="1"/>
      </w:tblPr>
      <w:tblGrid>
        <w:gridCol w:w="1296"/>
        <w:gridCol w:w="1286"/>
        <w:gridCol w:w="1287"/>
        <w:gridCol w:w="1287"/>
        <w:gridCol w:w="1287"/>
        <w:gridCol w:w="1287"/>
        <w:gridCol w:w="1286"/>
      </w:tblGrid>
      <w:tr w:rsidR="00C503E0" w:rsidRPr="003C54F0" w:rsidTr="00C503E0">
        <w:tc>
          <w:tcPr>
            <w:tcW w:w="1296" w:type="dxa"/>
          </w:tcPr>
          <w:bookmarkEnd w:id="0"/>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Ultra-Electronics</w:t>
            </w:r>
          </w:p>
        </w:tc>
        <w:tc>
          <w:tcPr>
            <w:tcW w:w="1286"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2015</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2016</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2017</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2018</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2019</w:t>
            </w:r>
          </w:p>
        </w:tc>
        <w:tc>
          <w:tcPr>
            <w:tcW w:w="1286" w:type="dxa"/>
          </w:tcPr>
          <w:p w:rsidR="00C503E0"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QinetiQ 2019</w:t>
            </w:r>
          </w:p>
        </w:tc>
      </w:tr>
      <w:tr w:rsidR="00C503E0" w:rsidRPr="003C54F0" w:rsidTr="00C503E0">
        <w:tc>
          <w:tcPr>
            <w:tcW w:w="1296"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Debt to equity ratio</w:t>
            </w:r>
          </w:p>
        </w:tc>
        <w:tc>
          <w:tcPr>
            <w:tcW w:w="1286"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1.07</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0.91</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0.43</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0.60</w:t>
            </w:r>
          </w:p>
        </w:tc>
        <w:tc>
          <w:tcPr>
            <w:tcW w:w="1287" w:type="dxa"/>
          </w:tcPr>
          <w:p w:rsidR="00C503E0" w:rsidRPr="003C54F0" w:rsidRDefault="00750EAD"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0.55</w:t>
            </w:r>
          </w:p>
        </w:tc>
        <w:tc>
          <w:tcPr>
            <w:tcW w:w="1286" w:type="dxa"/>
          </w:tcPr>
          <w:p w:rsidR="00C503E0" w:rsidRPr="003C54F0" w:rsidRDefault="00C503E0" w:rsidP="003C54F0">
            <w:pPr>
              <w:spacing w:line="360" w:lineRule="auto"/>
              <w:jc w:val="both"/>
              <w:rPr>
                <w:rFonts w:ascii="Times New Roman" w:hAnsi="Times New Roman" w:cs="Times New Roman"/>
                <w:sz w:val="24"/>
                <w:szCs w:val="24"/>
              </w:rPr>
            </w:pPr>
          </w:p>
        </w:tc>
      </w:tr>
      <w:tr w:rsidR="00C503E0" w:rsidRPr="003C54F0" w:rsidTr="00C503E0">
        <w:tc>
          <w:tcPr>
            <w:tcW w:w="1296"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Debt to capital ratio</w:t>
            </w:r>
            <w:r w:rsidR="000116D5" w:rsidRPr="003C54F0">
              <w:rPr>
                <w:rFonts w:ascii="Times New Roman" w:hAnsi="Times New Roman" w:cs="Times New Roman"/>
                <w:sz w:val="24"/>
                <w:szCs w:val="24"/>
              </w:rPr>
              <w:t xml:space="preserve"> </w:t>
            </w:r>
          </w:p>
        </w:tc>
        <w:tc>
          <w:tcPr>
            <w:tcW w:w="1286"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0.51</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0.47</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0.30</w:t>
            </w:r>
          </w:p>
        </w:tc>
        <w:tc>
          <w:tcPr>
            <w:tcW w:w="1287" w:type="dxa"/>
          </w:tcPr>
          <w:p w:rsidR="00C503E0" w:rsidRPr="003C54F0" w:rsidRDefault="00C503E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0.37</w:t>
            </w:r>
          </w:p>
        </w:tc>
        <w:tc>
          <w:tcPr>
            <w:tcW w:w="1287" w:type="dxa"/>
          </w:tcPr>
          <w:p w:rsidR="00C503E0" w:rsidRPr="003C54F0" w:rsidRDefault="00750EAD"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0.35</w:t>
            </w:r>
          </w:p>
        </w:tc>
        <w:tc>
          <w:tcPr>
            <w:tcW w:w="1286" w:type="dxa"/>
          </w:tcPr>
          <w:p w:rsidR="00C503E0" w:rsidRPr="003C54F0" w:rsidRDefault="00C503E0" w:rsidP="003C54F0">
            <w:pPr>
              <w:spacing w:line="360" w:lineRule="auto"/>
              <w:jc w:val="both"/>
              <w:rPr>
                <w:rFonts w:ascii="Times New Roman" w:hAnsi="Times New Roman" w:cs="Times New Roman"/>
                <w:sz w:val="24"/>
                <w:szCs w:val="24"/>
              </w:rPr>
            </w:pPr>
          </w:p>
        </w:tc>
      </w:tr>
    </w:tbl>
    <w:p w:rsidR="000A7BCE" w:rsidRPr="003C54F0" w:rsidRDefault="000A7BCE" w:rsidP="003C54F0">
      <w:pPr>
        <w:spacing w:line="360" w:lineRule="auto"/>
        <w:jc w:val="both"/>
        <w:rPr>
          <w:rFonts w:ascii="Times New Roman" w:hAnsi="Times New Roman" w:cs="Times New Roman"/>
          <w:sz w:val="24"/>
          <w:szCs w:val="24"/>
        </w:rPr>
      </w:pPr>
    </w:p>
    <w:p w:rsidR="0055690A" w:rsidRPr="003C54F0" w:rsidRDefault="00096E2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From the table above one can the gearing ratios for Ultra are </w:t>
      </w:r>
      <w:r w:rsidR="009E78F8" w:rsidRPr="003C54F0">
        <w:rPr>
          <w:rFonts w:ascii="Times New Roman" w:hAnsi="Times New Roman" w:cs="Times New Roman"/>
          <w:sz w:val="24"/>
          <w:szCs w:val="24"/>
        </w:rPr>
        <w:t>fluctuating</w:t>
      </w:r>
      <w:r w:rsidRPr="003C54F0">
        <w:rPr>
          <w:rFonts w:ascii="Times New Roman" w:hAnsi="Times New Roman" w:cs="Times New Roman"/>
          <w:sz w:val="24"/>
          <w:szCs w:val="24"/>
        </w:rPr>
        <w:t xml:space="preserve"> that is it shows increase in some years and decrease in other years.</w:t>
      </w:r>
    </w:p>
    <w:p w:rsidR="009E78F8" w:rsidRPr="003C54F0" w:rsidRDefault="0055690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Debt to Equity ratio evaluates the leverage of total debt </w:t>
      </w:r>
      <w:r w:rsidR="00804458" w:rsidRPr="003C54F0">
        <w:rPr>
          <w:rFonts w:ascii="Times New Roman" w:hAnsi="Times New Roman" w:cs="Times New Roman"/>
          <w:sz w:val="24"/>
          <w:szCs w:val="24"/>
        </w:rPr>
        <w:t>to total</w:t>
      </w:r>
      <w:r w:rsidRPr="003C54F0">
        <w:rPr>
          <w:rFonts w:ascii="Times New Roman" w:hAnsi="Times New Roman" w:cs="Times New Roman"/>
          <w:sz w:val="24"/>
          <w:szCs w:val="24"/>
        </w:rPr>
        <w:t xml:space="preserve"> shareholders’ equity</w:t>
      </w:r>
      <w:r w:rsidR="0086791D" w:rsidRPr="003C54F0">
        <w:rPr>
          <w:rFonts w:ascii="Times New Roman" w:hAnsi="Times New Roman" w:cs="Times New Roman"/>
          <w:sz w:val="24"/>
          <w:szCs w:val="24"/>
        </w:rPr>
        <w:t xml:space="preserve"> and</w:t>
      </w:r>
      <w:r w:rsidRPr="003C54F0">
        <w:rPr>
          <w:rFonts w:ascii="Times New Roman" w:hAnsi="Times New Roman" w:cs="Times New Roman"/>
          <w:sz w:val="24"/>
          <w:szCs w:val="24"/>
        </w:rPr>
        <w:t xml:space="preserve"> highlights the direction to which a firm’s capital structure is inclined to which could either be toward debt or equity financing.</w:t>
      </w:r>
      <w:r w:rsidR="0086791D" w:rsidRPr="003C54F0">
        <w:rPr>
          <w:rFonts w:ascii="Times New Roman" w:hAnsi="Times New Roman" w:cs="Times New Roman"/>
          <w:sz w:val="24"/>
          <w:szCs w:val="24"/>
        </w:rPr>
        <w:t xml:space="preserve"> </w:t>
      </w:r>
      <w:r w:rsidR="009E78F8" w:rsidRPr="003C54F0">
        <w:rPr>
          <w:rFonts w:ascii="Times New Roman" w:hAnsi="Times New Roman" w:cs="Times New Roman"/>
          <w:sz w:val="24"/>
          <w:szCs w:val="24"/>
        </w:rPr>
        <w:t xml:space="preserve">This means that for every pound in equity, Ultra had 1,07 (2015) in leverage. This decreased to 0.91 and 0.43 in 2016 and 2017 respectively. In 2018, Ultra’s leverage moved up to 0.60 before falling again to 0.55 in 2019. </w:t>
      </w:r>
      <w:r w:rsidR="00A25EF1" w:rsidRPr="003C54F0">
        <w:rPr>
          <w:rFonts w:ascii="Times New Roman" w:hAnsi="Times New Roman" w:cs="Times New Roman"/>
          <w:sz w:val="24"/>
          <w:szCs w:val="24"/>
        </w:rPr>
        <w:t xml:space="preserve">From 2015-2017, Ultra had a declining total debt meaning the company had most of its funding from shareholders. Reason why its debt to equity ratio was decreasing. </w:t>
      </w:r>
      <w:r w:rsidR="00671E08" w:rsidRPr="003C54F0">
        <w:rPr>
          <w:rFonts w:ascii="Times New Roman" w:hAnsi="Times New Roman" w:cs="Times New Roman"/>
          <w:sz w:val="24"/>
          <w:szCs w:val="24"/>
        </w:rPr>
        <w:t>2018 saw an increase in debts before fall in 2019.</w:t>
      </w:r>
    </w:p>
    <w:p w:rsidR="00596764" w:rsidRPr="003C54F0" w:rsidRDefault="00596764"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The debt to capital ratio for ultra in 2015 was 0.51 which means that the company used 0.51 of debt to finance operations through external funding. This figure reduced to 0.47 (2016) and 0.30 (2017). However, in 2018 the debt to capital increased to 0.37 and reduced again to 0.35 </w:t>
      </w:r>
      <w:r w:rsidRPr="003C54F0">
        <w:rPr>
          <w:rFonts w:ascii="Times New Roman" w:hAnsi="Times New Roman" w:cs="Times New Roman"/>
          <w:sz w:val="24"/>
          <w:szCs w:val="24"/>
        </w:rPr>
        <w:lastRenderedPageBreak/>
        <w:t>in 2019.</w:t>
      </w:r>
      <w:r w:rsidR="007614D4" w:rsidRPr="003C54F0">
        <w:rPr>
          <w:rFonts w:ascii="Times New Roman" w:hAnsi="Times New Roman" w:cs="Times New Roman"/>
          <w:sz w:val="24"/>
          <w:szCs w:val="24"/>
        </w:rPr>
        <w:t xml:space="preserve"> </w:t>
      </w:r>
      <w:r w:rsidRPr="003C54F0">
        <w:rPr>
          <w:rFonts w:ascii="Times New Roman" w:hAnsi="Times New Roman" w:cs="Times New Roman"/>
          <w:sz w:val="24"/>
          <w:szCs w:val="24"/>
        </w:rPr>
        <w:t>Lower figures indicate less debt and therefore less risk</w:t>
      </w:r>
      <w:r w:rsidR="007614D4" w:rsidRPr="003C54F0">
        <w:rPr>
          <w:rFonts w:ascii="Times New Roman" w:hAnsi="Times New Roman" w:cs="Times New Roman"/>
          <w:sz w:val="24"/>
          <w:szCs w:val="24"/>
        </w:rPr>
        <w:t xml:space="preserve"> for Ultra.</w:t>
      </w:r>
      <w:r w:rsidR="00971EC0">
        <w:rPr>
          <w:rFonts w:ascii="Times New Roman" w:hAnsi="Times New Roman" w:cs="Times New Roman"/>
          <w:sz w:val="24"/>
          <w:szCs w:val="24"/>
        </w:rPr>
        <w:t xml:space="preserve"> Changes in the gearing ratios for Ultra could result from increasing short term borrowings.</w:t>
      </w:r>
    </w:p>
    <w:p w:rsidR="000116D5" w:rsidRPr="00027988" w:rsidRDefault="009E78F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 </w:t>
      </w:r>
      <w:r w:rsidR="000116D5" w:rsidRPr="00141FDA">
        <w:rPr>
          <w:rFonts w:ascii="Times New Roman" w:hAnsi="Times New Roman" w:cs="Times New Roman"/>
          <w:b/>
          <w:bCs/>
          <w:sz w:val="24"/>
          <w:szCs w:val="24"/>
        </w:rPr>
        <w:t>Tab.</w:t>
      </w:r>
      <w:r w:rsidR="00E27414" w:rsidRPr="00141FDA">
        <w:rPr>
          <w:rFonts w:ascii="Times New Roman" w:hAnsi="Times New Roman" w:cs="Times New Roman"/>
          <w:b/>
          <w:bCs/>
          <w:sz w:val="24"/>
          <w:szCs w:val="24"/>
        </w:rPr>
        <w:t>4</w:t>
      </w:r>
      <w:r w:rsidR="000116D5" w:rsidRPr="00141FDA">
        <w:rPr>
          <w:rFonts w:ascii="Times New Roman" w:hAnsi="Times New Roman" w:cs="Times New Roman"/>
          <w:b/>
          <w:bCs/>
          <w:sz w:val="24"/>
          <w:szCs w:val="24"/>
        </w:rPr>
        <w:t xml:space="preserve"> Efficiency Ratios of Ultra Electronics (2015 - 2019) and </w:t>
      </w:r>
      <w:r w:rsidR="00EA74C8" w:rsidRPr="00141FDA">
        <w:rPr>
          <w:rFonts w:ascii="Times New Roman" w:hAnsi="Times New Roman" w:cs="Times New Roman"/>
          <w:b/>
          <w:bCs/>
          <w:sz w:val="24"/>
          <w:szCs w:val="24"/>
        </w:rPr>
        <w:t>QinetiQ</w:t>
      </w:r>
      <w:r w:rsidR="000116D5" w:rsidRPr="00141FDA">
        <w:rPr>
          <w:rFonts w:ascii="Times New Roman" w:hAnsi="Times New Roman" w:cs="Times New Roman"/>
          <w:b/>
          <w:bCs/>
          <w:sz w:val="24"/>
          <w:szCs w:val="24"/>
        </w:rPr>
        <w:t xml:space="preserve"> (2019) </w:t>
      </w:r>
    </w:p>
    <w:tbl>
      <w:tblPr>
        <w:tblStyle w:val="TableGrid"/>
        <w:tblW w:w="0" w:type="auto"/>
        <w:tblLook w:val="04A0" w:firstRow="1" w:lastRow="0" w:firstColumn="1" w:lastColumn="0" w:noHBand="0" w:noVBand="1"/>
      </w:tblPr>
      <w:tblGrid>
        <w:gridCol w:w="1296"/>
        <w:gridCol w:w="1286"/>
        <w:gridCol w:w="1287"/>
        <w:gridCol w:w="1287"/>
        <w:gridCol w:w="1287"/>
        <w:gridCol w:w="1287"/>
        <w:gridCol w:w="1286"/>
      </w:tblGrid>
      <w:tr w:rsidR="000116D5" w:rsidRPr="003C54F0" w:rsidTr="000116D5">
        <w:tc>
          <w:tcPr>
            <w:tcW w:w="1296"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Ultra-Electronics</w:t>
            </w:r>
          </w:p>
        </w:tc>
        <w:tc>
          <w:tcPr>
            <w:tcW w:w="1286"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2015</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2016</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2017</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2018</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2019</w:t>
            </w:r>
          </w:p>
        </w:tc>
        <w:tc>
          <w:tcPr>
            <w:tcW w:w="1286" w:type="dxa"/>
          </w:tcPr>
          <w:p w:rsidR="000116D5"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QinetiQ 2019</w:t>
            </w:r>
          </w:p>
        </w:tc>
      </w:tr>
      <w:tr w:rsidR="000116D5" w:rsidRPr="003C54F0" w:rsidTr="000116D5">
        <w:tc>
          <w:tcPr>
            <w:tcW w:w="1296"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Asset turnover</w:t>
            </w:r>
          </w:p>
        </w:tc>
        <w:tc>
          <w:tcPr>
            <w:tcW w:w="1286"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0.72</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0.73</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0.71</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0.74</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0.82</w:t>
            </w:r>
          </w:p>
        </w:tc>
        <w:tc>
          <w:tcPr>
            <w:tcW w:w="1286" w:type="dxa"/>
          </w:tcPr>
          <w:p w:rsidR="000116D5"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0.72</w:t>
            </w:r>
          </w:p>
        </w:tc>
      </w:tr>
      <w:tr w:rsidR="000116D5" w:rsidRPr="003C54F0" w:rsidTr="000116D5">
        <w:tc>
          <w:tcPr>
            <w:tcW w:w="1296"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Fixed asset </w:t>
            </w:r>
            <w:r w:rsidR="00F36A37" w:rsidRPr="003C54F0">
              <w:rPr>
                <w:rFonts w:ascii="Times New Roman" w:hAnsi="Times New Roman" w:cs="Times New Roman"/>
                <w:sz w:val="24"/>
                <w:szCs w:val="24"/>
              </w:rPr>
              <w:t>tur</w:t>
            </w:r>
            <w:r w:rsidRPr="003C54F0">
              <w:rPr>
                <w:rFonts w:ascii="Times New Roman" w:hAnsi="Times New Roman" w:cs="Times New Roman"/>
                <w:sz w:val="24"/>
                <w:szCs w:val="24"/>
              </w:rPr>
              <w:t>nover</w:t>
            </w:r>
          </w:p>
        </w:tc>
        <w:tc>
          <w:tcPr>
            <w:tcW w:w="1286"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10.65</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11.87</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13.10</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12.24</w:t>
            </w:r>
          </w:p>
        </w:tc>
        <w:tc>
          <w:tcPr>
            <w:tcW w:w="1287" w:type="dxa"/>
          </w:tcPr>
          <w:p w:rsidR="000116D5" w:rsidRPr="003C54F0" w:rsidRDefault="000116D5"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12.85</w:t>
            </w:r>
          </w:p>
        </w:tc>
        <w:tc>
          <w:tcPr>
            <w:tcW w:w="1286" w:type="dxa"/>
          </w:tcPr>
          <w:p w:rsidR="000116D5" w:rsidRPr="003C54F0" w:rsidRDefault="00D9074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3.05</w:t>
            </w:r>
          </w:p>
        </w:tc>
      </w:tr>
    </w:tbl>
    <w:p w:rsidR="000116D5" w:rsidRPr="003C54F0" w:rsidRDefault="000116D5" w:rsidP="003C54F0">
      <w:pPr>
        <w:spacing w:line="360" w:lineRule="auto"/>
        <w:jc w:val="both"/>
        <w:rPr>
          <w:rFonts w:ascii="Times New Roman" w:hAnsi="Times New Roman" w:cs="Times New Roman"/>
          <w:sz w:val="24"/>
          <w:szCs w:val="24"/>
        </w:rPr>
      </w:pPr>
    </w:p>
    <w:p w:rsidR="00EA74C8" w:rsidRPr="003C54F0" w:rsidRDefault="0070571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Asset turnover measures how efficient a company can generate sales using its assets</w:t>
      </w:r>
      <w:r w:rsidR="007162F4" w:rsidRPr="003C54F0">
        <w:rPr>
          <w:rFonts w:ascii="Times New Roman" w:hAnsi="Times New Roman" w:cs="Times New Roman"/>
          <w:sz w:val="24"/>
          <w:szCs w:val="24"/>
        </w:rPr>
        <w:t xml:space="preserve"> (Collier, 2009)</w:t>
      </w:r>
      <w:r w:rsidRPr="003C54F0">
        <w:rPr>
          <w:rFonts w:ascii="Times New Roman" w:hAnsi="Times New Roman" w:cs="Times New Roman"/>
          <w:sz w:val="24"/>
          <w:szCs w:val="24"/>
        </w:rPr>
        <w:t>. This implies that for every pound in assets</w:t>
      </w:r>
      <w:r w:rsidR="007162F4" w:rsidRPr="003C54F0">
        <w:rPr>
          <w:rFonts w:ascii="Times New Roman" w:hAnsi="Times New Roman" w:cs="Times New Roman"/>
          <w:sz w:val="24"/>
          <w:szCs w:val="24"/>
        </w:rPr>
        <w:t>,</w:t>
      </w:r>
      <w:r w:rsidRPr="003C54F0">
        <w:rPr>
          <w:rFonts w:ascii="Times New Roman" w:hAnsi="Times New Roman" w:cs="Times New Roman"/>
          <w:sz w:val="24"/>
          <w:szCs w:val="24"/>
        </w:rPr>
        <w:t xml:space="preserve"> </w:t>
      </w:r>
      <w:r w:rsidR="00C95123" w:rsidRPr="003C54F0">
        <w:rPr>
          <w:rFonts w:ascii="Times New Roman" w:hAnsi="Times New Roman" w:cs="Times New Roman"/>
          <w:sz w:val="24"/>
          <w:szCs w:val="24"/>
        </w:rPr>
        <w:t>Ultra was able to</w:t>
      </w:r>
      <w:r w:rsidRPr="003C54F0">
        <w:rPr>
          <w:rFonts w:ascii="Times New Roman" w:hAnsi="Times New Roman" w:cs="Times New Roman"/>
          <w:sz w:val="24"/>
          <w:szCs w:val="24"/>
        </w:rPr>
        <w:t xml:space="preserve"> generate</w:t>
      </w:r>
      <w:r w:rsidR="00C95123" w:rsidRPr="003C54F0">
        <w:rPr>
          <w:rFonts w:ascii="Times New Roman" w:hAnsi="Times New Roman" w:cs="Times New Roman"/>
          <w:sz w:val="24"/>
          <w:szCs w:val="24"/>
        </w:rPr>
        <w:t xml:space="preserve"> </w:t>
      </w:r>
      <w:r w:rsidR="009D1EF2" w:rsidRPr="003C54F0">
        <w:rPr>
          <w:rFonts w:ascii="Times New Roman" w:hAnsi="Times New Roman" w:cs="Times New Roman"/>
          <w:sz w:val="24"/>
          <w:szCs w:val="24"/>
        </w:rPr>
        <w:t>£</w:t>
      </w:r>
      <w:r w:rsidR="00C95123" w:rsidRPr="003C54F0">
        <w:rPr>
          <w:rFonts w:ascii="Times New Roman" w:hAnsi="Times New Roman" w:cs="Times New Roman"/>
          <w:sz w:val="24"/>
          <w:szCs w:val="24"/>
        </w:rPr>
        <w:t>0.72 (2015) in sales</w:t>
      </w:r>
      <w:r w:rsidRPr="003C54F0">
        <w:rPr>
          <w:rFonts w:ascii="Times New Roman" w:hAnsi="Times New Roman" w:cs="Times New Roman"/>
          <w:sz w:val="24"/>
          <w:szCs w:val="24"/>
        </w:rPr>
        <w:t>.</w:t>
      </w:r>
      <w:r w:rsidR="00C95123" w:rsidRPr="003C54F0">
        <w:rPr>
          <w:rFonts w:ascii="Times New Roman" w:hAnsi="Times New Roman" w:cs="Times New Roman"/>
          <w:sz w:val="24"/>
          <w:szCs w:val="24"/>
        </w:rPr>
        <w:t xml:space="preserve"> the figures though within range was fluctuating as it increases to </w:t>
      </w:r>
      <w:r w:rsidR="009D1EF2" w:rsidRPr="003C54F0">
        <w:rPr>
          <w:rFonts w:ascii="Times New Roman" w:hAnsi="Times New Roman" w:cs="Times New Roman"/>
          <w:sz w:val="24"/>
          <w:szCs w:val="24"/>
        </w:rPr>
        <w:t>£</w:t>
      </w:r>
      <w:r w:rsidR="00C95123" w:rsidRPr="003C54F0">
        <w:rPr>
          <w:rFonts w:ascii="Times New Roman" w:hAnsi="Times New Roman" w:cs="Times New Roman"/>
          <w:sz w:val="24"/>
          <w:szCs w:val="24"/>
        </w:rPr>
        <w:t xml:space="preserve">0.73 (2016), decreased to </w:t>
      </w:r>
      <w:r w:rsidR="009D1EF2" w:rsidRPr="003C54F0">
        <w:rPr>
          <w:rFonts w:ascii="Times New Roman" w:hAnsi="Times New Roman" w:cs="Times New Roman"/>
          <w:sz w:val="24"/>
          <w:szCs w:val="24"/>
        </w:rPr>
        <w:t>£</w:t>
      </w:r>
      <w:r w:rsidR="00C95123" w:rsidRPr="003C54F0">
        <w:rPr>
          <w:rFonts w:ascii="Times New Roman" w:hAnsi="Times New Roman" w:cs="Times New Roman"/>
          <w:sz w:val="24"/>
          <w:szCs w:val="24"/>
        </w:rPr>
        <w:t xml:space="preserve">0.71 (2017) and increased from </w:t>
      </w:r>
      <w:r w:rsidR="009D1EF2" w:rsidRPr="003C54F0">
        <w:rPr>
          <w:rFonts w:ascii="Times New Roman" w:hAnsi="Times New Roman" w:cs="Times New Roman"/>
          <w:sz w:val="24"/>
          <w:szCs w:val="24"/>
        </w:rPr>
        <w:t>£</w:t>
      </w:r>
      <w:r w:rsidR="00C95123" w:rsidRPr="003C54F0">
        <w:rPr>
          <w:rFonts w:ascii="Times New Roman" w:hAnsi="Times New Roman" w:cs="Times New Roman"/>
          <w:sz w:val="24"/>
          <w:szCs w:val="24"/>
        </w:rPr>
        <w:t xml:space="preserve">0.74 (2019) to </w:t>
      </w:r>
      <w:r w:rsidR="009D1EF2" w:rsidRPr="003C54F0">
        <w:rPr>
          <w:rFonts w:ascii="Times New Roman" w:hAnsi="Times New Roman" w:cs="Times New Roman"/>
          <w:sz w:val="24"/>
          <w:szCs w:val="24"/>
        </w:rPr>
        <w:t>£</w:t>
      </w:r>
      <w:r w:rsidR="00C95123" w:rsidRPr="003C54F0">
        <w:rPr>
          <w:rFonts w:ascii="Times New Roman" w:hAnsi="Times New Roman" w:cs="Times New Roman"/>
          <w:sz w:val="24"/>
          <w:szCs w:val="24"/>
        </w:rPr>
        <w:t>0.82 (2019). Comparing this</w:t>
      </w:r>
      <w:r w:rsidR="00A75AB9" w:rsidRPr="003C54F0">
        <w:rPr>
          <w:rFonts w:ascii="Times New Roman" w:hAnsi="Times New Roman" w:cs="Times New Roman"/>
          <w:sz w:val="24"/>
          <w:szCs w:val="24"/>
        </w:rPr>
        <w:t xml:space="preserve"> to</w:t>
      </w:r>
      <w:r w:rsidR="00C95123" w:rsidRPr="003C54F0">
        <w:rPr>
          <w:rFonts w:ascii="Times New Roman" w:hAnsi="Times New Roman" w:cs="Times New Roman"/>
          <w:sz w:val="24"/>
          <w:szCs w:val="24"/>
        </w:rPr>
        <w:t xml:space="preserve"> Qine</w:t>
      </w:r>
      <w:r w:rsidR="00A75AB9" w:rsidRPr="003C54F0">
        <w:rPr>
          <w:rFonts w:ascii="Times New Roman" w:hAnsi="Times New Roman" w:cs="Times New Roman"/>
          <w:sz w:val="24"/>
          <w:szCs w:val="24"/>
        </w:rPr>
        <w:t>tiQ, Ultra had a higher asset turnover</w:t>
      </w:r>
      <w:r w:rsidR="0083087E" w:rsidRPr="003C54F0">
        <w:rPr>
          <w:rFonts w:ascii="Times New Roman" w:hAnsi="Times New Roman" w:cs="Times New Roman"/>
          <w:sz w:val="24"/>
          <w:szCs w:val="24"/>
        </w:rPr>
        <w:t xml:space="preserve"> in 2019 (0.82) indicating that Ultra was more efficient in using its assets to generate sale while QinetiQ generates</w:t>
      </w:r>
      <w:r w:rsidR="009D1EF2" w:rsidRPr="003C54F0">
        <w:rPr>
          <w:rFonts w:ascii="Times New Roman" w:hAnsi="Times New Roman" w:cs="Times New Roman"/>
          <w:sz w:val="24"/>
          <w:szCs w:val="24"/>
        </w:rPr>
        <w:t xml:space="preserve"> £</w:t>
      </w:r>
      <w:r w:rsidR="0083087E" w:rsidRPr="003C54F0">
        <w:rPr>
          <w:rFonts w:ascii="Times New Roman" w:hAnsi="Times New Roman" w:cs="Times New Roman"/>
          <w:sz w:val="24"/>
          <w:szCs w:val="24"/>
        </w:rPr>
        <w:t>0.72 in sales using its assets.</w:t>
      </w:r>
    </w:p>
    <w:p w:rsidR="008970BC" w:rsidRPr="003C54F0" w:rsidRDefault="00285D2F"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The f</w:t>
      </w:r>
      <w:r w:rsidR="00A75AB9" w:rsidRPr="003C54F0">
        <w:rPr>
          <w:rFonts w:ascii="Times New Roman" w:hAnsi="Times New Roman" w:cs="Times New Roman"/>
          <w:sz w:val="24"/>
          <w:szCs w:val="24"/>
        </w:rPr>
        <w:t>ixed asset turnover</w:t>
      </w:r>
      <w:r w:rsidRPr="003C54F0">
        <w:rPr>
          <w:rFonts w:ascii="Times New Roman" w:hAnsi="Times New Roman" w:cs="Times New Roman"/>
          <w:sz w:val="24"/>
          <w:szCs w:val="24"/>
        </w:rPr>
        <w:t xml:space="preserve"> shows how well a company uses its fixed assets to generate sales. Based on the figures above, Ultra earned </w:t>
      </w:r>
      <w:r w:rsidR="009D1EF2" w:rsidRPr="003C54F0">
        <w:rPr>
          <w:rFonts w:ascii="Times New Roman" w:hAnsi="Times New Roman" w:cs="Times New Roman"/>
          <w:sz w:val="24"/>
          <w:szCs w:val="24"/>
        </w:rPr>
        <w:t>£</w:t>
      </w:r>
      <w:r w:rsidRPr="003C54F0">
        <w:rPr>
          <w:rFonts w:ascii="Times New Roman" w:hAnsi="Times New Roman" w:cs="Times New Roman"/>
          <w:sz w:val="24"/>
          <w:szCs w:val="24"/>
        </w:rPr>
        <w:t xml:space="preserve">10.65 (2015) for every pound invested in fixed assets. </w:t>
      </w:r>
      <w:r w:rsidR="00DA79CE" w:rsidRPr="003C54F0">
        <w:rPr>
          <w:rFonts w:ascii="Times New Roman" w:hAnsi="Times New Roman" w:cs="Times New Roman"/>
          <w:sz w:val="24"/>
          <w:szCs w:val="24"/>
        </w:rPr>
        <w:t xml:space="preserve">there was and increase in 2016 and 2017 to </w:t>
      </w:r>
      <w:r w:rsidR="009D1EF2" w:rsidRPr="003C54F0">
        <w:rPr>
          <w:rFonts w:ascii="Times New Roman" w:hAnsi="Times New Roman" w:cs="Times New Roman"/>
          <w:sz w:val="24"/>
          <w:szCs w:val="24"/>
        </w:rPr>
        <w:t>£</w:t>
      </w:r>
      <w:r w:rsidR="00DA79CE" w:rsidRPr="003C54F0">
        <w:rPr>
          <w:rFonts w:ascii="Times New Roman" w:hAnsi="Times New Roman" w:cs="Times New Roman"/>
          <w:sz w:val="24"/>
          <w:szCs w:val="24"/>
        </w:rPr>
        <w:t xml:space="preserve">11.87 and </w:t>
      </w:r>
      <w:r w:rsidR="009D1EF2" w:rsidRPr="003C54F0">
        <w:rPr>
          <w:rFonts w:ascii="Times New Roman" w:hAnsi="Times New Roman" w:cs="Times New Roman"/>
          <w:sz w:val="24"/>
          <w:szCs w:val="24"/>
        </w:rPr>
        <w:t>£</w:t>
      </w:r>
      <w:r w:rsidR="00DA79CE" w:rsidRPr="003C54F0">
        <w:rPr>
          <w:rFonts w:ascii="Times New Roman" w:hAnsi="Times New Roman" w:cs="Times New Roman"/>
          <w:sz w:val="24"/>
          <w:szCs w:val="24"/>
        </w:rPr>
        <w:t xml:space="preserve">13.10 respectively followed by a fall in 2018 to </w:t>
      </w:r>
      <w:r w:rsidR="009D1EF2" w:rsidRPr="003C54F0">
        <w:rPr>
          <w:rFonts w:ascii="Times New Roman" w:hAnsi="Times New Roman" w:cs="Times New Roman"/>
          <w:sz w:val="24"/>
          <w:szCs w:val="24"/>
        </w:rPr>
        <w:t>£</w:t>
      </w:r>
      <w:r w:rsidR="00DA79CE" w:rsidRPr="003C54F0">
        <w:rPr>
          <w:rFonts w:ascii="Times New Roman" w:hAnsi="Times New Roman" w:cs="Times New Roman"/>
          <w:sz w:val="24"/>
          <w:szCs w:val="24"/>
        </w:rPr>
        <w:t xml:space="preserve">12.24 which increased slightly to </w:t>
      </w:r>
      <w:r w:rsidR="009D1EF2" w:rsidRPr="003C54F0">
        <w:rPr>
          <w:rFonts w:ascii="Times New Roman" w:hAnsi="Times New Roman" w:cs="Times New Roman"/>
          <w:sz w:val="24"/>
          <w:szCs w:val="24"/>
        </w:rPr>
        <w:t>£</w:t>
      </w:r>
      <w:r w:rsidR="00DA79CE" w:rsidRPr="003C54F0">
        <w:rPr>
          <w:rFonts w:ascii="Times New Roman" w:hAnsi="Times New Roman" w:cs="Times New Roman"/>
          <w:sz w:val="24"/>
          <w:szCs w:val="24"/>
        </w:rPr>
        <w:t xml:space="preserve">12.85 in 2019. In all, Ultra makes high fixed asset turnover compared to QinetiQ whose fixed asset turnover stood at </w:t>
      </w:r>
      <w:r w:rsidR="009D1EF2" w:rsidRPr="003C54F0">
        <w:rPr>
          <w:rFonts w:ascii="Times New Roman" w:hAnsi="Times New Roman" w:cs="Times New Roman"/>
          <w:sz w:val="24"/>
          <w:szCs w:val="24"/>
        </w:rPr>
        <w:t>£</w:t>
      </w:r>
      <w:r w:rsidR="00DA79CE" w:rsidRPr="003C54F0">
        <w:rPr>
          <w:rFonts w:ascii="Times New Roman" w:hAnsi="Times New Roman" w:cs="Times New Roman"/>
          <w:sz w:val="24"/>
          <w:szCs w:val="24"/>
        </w:rPr>
        <w:t>3.05 (2019)</w:t>
      </w:r>
      <w:r w:rsidR="00F36A37" w:rsidRPr="003C54F0">
        <w:rPr>
          <w:rFonts w:ascii="Times New Roman" w:hAnsi="Times New Roman" w:cs="Times New Roman"/>
          <w:sz w:val="24"/>
          <w:szCs w:val="24"/>
        </w:rPr>
        <w:t>.</w:t>
      </w:r>
      <w:r w:rsidR="009D0351" w:rsidRPr="003C54F0">
        <w:rPr>
          <w:rFonts w:ascii="Times New Roman" w:hAnsi="Times New Roman" w:cs="Times New Roman"/>
          <w:sz w:val="24"/>
          <w:szCs w:val="24"/>
        </w:rPr>
        <w:t xml:space="preserve"> This means Ultra is efficiently utilising its assets.</w:t>
      </w:r>
    </w:p>
    <w:p w:rsidR="00EA74C8" w:rsidRPr="00141FDA" w:rsidRDefault="00EA74C8" w:rsidP="003C54F0">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Tab.</w:t>
      </w:r>
      <w:r w:rsidR="00E27414" w:rsidRPr="00141FDA">
        <w:rPr>
          <w:rFonts w:ascii="Times New Roman" w:hAnsi="Times New Roman" w:cs="Times New Roman"/>
          <w:b/>
          <w:bCs/>
          <w:sz w:val="24"/>
          <w:szCs w:val="24"/>
        </w:rPr>
        <w:t>5</w:t>
      </w:r>
      <w:r w:rsidRPr="00141FDA">
        <w:rPr>
          <w:rFonts w:ascii="Times New Roman" w:hAnsi="Times New Roman" w:cs="Times New Roman"/>
          <w:b/>
          <w:bCs/>
          <w:sz w:val="24"/>
          <w:szCs w:val="24"/>
        </w:rPr>
        <w:t xml:space="preserve"> Investment Return for Ultra Electronics (2015 - 2019) and QinetiQ (2019) </w:t>
      </w:r>
    </w:p>
    <w:tbl>
      <w:tblPr>
        <w:tblStyle w:val="TableGrid"/>
        <w:tblW w:w="0" w:type="auto"/>
        <w:tblLook w:val="04A0" w:firstRow="1" w:lastRow="0" w:firstColumn="1" w:lastColumn="0" w:noHBand="0" w:noVBand="1"/>
      </w:tblPr>
      <w:tblGrid>
        <w:gridCol w:w="1296"/>
        <w:gridCol w:w="1286"/>
        <w:gridCol w:w="1287"/>
        <w:gridCol w:w="1287"/>
        <w:gridCol w:w="1287"/>
        <w:gridCol w:w="1287"/>
        <w:gridCol w:w="1286"/>
      </w:tblGrid>
      <w:tr w:rsidR="00EA74C8" w:rsidRPr="003C54F0" w:rsidTr="00326F47">
        <w:tc>
          <w:tcPr>
            <w:tcW w:w="129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Ultra-Electronics</w:t>
            </w:r>
          </w:p>
        </w:tc>
        <w:tc>
          <w:tcPr>
            <w:tcW w:w="128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2015</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2016</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2017</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2018</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2019</w:t>
            </w:r>
          </w:p>
        </w:tc>
        <w:tc>
          <w:tcPr>
            <w:tcW w:w="128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QinetiQ 2019</w:t>
            </w:r>
          </w:p>
        </w:tc>
      </w:tr>
      <w:tr w:rsidR="00EA74C8" w:rsidRPr="003C54F0" w:rsidTr="00326F47">
        <w:tc>
          <w:tcPr>
            <w:tcW w:w="129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Return on Equity (%)</w:t>
            </w:r>
          </w:p>
        </w:tc>
        <w:tc>
          <w:tcPr>
            <w:tcW w:w="128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0.07</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0.16</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0.09</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0.07</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0.17</w:t>
            </w:r>
          </w:p>
        </w:tc>
        <w:tc>
          <w:tcPr>
            <w:tcW w:w="128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0.14</w:t>
            </w:r>
          </w:p>
        </w:tc>
      </w:tr>
      <w:tr w:rsidR="00EA74C8" w:rsidRPr="003C54F0" w:rsidTr="00326F47">
        <w:tc>
          <w:tcPr>
            <w:tcW w:w="129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Return on Asset (%)</w:t>
            </w:r>
          </w:p>
        </w:tc>
        <w:tc>
          <w:tcPr>
            <w:tcW w:w="128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0.02</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0.05</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0.04</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0.03</w:t>
            </w:r>
          </w:p>
        </w:tc>
        <w:tc>
          <w:tcPr>
            <w:tcW w:w="1287"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0.07</w:t>
            </w:r>
          </w:p>
        </w:tc>
        <w:tc>
          <w:tcPr>
            <w:tcW w:w="1286" w:type="dxa"/>
          </w:tcPr>
          <w:p w:rsidR="00EA74C8" w:rsidRPr="003C54F0" w:rsidRDefault="00EA74C8"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0.08</w:t>
            </w:r>
          </w:p>
        </w:tc>
      </w:tr>
    </w:tbl>
    <w:p w:rsidR="00EA74C8" w:rsidRPr="003C54F0" w:rsidRDefault="00EA74C8" w:rsidP="003C54F0">
      <w:pPr>
        <w:spacing w:line="360" w:lineRule="auto"/>
        <w:jc w:val="both"/>
        <w:rPr>
          <w:rFonts w:ascii="Times New Roman" w:hAnsi="Times New Roman" w:cs="Times New Roman"/>
          <w:sz w:val="24"/>
          <w:szCs w:val="24"/>
        </w:rPr>
      </w:pPr>
    </w:p>
    <w:p w:rsidR="00EA74C8" w:rsidRPr="003C54F0" w:rsidRDefault="008A1116"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lastRenderedPageBreak/>
        <w:t>The return on equity shows the amount of net income an organisation gets for every investment. That is, how much profit an organisation gets from shareholders investment.</w:t>
      </w:r>
      <w:r w:rsidR="007D234D" w:rsidRPr="003C54F0">
        <w:rPr>
          <w:rFonts w:ascii="Times New Roman" w:hAnsi="Times New Roman" w:cs="Times New Roman"/>
          <w:sz w:val="24"/>
          <w:szCs w:val="24"/>
        </w:rPr>
        <w:t xml:space="preserve"> This trend was not smooth for </w:t>
      </w:r>
      <w:r w:rsidRPr="003C54F0">
        <w:rPr>
          <w:rFonts w:ascii="Times New Roman" w:hAnsi="Times New Roman" w:cs="Times New Roman"/>
          <w:sz w:val="24"/>
          <w:szCs w:val="24"/>
        </w:rPr>
        <w:t xml:space="preserve">Ultra </w:t>
      </w:r>
      <w:r w:rsidR="007D234D" w:rsidRPr="003C54F0">
        <w:rPr>
          <w:rFonts w:ascii="Times New Roman" w:hAnsi="Times New Roman" w:cs="Times New Roman"/>
          <w:sz w:val="24"/>
          <w:szCs w:val="24"/>
        </w:rPr>
        <w:t xml:space="preserve">as it had a low return on equity </w:t>
      </w:r>
      <w:r w:rsidRPr="003C54F0">
        <w:rPr>
          <w:rFonts w:ascii="Times New Roman" w:hAnsi="Times New Roman" w:cs="Times New Roman"/>
          <w:sz w:val="24"/>
          <w:szCs w:val="24"/>
        </w:rPr>
        <w:t xml:space="preserve">in 2015 </w:t>
      </w:r>
      <w:r w:rsidR="007D234D" w:rsidRPr="003C54F0">
        <w:rPr>
          <w:rFonts w:ascii="Times New Roman" w:hAnsi="Times New Roman" w:cs="Times New Roman"/>
          <w:sz w:val="24"/>
          <w:szCs w:val="24"/>
        </w:rPr>
        <w:t xml:space="preserve">(0.07). this moved up to 0.16 in 2016. In 2017 it dropped to 0.09 and to 0.07 in 2018. 2019 saw an increase to 0.17. </w:t>
      </w:r>
      <w:r w:rsidR="00DD740C" w:rsidRPr="003C54F0">
        <w:rPr>
          <w:rFonts w:ascii="Times New Roman" w:hAnsi="Times New Roman" w:cs="Times New Roman"/>
          <w:sz w:val="24"/>
          <w:szCs w:val="24"/>
        </w:rPr>
        <w:t xml:space="preserve">This can be benchmark </w:t>
      </w:r>
      <w:r w:rsidR="0029528F" w:rsidRPr="003C54F0">
        <w:rPr>
          <w:rFonts w:ascii="Times New Roman" w:hAnsi="Times New Roman" w:cs="Times New Roman"/>
          <w:sz w:val="24"/>
          <w:szCs w:val="24"/>
        </w:rPr>
        <w:t>with QinetiQ and though within the realm, Ultra still had 0.17 better than QinetiQ at 0.14 (2019)</w:t>
      </w:r>
      <w:r w:rsidR="003232F3" w:rsidRPr="003C54F0">
        <w:rPr>
          <w:rFonts w:ascii="Times New Roman" w:hAnsi="Times New Roman" w:cs="Times New Roman"/>
          <w:sz w:val="24"/>
          <w:szCs w:val="24"/>
        </w:rPr>
        <w:t>.</w:t>
      </w:r>
    </w:p>
    <w:p w:rsidR="003232F3" w:rsidRPr="003C54F0" w:rsidRDefault="003232F3"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Return on asset on the other hand shows how much profit an </w:t>
      </w:r>
      <w:r w:rsidR="004B36A2" w:rsidRPr="003C54F0">
        <w:rPr>
          <w:rFonts w:ascii="Times New Roman" w:hAnsi="Times New Roman" w:cs="Times New Roman"/>
          <w:sz w:val="24"/>
          <w:szCs w:val="24"/>
        </w:rPr>
        <w:t>organisation earned</w:t>
      </w:r>
      <w:r w:rsidRPr="003C54F0">
        <w:rPr>
          <w:rFonts w:ascii="Times New Roman" w:hAnsi="Times New Roman" w:cs="Times New Roman"/>
          <w:sz w:val="24"/>
          <w:szCs w:val="24"/>
        </w:rPr>
        <w:t xml:space="preserve"> compared to its overall asset.</w:t>
      </w:r>
      <w:r w:rsidR="004B36A2" w:rsidRPr="003C54F0">
        <w:rPr>
          <w:rFonts w:ascii="Times New Roman" w:hAnsi="Times New Roman" w:cs="Times New Roman"/>
          <w:sz w:val="24"/>
          <w:szCs w:val="24"/>
        </w:rPr>
        <w:t xml:space="preserve"> This means that has been </w:t>
      </w:r>
      <w:r w:rsidR="009F6450" w:rsidRPr="003C54F0">
        <w:rPr>
          <w:rFonts w:ascii="Times New Roman" w:hAnsi="Times New Roman" w:cs="Times New Roman"/>
          <w:sz w:val="24"/>
          <w:szCs w:val="24"/>
        </w:rPr>
        <w:t>earning 0.02 (2015), 0.05 (2016), 0.04 (2017), 0.03 (2018) and 0.07 (2019)</w:t>
      </w:r>
      <w:r w:rsidR="004B36A2" w:rsidRPr="003C54F0">
        <w:rPr>
          <w:rFonts w:ascii="Times New Roman" w:hAnsi="Times New Roman" w:cs="Times New Roman"/>
          <w:sz w:val="24"/>
          <w:szCs w:val="24"/>
        </w:rPr>
        <w:t xml:space="preserve"> of net income for every </w:t>
      </w:r>
      <w:r w:rsidR="009F6450" w:rsidRPr="003C54F0">
        <w:rPr>
          <w:rFonts w:ascii="Times New Roman" w:hAnsi="Times New Roman" w:cs="Times New Roman"/>
          <w:sz w:val="24"/>
          <w:szCs w:val="24"/>
        </w:rPr>
        <w:t>pound</w:t>
      </w:r>
      <w:r w:rsidR="004B36A2" w:rsidRPr="003C54F0">
        <w:rPr>
          <w:rFonts w:ascii="Times New Roman" w:hAnsi="Times New Roman" w:cs="Times New Roman"/>
          <w:sz w:val="24"/>
          <w:szCs w:val="24"/>
        </w:rPr>
        <w:t xml:space="preserve"> of asset invested.</w:t>
      </w:r>
      <w:r w:rsidR="009F6450" w:rsidRPr="003C54F0">
        <w:rPr>
          <w:rFonts w:ascii="Times New Roman" w:hAnsi="Times New Roman" w:cs="Times New Roman"/>
          <w:sz w:val="24"/>
          <w:szCs w:val="24"/>
        </w:rPr>
        <w:t xml:space="preserve"> QinetiQ is slightly better than Ultra when it comes to return on assets. </w:t>
      </w:r>
    </w:p>
    <w:p w:rsidR="001E4E25" w:rsidRPr="00141FDA" w:rsidRDefault="007C0121" w:rsidP="003C54F0">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Tab.</w:t>
      </w:r>
      <w:r w:rsidR="00E27414" w:rsidRPr="00141FDA">
        <w:rPr>
          <w:rFonts w:ascii="Times New Roman" w:hAnsi="Times New Roman" w:cs="Times New Roman"/>
          <w:b/>
          <w:bCs/>
          <w:sz w:val="24"/>
          <w:szCs w:val="24"/>
        </w:rPr>
        <w:t xml:space="preserve">6 </w:t>
      </w:r>
      <w:r w:rsidR="00657333" w:rsidRPr="00141FDA">
        <w:rPr>
          <w:rFonts w:ascii="Times New Roman" w:hAnsi="Times New Roman" w:cs="Times New Roman"/>
          <w:b/>
          <w:bCs/>
          <w:sz w:val="24"/>
          <w:szCs w:val="24"/>
        </w:rPr>
        <w:t>Analysis of Payback period (PBP), Accounting Rate of Return (ARR), Internal                                                            Rate of Return (IRR) and Net Present Value (NPV)</w:t>
      </w:r>
    </w:p>
    <w:tbl>
      <w:tblPr>
        <w:tblStyle w:val="TableGrid"/>
        <w:tblW w:w="0" w:type="auto"/>
        <w:tblInd w:w="1125" w:type="dxa"/>
        <w:tblLook w:val="04A0" w:firstRow="1" w:lastRow="0" w:firstColumn="1" w:lastColumn="0" w:noHBand="0" w:noVBand="1"/>
      </w:tblPr>
      <w:tblGrid>
        <w:gridCol w:w="2254"/>
        <w:gridCol w:w="2254"/>
        <w:gridCol w:w="2254"/>
      </w:tblGrid>
      <w:tr w:rsidR="0088128A" w:rsidRPr="003C54F0" w:rsidTr="00657333">
        <w:tc>
          <w:tcPr>
            <w:tcW w:w="2254" w:type="dxa"/>
          </w:tcPr>
          <w:p w:rsidR="0088128A" w:rsidRPr="003C54F0" w:rsidRDefault="0088128A" w:rsidP="003C54F0">
            <w:pPr>
              <w:spacing w:line="360" w:lineRule="auto"/>
              <w:jc w:val="both"/>
              <w:rPr>
                <w:rFonts w:ascii="Times New Roman" w:hAnsi="Times New Roman" w:cs="Times New Roman"/>
                <w:sz w:val="24"/>
                <w:szCs w:val="24"/>
              </w:rPr>
            </w:pP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Project A                                       </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Project B</w:t>
            </w:r>
          </w:p>
        </w:tc>
      </w:tr>
      <w:tr w:rsidR="0088128A" w:rsidRPr="003C54F0" w:rsidTr="00657333">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P</w:t>
            </w:r>
            <w:r w:rsidR="00657333" w:rsidRPr="003C54F0">
              <w:rPr>
                <w:rFonts w:ascii="Times New Roman" w:hAnsi="Times New Roman" w:cs="Times New Roman"/>
                <w:sz w:val="24"/>
                <w:szCs w:val="24"/>
              </w:rPr>
              <w:t>BP</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3.4 years</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3.2 years</w:t>
            </w:r>
          </w:p>
        </w:tc>
      </w:tr>
      <w:tr w:rsidR="0088128A" w:rsidRPr="003C54F0" w:rsidTr="00657333">
        <w:tc>
          <w:tcPr>
            <w:tcW w:w="2254" w:type="dxa"/>
          </w:tcPr>
          <w:p w:rsidR="0088128A" w:rsidRPr="003C54F0" w:rsidRDefault="00657333"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A</w:t>
            </w:r>
            <w:r w:rsidR="0088128A" w:rsidRPr="003C54F0">
              <w:rPr>
                <w:rFonts w:ascii="Times New Roman" w:hAnsi="Times New Roman" w:cs="Times New Roman"/>
                <w:sz w:val="24"/>
                <w:szCs w:val="24"/>
              </w:rPr>
              <w:t>RR</w:t>
            </w:r>
            <w:r w:rsidR="00DA3F00" w:rsidRPr="003C54F0">
              <w:rPr>
                <w:rFonts w:ascii="Times New Roman" w:hAnsi="Times New Roman" w:cs="Times New Roman"/>
                <w:sz w:val="24"/>
                <w:szCs w:val="24"/>
              </w:rPr>
              <w:t xml:space="preserve"> (%)</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0.10</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0.08</w:t>
            </w:r>
          </w:p>
        </w:tc>
      </w:tr>
      <w:tr w:rsidR="0088128A" w:rsidRPr="003C54F0" w:rsidTr="00657333">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IRR</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1.12</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1.12</w:t>
            </w:r>
          </w:p>
        </w:tc>
      </w:tr>
      <w:tr w:rsidR="0088128A" w:rsidRPr="003C54F0" w:rsidTr="00657333">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NPV</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3.16</w:t>
            </w:r>
          </w:p>
        </w:tc>
        <w:tc>
          <w:tcPr>
            <w:tcW w:w="2254" w:type="dxa"/>
          </w:tcPr>
          <w:p w:rsidR="0088128A" w:rsidRPr="003C54F0" w:rsidRDefault="0088128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7.36</w:t>
            </w:r>
          </w:p>
        </w:tc>
      </w:tr>
    </w:tbl>
    <w:p w:rsidR="001E4E25" w:rsidRPr="003C54F0" w:rsidRDefault="001E4E25" w:rsidP="003C54F0">
      <w:pPr>
        <w:spacing w:line="360" w:lineRule="auto"/>
        <w:jc w:val="both"/>
        <w:rPr>
          <w:rFonts w:ascii="Times New Roman" w:hAnsi="Times New Roman" w:cs="Times New Roman"/>
          <w:sz w:val="24"/>
          <w:szCs w:val="24"/>
        </w:rPr>
      </w:pPr>
    </w:p>
    <w:p w:rsidR="001E4E25" w:rsidRPr="003C54F0" w:rsidRDefault="00DA3F0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From the above analysis, looking at the payback period one would recommend Project B to be adopted. Though with a high investment capital compared to Project A, it will only require a payback period of 3.2 years to get a re</w:t>
      </w:r>
      <w:r w:rsidR="00183379" w:rsidRPr="003C54F0">
        <w:rPr>
          <w:rFonts w:ascii="Times New Roman" w:hAnsi="Times New Roman" w:cs="Times New Roman"/>
          <w:sz w:val="24"/>
          <w:szCs w:val="24"/>
        </w:rPr>
        <w:t>turn on investment compared to Project A which require a period of 3.4 years.</w:t>
      </w:r>
      <w:r w:rsidRPr="003C54F0">
        <w:rPr>
          <w:rFonts w:ascii="Times New Roman" w:hAnsi="Times New Roman" w:cs="Times New Roman"/>
          <w:sz w:val="24"/>
          <w:szCs w:val="24"/>
        </w:rPr>
        <w:t xml:space="preserve">   </w:t>
      </w:r>
    </w:p>
    <w:p w:rsidR="00E46144" w:rsidRPr="003C54F0" w:rsidRDefault="00E46144" w:rsidP="003C54F0">
      <w:pPr>
        <w:spacing w:line="360" w:lineRule="auto"/>
        <w:jc w:val="both"/>
        <w:rPr>
          <w:rFonts w:ascii="Times New Roman" w:hAnsi="Times New Roman" w:cs="Times New Roman"/>
          <w:sz w:val="24"/>
          <w:szCs w:val="24"/>
        </w:rPr>
      </w:pPr>
      <w:r w:rsidRPr="00E46144">
        <w:rPr>
          <w:rFonts w:ascii="Times New Roman" w:hAnsi="Times New Roman" w:cs="Times New Roman"/>
          <w:sz w:val="24"/>
          <w:szCs w:val="24"/>
        </w:rPr>
        <w:t xml:space="preserve">Using a </w:t>
      </w:r>
      <w:r w:rsidR="00183379" w:rsidRPr="003C54F0">
        <w:rPr>
          <w:rFonts w:ascii="Times New Roman" w:hAnsi="Times New Roman" w:cs="Times New Roman"/>
          <w:sz w:val="24"/>
          <w:szCs w:val="24"/>
        </w:rPr>
        <w:t>10.25</w:t>
      </w:r>
      <w:r w:rsidRPr="00E46144">
        <w:rPr>
          <w:rFonts w:ascii="Times New Roman" w:hAnsi="Times New Roman" w:cs="Times New Roman"/>
          <w:sz w:val="24"/>
          <w:szCs w:val="24"/>
        </w:rPr>
        <w:t xml:space="preserve">% discount rate, both projects produce positive NPVs </w:t>
      </w:r>
      <w:r w:rsidR="00183379" w:rsidRPr="003C54F0">
        <w:rPr>
          <w:rFonts w:ascii="Times New Roman" w:hAnsi="Times New Roman" w:cs="Times New Roman"/>
          <w:sz w:val="24"/>
          <w:szCs w:val="24"/>
        </w:rPr>
        <w:t xml:space="preserve">which </w:t>
      </w:r>
      <w:r w:rsidRPr="00E46144">
        <w:rPr>
          <w:rFonts w:ascii="Times New Roman" w:hAnsi="Times New Roman" w:cs="Times New Roman"/>
          <w:sz w:val="24"/>
          <w:szCs w:val="24"/>
        </w:rPr>
        <w:t>would enhance shareholder wealth. However, Project B is superior because</w:t>
      </w:r>
      <w:r w:rsidR="00183379" w:rsidRPr="003C54F0">
        <w:rPr>
          <w:rFonts w:ascii="Times New Roman" w:hAnsi="Times New Roman" w:cs="Times New Roman"/>
          <w:sz w:val="24"/>
          <w:szCs w:val="24"/>
        </w:rPr>
        <w:t xml:space="preserve"> </w:t>
      </w:r>
      <w:r w:rsidRPr="00E46144">
        <w:rPr>
          <w:rFonts w:ascii="Times New Roman" w:hAnsi="Times New Roman" w:cs="Times New Roman"/>
          <w:sz w:val="24"/>
          <w:szCs w:val="24"/>
        </w:rPr>
        <w:t>it creates more value</w:t>
      </w:r>
      <w:r w:rsidR="00183379" w:rsidRPr="003C54F0">
        <w:rPr>
          <w:rFonts w:ascii="Times New Roman" w:hAnsi="Times New Roman" w:cs="Times New Roman"/>
          <w:sz w:val="24"/>
          <w:szCs w:val="24"/>
        </w:rPr>
        <w:t xml:space="preserve"> to the shareholder</w:t>
      </w:r>
      <w:r w:rsidRPr="00E46144">
        <w:rPr>
          <w:rFonts w:ascii="Times New Roman" w:hAnsi="Times New Roman" w:cs="Times New Roman"/>
          <w:sz w:val="24"/>
          <w:szCs w:val="24"/>
        </w:rPr>
        <w:t xml:space="preserve"> than Project A.</w:t>
      </w:r>
      <w:r w:rsidR="00183379" w:rsidRPr="003C54F0">
        <w:rPr>
          <w:rFonts w:ascii="Times New Roman" w:hAnsi="Times New Roman" w:cs="Times New Roman"/>
          <w:sz w:val="24"/>
          <w:szCs w:val="24"/>
        </w:rPr>
        <w:t xml:space="preserve"> in this light,</w:t>
      </w:r>
      <w:r w:rsidRPr="00E46144">
        <w:rPr>
          <w:rFonts w:ascii="Times New Roman" w:hAnsi="Times New Roman" w:cs="Times New Roman"/>
          <w:sz w:val="24"/>
          <w:szCs w:val="24"/>
        </w:rPr>
        <w:t xml:space="preserve"> </w:t>
      </w:r>
      <w:r w:rsidR="00183379" w:rsidRPr="003C54F0">
        <w:rPr>
          <w:rFonts w:ascii="Times New Roman" w:hAnsi="Times New Roman" w:cs="Times New Roman"/>
          <w:sz w:val="24"/>
          <w:szCs w:val="24"/>
        </w:rPr>
        <w:t>if</w:t>
      </w:r>
      <w:r w:rsidRPr="00E46144">
        <w:rPr>
          <w:rFonts w:ascii="Times New Roman" w:hAnsi="Times New Roman" w:cs="Times New Roman"/>
          <w:sz w:val="24"/>
          <w:szCs w:val="24"/>
        </w:rPr>
        <w:t xml:space="preserve"> accepting one project excludes the</w:t>
      </w:r>
      <w:r w:rsidR="00183379" w:rsidRPr="003C54F0">
        <w:rPr>
          <w:rFonts w:ascii="Times New Roman" w:hAnsi="Times New Roman" w:cs="Times New Roman"/>
          <w:sz w:val="24"/>
          <w:szCs w:val="24"/>
        </w:rPr>
        <w:t xml:space="preserve"> </w:t>
      </w:r>
      <w:r w:rsidRPr="003C54F0">
        <w:rPr>
          <w:rFonts w:ascii="Times New Roman" w:hAnsi="Times New Roman" w:cs="Times New Roman"/>
          <w:sz w:val="24"/>
          <w:szCs w:val="24"/>
        </w:rPr>
        <w:t>possibility of accepting the other then</w:t>
      </w:r>
      <w:r w:rsidR="00183379" w:rsidRPr="003C54F0">
        <w:rPr>
          <w:rFonts w:ascii="Times New Roman" w:hAnsi="Times New Roman" w:cs="Times New Roman"/>
          <w:sz w:val="24"/>
          <w:szCs w:val="24"/>
        </w:rPr>
        <w:t xml:space="preserve"> Project</w:t>
      </w:r>
      <w:r w:rsidRPr="003C54F0">
        <w:rPr>
          <w:rFonts w:ascii="Times New Roman" w:hAnsi="Times New Roman" w:cs="Times New Roman"/>
          <w:sz w:val="24"/>
          <w:szCs w:val="24"/>
        </w:rPr>
        <w:t xml:space="preserve"> B is preferred.</w:t>
      </w:r>
    </w:p>
    <w:p w:rsidR="00D072AB" w:rsidRPr="00141FDA" w:rsidRDefault="006674ED" w:rsidP="003C54F0">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Payback period</w:t>
      </w:r>
    </w:p>
    <w:p w:rsidR="00D072AB" w:rsidRPr="00D072AB" w:rsidRDefault="006674ED"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The payback period is a universal point of refence for many investment projects and comes with the following advantages and disadvantages. </w:t>
      </w:r>
    </w:p>
    <w:p w:rsidR="00B70CCC" w:rsidRPr="003C54F0" w:rsidRDefault="006674ED"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lastRenderedPageBreak/>
        <w:t>The first advantage of the payback period is that it is relatively straight forward</w:t>
      </w:r>
      <w:r w:rsidR="006F7766" w:rsidRPr="003C54F0">
        <w:rPr>
          <w:rFonts w:ascii="Times New Roman" w:hAnsi="Times New Roman" w:cs="Times New Roman"/>
          <w:sz w:val="24"/>
          <w:szCs w:val="24"/>
        </w:rPr>
        <w:t xml:space="preserve"> in relation to</w:t>
      </w:r>
      <w:r w:rsidRPr="003C54F0">
        <w:rPr>
          <w:rFonts w:ascii="Times New Roman" w:hAnsi="Times New Roman" w:cs="Times New Roman"/>
          <w:sz w:val="24"/>
          <w:szCs w:val="24"/>
        </w:rPr>
        <w:t xml:space="preserve"> concept </w:t>
      </w:r>
      <w:r w:rsidR="006F7766" w:rsidRPr="003C54F0">
        <w:rPr>
          <w:rFonts w:ascii="Times New Roman" w:hAnsi="Times New Roman" w:cs="Times New Roman"/>
          <w:sz w:val="24"/>
          <w:szCs w:val="24"/>
        </w:rPr>
        <w:t>and application, easy to calculate and indicates how soon a project can generate invested capital</w:t>
      </w:r>
      <w:r w:rsidR="00B70CCC" w:rsidRPr="003C54F0">
        <w:rPr>
          <w:rFonts w:ascii="Times New Roman" w:hAnsi="Times New Roman" w:cs="Times New Roman"/>
          <w:sz w:val="24"/>
          <w:szCs w:val="24"/>
        </w:rPr>
        <w:t xml:space="preserve"> and favours</w:t>
      </w:r>
      <w:r w:rsidR="00D072AB" w:rsidRPr="00D072AB">
        <w:rPr>
          <w:rFonts w:ascii="Times New Roman" w:hAnsi="Times New Roman" w:cs="Times New Roman"/>
          <w:sz w:val="24"/>
          <w:szCs w:val="24"/>
        </w:rPr>
        <w:t xml:space="preserve"> </w:t>
      </w:r>
      <w:r w:rsidR="00B70CCC" w:rsidRPr="003C54F0">
        <w:rPr>
          <w:rFonts w:ascii="Times New Roman" w:hAnsi="Times New Roman" w:cs="Times New Roman"/>
          <w:sz w:val="24"/>
          <w:szCs w:val="24"/>
        </w:rPr>
        <w:t>investment with</w:t>
      </w:r>
      <w:r w:rsidR="00D072AB" w:rsidRPr="00D072AB">
        <w:rPr>
          <w:rFonts w:ascii="Times New Roman" w:hAnsi="Times New Roman" w:cs="Times New Roman"/>
          <w:sz w:val="24"/>
          <w:szCs w:val="24"/>
        </w:rPr>
        <w:t xml:space="preserve"> earlier years</w:t>
      </w:r>
      <w:r w:rsidR="00B70CCC" w:rsidRPr="003C54F0">
        <w:rPr>
          <w:rFonts w:ascii="Times New Roman" w:hAnsi="Times New Roman" w:cs="Times New Roman"/>
          <w:sz w:val="24"/>
          <w:szCs w:val="24"/>
        </w:rPr>
        <w:t xml:space="preserve"> cash returns.</w:t>
      </w:r>
    </w:p>
    <w:p w:rsidR="00863C88" w:rsidRPr="003C54F0" w:rsidRDefault="00B70CCC"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Another advantage of the payback period is that it is suitable for use in periods of limited funds as it allows for investment in </w:t>
      </w:r>
      <w:r w:rsidR="00481061" w:rsidRPr="003C54F0">
        <w:rPr>
          <w:rFonts w:ascii="Times New Roman" w:hAnsi="Times New Roman" w:cs="Times New Roman"/>
          <w:sz w:val="24"/>
          <w:szCs w:val="24"/>
        </w:rPr>
        <w:t>other profit-making possibilities since investors can easily estimate how soon they will receive a return on the investment.</w:t>
      </w:r>
    </w:p>
    <w:p w:rsidR="00D072AB" w:rsidRPr="00141FDA" w:rsidRDefault="00D072AB" w:rsidP="003C54F0">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Limitations</w:t>
      </w:r>
    </w:p>
    <w:p w:rsidR="001B2000" w:rsidRPr="00D072AB" w:rsidRDefault="001B2000"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A major limitation to payback period is that it does not take into consideration cash flows comes after the </w:t>
      </w:r>
      <w:r w:rsidR="009A5533" w:rsidRPr="003C54F0">
        <w:rPr>
          <w:rFonts w:ascii="Times New Roman" w:hAnsi="Times New Roman" w:cs="Times New Roman"/>
          <w:sz w:val="24"/>
          <w:szCs w:val="24"/>
        </w:rPr>
        <w:t>payback period thereby discriminating against investments that bring in considerable cash inflow after the payback period.</w:t>
      </w:r>
      <w:r w:rsidRPr="003C54F0">
        <w:rPr>
          <w:rFonts w:ascii="Times New Roman" w:hAnsi="Times New Roman" w:cs="Times New Roman"/>
          <w:sz w:val="24"/>
          <w:szCs w:val="24"/>
        </w:rPr>
        <w:t xml:space="preserve"> </w:t>
      </w:r>
    </w:p>
    <w:p w:rsidR="00D072AB" w:rsidRPr="003C54F0" w:rsidRDefault="00A579F7"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Also, it does not take into account the time value of money,</w:t>
      </w:r>
      <w:r w:rsidR="004B0F85" w:rsidRPr="003C54F0">
        <w:rPr>
          <w:rFonts w:ascii="Times New Roman" w:hAnsi="Times New Roman" w:cs="Times New Roman"/>
          <w:sz w:val="24"/>
          <w:szCs w:val="24"/>
        </w:rPr>
        <w:t xml:space="preserve"> </w:t>
      </w:r>
      <w:r w:rsidRPr="003C54F0">
        <w:rPr>
          <w:rFonts w:ascii="Times New Roman" w:hAnsi="Times New Roman" w:cs="Times New Roman"/>
          <w:sz w:val="24"/>
          <w:szCs w:val="24"/>
        </w:rPr>
        <w:t>it does not use any theoretical structure to set the cut off point and the calculations a are made wit</w:t>
      </w:r>
      <w:r w:rsidR="004B0F85" w:rsidRPr="003C54F0">
        <w:rPr>
          <w:rFonts w:ascii="Times New Roman" w:hAnsi="Times New Roman" w:cs="Times New Roman"/>
          <w:sz w:val="24"/>
          <w:szCs w:val="24"/>
        </w:rPr>
        <w:t>h no appropriate discounting.</w:t>
      </w:r>
    </w:p>
    <w:p w:rsidR="004B0F85" w:rsidRPr="00141FDA" w:rsidRDefault="005E120E" w:rsidP="003C54F0">
      <w:pPr>
        <w:spacing w:before="240"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Internal Rate of Return (IRR)</w:t>
      </w:r>
    </w:p>
    <w:p w:rsidR="00935290" w:rsidRPr="00935290" w:rsidRDefault="005E120E" w:rsidP="003C54F0">
      <w:pPr>
        <w:spacing w:before="240" w:line="360" w:lineRule="auto"/>
        <w:jc w:val="both"/>
        <w:rPr>
          <w:rFonts w:ascii="Times New Roman" w:hAnsi="Times New Roman" w:cs="Times New Roman"/>
          <w:sz w:val="24"/>
          <w:szCs w:val="24"/>
        </w:rPr>
      </w:pPr>
      <w:r w:rsidRPr="003C54F0">
        <w:rPr>
          <w:rFonts w:ascii="Times New Roman" w:hAnsi="Times New Roman" w:cs="Times New Roman"/>
          <w:sz w:val="24"/>
          <w:szCs w:val="24"/>
        </w:rPr>
        <w:t xml:space="preserve">IRR can be a can be a valuable </w:t>
      </w:r>
      <w:r w:rsidR="00FC6F45" w:rsidRPr="003C54F0">
        <w:rPr>
          <w:rFonts w:ascii="Times New Roman" w:hAnsi="Times New Roman" w:cs="Times New Roman"/>
          <w:sz w:val="24"/>
          <w:szCs w:val="24"/>
        </w:rPr>
        <w:t>aid w</w:t>
      </w:r>
      <w:r w:rsidR="00935290" w:rsidRPr="00935290">
        <w:rPr>
          <w:rFonts w:ascii="Times New Roman" w:hAnsi="Times New Roman" w:cs="Times New Roman"/>
          <w:sz w:val="24"/>
          <w:szCs w:val="24"/>
        </w:rPr>
        <w:t xml:space="preserve">hen </w:t>
      </w:r>
      <w:r w:rsidRPr="003C54F0">
        <w:rPr>
          <w:rFonts w:ascii="Times New Roman" w:hAnsi="Times New Roman" w:cs="Times New Roman"/>
          <w:sz w:val="24"/>
          <w:szCs w:val="24"/>
        </w:rPr>
        <w:t>assessing</w:t>
      </w:r>
      <w:r w:rsidR="00935290" w:rsidRPr="00935290">
        <w:rPr>
          <w:rFonts w:ascii="Times New Roman" w:hAnsi="Times New Roman" w:cs="Times New Roman"/>
          <w:sz w:val="24"/>
          <w:szCs w:val="24"/>
        </w:rPr>
        <w:t xml:space="preserve"> potential capital investments projects</w:t>
      </w:r>
      <w:r w:rsidR="00FC6F45" w:rsidRPr="003C54F0">
        <w:rPr>
          <w:rFonts w:ascii="Times New Roman" w:hAnsi="Times New Roman" w:cs="Times New Roman"/>
          <w:sz w:val="24"/>
          <w:szCs w:val="24"/>
        </w:rPr>
        <w:t xml:space="preserve"> to determine that which is beneficial to go after.  IRR have its pros and cons despite it playing a vital role in investment decision making.</w:t>
      </w:r>
    </w:p>
    <w:p w:rsidR="00935290" w:rsidRPr="00935290" w:rsidRDefault="00935290" w:rsidP="003C54F0">
      <w:pPr>
        <w:spacing w:line="360" w:lineRule="auto"/>
        <w:jc w:val="both"/>
        <w:rPr>
          <w:rFonts w:ascii="Times New Roman" w:hAnsi="Times New Roman" w:cs="Times New Roman"/>
          <w:b/>
          <w:bCs/>
          <w:sz w:val="24"/>
          <w:szCs w:val="24"/>
        </w:rPr>
      </w:pPr>
      <w:r w:rsidRPr="00935290">
        <w:rPr>
          <w:rFonts w:ascii="Times New Roman" w:hAnsi="Times New Roman" w:cs="Times New Roman"/>
          <w:b/>
          <w:bCs/>
          <w:sz w:val="24"/>
          <w:szCs w:val="24"/>
        </w:rPr>
        <w:t>Advantage</w:t>
      </w:r>
    </w:p>
    <w:p w:rsidR="00FC6F45" w:rsidRPr="003C54F0" w:rsidRDefault="00935290" w:rsidP="003C54F0">
      <w:pPr>
        <w:spacing w:line="360" w:lineRule="auto"/>
        <w:jc w:val="both"/>
        <w:rPr>
          <w:rFonts w:ascii="Times New Roman" w:hAnsi="Times New Roman" w:cs="Times New Roman"/>
          <w:sz w:val="24"/>
          <w:szCs w:val="24"/>
        </w:rPr>
      </w:pPr>
      <w:r w:rsidRPr="00935290">
        <w:rPr>
          <w:rFonts w:ascii="Times New Roman" w:hAnsi="Times New Roman" w:cs="Times New Roman"/>
          <w:sz w:val="24"/>
          <w:szCs w:val="24"/>
        </w:rPr>
        <w:t>The advantage</w:t>
      </w:r>
      <w:r w:rsidR="00FC6F45" w:rsidRPr="003C54F0">
        <w:rPr>
          <w:rFonts w:ascii="Times New Roman" w:hAnsi="Times New Roman" w:cs="Times New Roman"/>
          <w:sz w:val="24"/>
          <w:szCs w:val="24"/>
        </w:rPr>
        <w:t xml:space="preserve"> of IRR</w:t>
      </w:r>
      <w:r w:rsidRPr="00935290">
        <w:rPr>
          <w:rFonts w:ascii="Times New Roman" w:hAnsi="Times New Roman" w:cs="Times New Roman"/>
          <w:sz w:val="24"/>
          <w:szCs w:val="24"/>
        </w:rPr>
        <w:t xml:space="preserve"> is that</w:t>
      </w:r>
      <w:r w:rsidR="00FC6F45" w:rsidRPr="003C54F0">
        <w:rPr>
          <w:rFonts w:ascii="Times New Roman" w:hAnsi="Times New Roman" w:cs="Times New Roman"/>
          <w:sz w:val="24"/>
          <w:szCs w:val="24"/>
        </w:rPr>
        <w:t xml:space="preserve"> it takes into consideration the</w:t>
      </w:r>
      <w:r w:rsidRPr="00935290">
        <w:rPr>
          <w:rFonts w:ascii="Times New Roman" w:hAnsi="Times New Roman" w:cs="Times New Roman"/>
          <w:sz w:val="24"/>
          <w:szCs w:val="24"/>
        </w:rPr>
        <w:t xml:space="preserve"> timing of cash flows in all future years</w:t>
      </w:r>
      <w:r w:rsidR="005674BD" w:rsidRPr="003C54F0">
        <w:rPr>
          <w:rFonts w:ascii="Times New Roman" w:hAnsi="Times New Roman" w:cs="Times New Roman"/>
          <w:sz w:val="24"/>
          <w:szCs w:val="24"/>
        </w:rPr>
        <w:t>. As such, every cash flow is giving equal weight by making use of the time value of money.</w:t>
      </w:r>
    </w:p>
    <w:p w:rsidR="00935290" w:rsidRPr="00935290" w:rsidRDefault="00935290" w:rsidP="003C54F0">
      <w:pPr>
        <w:spacing w:line="360" w:lineRule="auto"/>
        <w:jc w:val="both"/>
        <w:rPr>
          <w:rFonts w:ascii="Times New Roman" w:hAnsi="Times New Roman" w:cs="Times New Roman"/>
          <w:sz w:val="24"/>
          <w:szCs w:val="24"/>
        </w:rPr>
      </w:pPr>
      <w:r w:rsidRPr="00935290">
        <w:rPr>
          <w:rFonts w:ascii="Times New Roman" w:hAnsi="Times New Roman" w:cs="Times New Roman"/>
          <w:sz w:val="24"/>
          <w:szCs w:val="24"/>
        </w:rPr>
        <w:t xml:space="preserve">The IRR </w:t>
      </w:r>
      <w:r w:rsidR="006128A7" w:rsidRPr="003C54F0">
        <w:rPr>
          <w:rFonts w:ascii="Times New Roman" w:hAnsi="Times New Roman" w:cs="Times New Roman"/>
          <w:sz w:val="24"/>
          <w:szCs w:val="24"/>
        </w:rPr>
        <w:t xml:space="preserve">is </w:t>
      </w:r>
      <w:r w:rsidRPr="00935290">
        <w:rPr>
          <w:rFonts w:ascii="Times New Roman" w:hAnsi="Times New Roman" w:cs="Times New Roman"/>
          <w:sz w:val="24"/>
          <w:szCs w:val="24"/>
        </w:rPr>
        <w:t>a</w:t>
      </w:r>
      <w:r w:rsidR="006128A7" w:rsidRPr="003C54F0">
        <w:rPr>
          <w:rFonts w:ascii="Times New Roman" w:hAnsi="Times New Roman" w:cs="Times New Roman"/>
          <w:sz w:val="24"/>
          <w:szCs w:val="24"/>
        </w:rPr>
        <w:t xml:space="preserve"> straightforward method</w:t>
      </w:r>
      <w:r w:rsidRPr="00935290">
        <w:rPr>
          <w:rFonts w:ascii="Times New Roman" w:hAnsi="Times New Roman" w:cs="Times New Roman"/>
          <w:sz w:val="24"/>
          <w:szCs w:val="24"/>
        </w:rPr>
        <w:t xml:space="preserve"> which</w:t>
      </w:r>
      <w:r w:rsidR="006128A7" w:rsidRPr="003C54F0">
        <w:rPr>
          <w:rFonts w:ascii="Times New Roman" w:hAnsi="Times New Roman" w:cs="Times New Roman"/>
          <w:sz w:val="24"/>
          <w:szCs w:val="24"/>
        </w:rPr>
        <w:t xml:space="preserve"> can be </w:t>
      </w:r>
      <w:r w:rsidR="005C741A" w:rsidRPr="003C54F0">
        <w:rPr>
          <w:rFonts w:ascii="Times New Roman" w:hAnsi="Times New Roman" w:cs="Times New Roman"/>
          <w:sz w:val="24"/>
          <w:szCs w:val="24"/>
        </w:rPr>
        <w:t>used to</w:t>
      </w:r>
      <w:r w:rsidRPr="00935290">
        <w:rPr>
          <w:rFonts w:ascii="Times New Roman" w:hAnsi="Times New Roman" w:cs="Times New Roman"/>
          <w:sz w:val="24"/>
          <w:szCs w:val="24"/>
        </w:rPr>
        <w:t xml:space="preserve"> compare the </w:t>
      </w:r>
      <w:r w:rsidR="006128A7" w:rsidRPr="003C54F0">
        <w:rPr>
          <w:rFonts w:ascii="Times New Roman" w:hAnsi="Times New Roman" w:cs="Times New Roman"/>
          <w:sz w:val="24"/>
          <w:szCs w:val="24"/>
        </w:rPr>
        <w:t>outcome</w:t>
      </w:r>
      <w:r w:rsidRPr="00935290">
        <w:rPr>
          <w:rFonts w:ascii="Times New Roman" w:hAnsi="Times New Roman" w:cs="Times New Roman"/>
          <w:sz w:val="24"/>
          <w:szCs w:val="24"/>
        </w:rPr>
        <w:t xml:space="preserve"> of </w:t>
      </w:r>
      <w:r w:rsidR="006128A7" w:rsidRPr="003C54F0">
        <w:rPr>
          <w:rFonts w:ascii="Times New Roman" w:hAnsi="Times New Roman" w:cs="Times New Roman"/>
          <w:sz w:val="24"/>
          <w:szCs w:val="24"/>
        </w:rPr>
        <w:t>different</w:t>
      </w:r>
      <w:r w:rsidRPr="00935290">
        <w:rPr>
          <w:rFonts w:ascii="Times New Roman" w:hAnsi="Times New Roman" w:cs="Times New Roman"/>
          <w:sz w:val="24"/>
          <w:szCs w:val="24"/>
        </w:rPr>
        <w:t xml:space="preserve"> projects under consideration. Th</w:t>
      </w:r>
      <w:r w:rsidR="006128A7" w:rsidRPr="003C54F0">
        <w:rPr>
          <w:rFonts w:ascii="Times New Roman" w:hAnsi="Times New Roman" w:cs="Times New Roman"/>
          <w:sz w:val="24"/>
          <w:szCs w:val="24"/>
        </w:rPr>
        <w:t xml:space="preserve">at </w:t>
      </w:r>
      <w:r w:rsidR="005C741A" w:rsidRPr="003C54F0">
        <w:rPr>
          <w:rFonts w:ascii="Times New Roman" w:hAnsi="Times New Roman" w:cs="Times New Roman"/>
          <w:sz w:val="24"/>
          <w:szCs w:val="24"/>
        </w:rPr>
        <w:t>is, a</w:t>
      </w:r>
      <w:r w:rsidRPr="00935290">
        <w:rPr>
          <w:rFonts w:ascii="Times New Roman" w:hAnsi="Times New Roman" w:cs="Times New Roman"/>
          <w:sz w:val="24"/>
          <w:szCs w:val="24"/>
        </w:rPr>
        <w:t xml:space="preserve"> quick </w:t>
      </w:r>
      <w:r w:rsidR="006128A7" w:rsidRPr="003C54F0">
        <w:rPr>
          <w:rFonts w:ascii="Times New Roman" w:hAnsi="Times New Roman" w:cs="Times New Roman"/>
          <w:sz w:val="24"/>
          <w:szCs w:val="24"/>
        </w:rPr>
        <w:t>view</w:t>
      </w:r>
      <w:r w:rsidRPr="00935290">
        <w:rPr>
          <w:rFonts w:ascii="Times New Roman" w:hAnsi="Times New Roman" w:cs="Times New Roman"/>
          <w:sz w:val="24"/>
          <w:szCs w:val="24"/>
        </w:rPr>
        <w:t xml:space="preserve"> of </w:t>
      </w:r>
      <w:r w:rsidR="006128A7" w:rsidRPr="003C54F0">
        <w:rPr>
          <w:rFonts w:ascii="Times New Roman" w:hAnsi="Times New Roman" w:cs="Times New Roman"/>
          <w:sz w:val="24"/>
          <w:szCs w:val="24"/>
        </w:rPr>
        <w:t>the</w:t>
      </w:r>
      <w:r w:rsidRPr="00935290">
        <w:rPr>
          <w:rFonts w:ascii="Times New Roman" w:hAnsi="Times New Roman" w:cs="Times New Roman"/>
          <w:sz w:val="24"/>
          <w:szCs w:val="24"/>
        </w:rPr>
        <w:t xml:space="preserve"> projects</w:t>
      </w:r>
      <w:r w:rsidR="005C741A" w:rsidRPr="003C54F0">
        <w:rPr>
          <w:rFonts w:ascii="Times New Roman" w:hAnsi="Times New Roman" w:cs="Times New Roman"/>
          <w:sz w:val="24"/>
          <w:szCs w:val="24"/>
        </w:rPr>
        <w:t xml:space="preserve"> that</w:t>
      </w:r>
      <w:r w:rsidRPr="00935290">
        <w:rPr>
          <w:rFonts w:ascii="Times New Roman" w:hAnsi="Times New Roman" w:cs="Times New Roman"/>
          <w:sz w:val="24"/>
          <w:szCs w:val="24"/>
        </w:rPr>
        <w:t xml:space="preserve"> would</w:t>
      </w:r>
      <w:r w:rsidR="005C741A" w:rsidRPr="003C54F0">
        <w:rPr>
          <w:rFonts w:ascii="Times New Roman" w:hAnsi="Times New Roman" w:cs="Times New Roman"/>
          <w:sz w:val="24"/>
          <w:szCs w:val="24"/>
        </w:rPr>
        <w:t xml:space="preserve"> offer</w:t>
      </w:r>
      <w:r w:rsidRPr="00935290">
        <w:rPr>
          <w:rFonts w:ascii="Times New Roman" w:hAnsi="Times New Roman" w:cs="Times New Roman"/>
          <w:sz w:val="24"/>
          <w:szCs w:val="24"/>
        </w:rPr>
        <w:t xml:space="preserve"> the </w:t>
      </w:r>
      <w:r w:rsidR="005C741A" w:rsidRPr="003C54F0">
        <w:rPr>
          <w:rFonts w:ascii="Times New Roman" w:hAnsi="Times New Roman" w:cs="Times New Roman"/>
          <w:sz w:val="24"/>
          <w:szCs w:val="24"/>
        </w:rPr>
        <w:t>highest</w:t>
      </w:r>
      <w:r w:rsidRPr="00935290">
        <w:rPr>
          <w:rFonts w:ascii="Times New Roman" w:hAnsi="Times New Roman" w:cs="Times New Roman"/>
          <w:sz w:val="24"/>
          <w:szCs w:val="24"/>
        </w:rPr>
        <w:t xml:space="preserve"> potential cash flow.</w:t>
      </w:r>
    </w:p>
    <w:p w:rsidR="001D72A6" w:rsidRPr="00935290" w:rsidRDefault="00935290" w:rsidP="003C54F0">
      <w:pPr>
        <w:spacing w:line="360" w:lineRule="auto"/>
        <w:jc w:val="both"/>
        <w:rPr>
          <w:rFonts w:ascii="Times New Roman" w:hAnsi="Times New Roman" w:cs="Times New Roman"/>
          <w:b/>
          <w:bCs/>
          <w:sz w:val="24"/>
          <w:szCs w:val="24"/>
        </w:rPr>
      </w:pPr>
      <w:r w:rsidRPr="00935290">
        <w:rPr>
          <w:rFonts w:ascii="Times New Roman" w:hAnsi="Times New Roman" w:cs="Times New Roman"/>
          <w:b/>
          <w:bCs/>
          <w:sz w:val="24"/>
          <w:szCs w:val="24"/>
        </w:rPr>
        <w:t>Disadvantage</w:t>
      </w:r>
    </w:p>
    <w:p w:rsidR="00935290" w:rsidRPr="00935290" w:rsidRDefault="00935290" w:rsidP="003C54F0">
      <w:pPr>
        <w:spacing w:line="360" w:lineRule="auto"/>
        <w:jc w:val="both"/>
        <w:rPr>
          <w:rFonts w:ascii="Times New Roman" w:hAnsi="Times New Roman" w:cs="Times New Roman"/>
          <w:sz w:val="24"/>
          <w:szCs w:val="24"/>
        </w:rPr>
      </w:pPr>
      <w:r w:rsidRPr="00935290">
        <w:rPr>
          <w:rFonts w:ascii="Times New Roman" w:hAnsi="Times New Roman" w:cs="Times New Roman"/>
          <w:sz w:val="24"/>
          <w:szCs w:val="24"/>
        </w:rPr>
        <w:t xml:space="preserve">A disadvantage of using the IRR method is that </w:t>
      </w:r>
      <w:r w:rsidR="001D72A6" w:rsidRPr="003C54F0">
        <w:rPr>
          <w:rFonts w:ascii="Times New Roman" w:hAnsi="Times New Roman" w:cs="Times New Roman"/>
          <w:sz w:val="24"/>
          <w:szCs w:val="24"/>
        </w:rPr>
        <w:t xml:space="preserve">when comparing investment </w:t>
      </w:r>
      <w:r w:rsidR="003F5B44" w:rsidRPr="003C54F0">
        <w:rPr>
          <w:rFonts w:ascii="Times New Roman" w:hAnsi="Times New Roman" w:cs="Times New Roman"/>
          <w:sz w:val="24"/>
          <w:szCs w:val="24"/>
        </w:rPr>
        <w:t>projects,</w:t>
      </w:r>
      <w:r w:rsidR="001D72A6" w:rsidRPr="003C54F0">
        <w:rPr>
          <w:rFonts w:ascii="Times New Roman" w:hAnsi="Times New Roman" w:cs="Times New Roman"/>
          <w:sz w:val="24"/>
          <w:szCs w:val="24"/>
        </w:rPr>
        <w:t xml:space="preserve"> it</w:t>
      </w:r>
      <w:r w:rsidRPr="00935290">
        <w:rPr>
          <w:rFonts w:ascii="Times New Roman" w:hAnsi="Times New Roman" w:cs="Times New Roman"/>
          <w:sz w:val="24"/>
          <w:szCs w:val="24"/>
        </w:rPr>
        <w:t xml:space="preserve"> does not</w:t>
      </w:r>
      <w:r w:rsidR="001D72A6" w:rsidRPr="003C54F0">
        <w:rPr>
          <w:rFonts w:ascii="Times New Roman" w:hAnsi="Times New Roman" w:cs="Times New Roman"/>
          <w:sz w:val="24"/>
          <w:szCs w:val="24"/>
        </w:rPr>
        <w:t xml:space="preserve"> consider the</w:t>
      </w:r>
      <w:r w:rsidR="003F5B44" w:rsidRPr="003C54F0">
        <w:rPr>
          <w:rFonts w:ascii="Times New Roman" w:hAnsi="Times New Roman" w:cs="Times New Roman"/>
          <w:sz w:val="24"/>
          <w:szCs w:val="24"/>
        </w:rPr>
        <w:t xml:space="preserve"> size of</w:t>
      </w:r>
      <w:r w:rsidRPr="00935290">
        <w:rPr>
          <w:rFonts w:ascii="Times New Roman" w:hAnsi="Times New Roman" w:cs="Times New Roman"/>
          <w:sz w:val="24"/>
          <w:szCs w:val="24"/>
        </w:rPr>
        <w:t xml:space="preserve"> the project. </w:t>
      </w:r>
      <w:r w:rsidR="00AE0E4F" w:rsidRPr="003C54F0">
        <w:rPr>
          <w:rFonts w:ascii="Times New Roman" w:hAnsi="Times New Roman" w:cs="Times New Roman"/>
          <w:sz w:val="24"/>
          <w:szCs w:val="24"/>
        </w:rPr>
        <w:t xml:space="preserve">It simply compares cash flows to the investment producing he cash flows. This can be problematic especially in situations where there is the need for different amount of investments for separate projects. </w:t>
      </w:r>
    </w:p>
    <w:p w:rsidR="00935290" w:rsidRPr="00935290" w:rsidRDefault="00E1306A"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lastRenderedPageBreak/>
        <w:t>Another shortcoming for IRR is that it only considers projected cash flows of predicted investment and neglect likely cost in the future that can affect profits.</w:t>
      </w:r>
    </w:p>
    <w:p w:rsidR="00F86A6D" w:rsidRPr="00367328" w:rsidRDefault="00BC5184" w:rsidP="003C54F0">
      <w:pPr>
        <w:spacing w:line="360" w:lineRule="auto"/>
        <w:jc w:val="both"/>
        <w:rPr>
          <w:rFonts w:ascii="Times New Roman" w:hAnsi="Times New Roman" w:cs="Times New Roman"/>
          <w:b/>
          <w:bCs/>
          <w:sz w:val="24"/>
          <w:szCs w:val="24"/>
        </w:rPr>
      </w:pPr>
      <w:r w:rsidRPr="00367328">
        <w:rPr>
          <w:rFonts w:ascii="Times New Roman" w:hAnsi="Times New Roman" w:cs="Times New Roman"/>
          <w:b/>
          <w:bCs/>
          <w:sz w:val="24"/>
          <w:szCs w:val="24"/>
        </w:rPr>
        <w:t>Net Present Value</w:t>
      </w:r>
      <w:r w:rsidR="0088128A" w:rsidRPr="00367328">
        <w:rPr>
          <w:rFonts w:ascii="Times New Roman" w:hAnsi="Times New Roman" w:cs="Times New Roman"/>
          <w:b/>
          <w:bCs/>
          <w:sz w:val="24"/>
          <w:szCs w:val="24"/>
        </w:rPr>
        <w:t xml:space="preserve"> a</w:t>
      </w:r>
      <w:r w:rsidR="00F86A6D" w:rsidRPr="00367328">
        <w:rPr>
          <w:rFonts w:ascii="Times New Roman" w:hAnsi="Times New Roman" w:cs="Times New Roman"/>
          <w:b/>
          <w:bCs/>
          <w:sz w:val="24"/>
          <w:szCs w:val="24"/>
        </w:rPr>
        <w:t>dvantage</w:t>
      </w:r>
    </w:p>
    <w:p w:rsidR="00F86A6D" w:rsidRPr="003C54F0" w:rsidRDefault="00F86A6D" w:rsidP="003C54F0">
      <w:pPr>
        <w:spacing w:line="360" w:lineRule="auto"/>
        <w:jc w:val="both"/>
        <w:rPr>
          <w:rFonts w:ascii="Times New Roman" w:hAnsi="Times New Roman" w:cs="Times New Roman"/>
          <w:sz w:val="24"/>
          <w:szCs w:val="24"/>
        </w:rPr>
      </w:pPr>
      <w:r w:rsidRPr="00F86A6D">
        <w:rPr>
          <w:rFonts w:ascii="Times New Roman" w:hAnsi="Times New Roman" w:cs="Times New Roman"/>
          <w:sz w:val="24"/>
          <w:szCs w:val="24"/>
        </w:rPr>
        <w:t>One advantage of the net present valu</w:t>
      </w:r>
      <w:r w:rsidR="005D6BEB" w:rsidRPr="003C54F0">
        <w:rPr>
          <w:rFonts w:ascii="Times New Roman" w:hAnsi="Times New Roman" w:cs="Times New Roman"/>
          <w:sz w:val="24"/>
          <w:szCs w:val="24"/>
        </w:rPr>
        <w:t>e is</w:t>
      </w:r>
      <w:r w:rsidRPr="00F86A6D">
        <w:rPr>
          <w:rFonts w:ascii="Times New Roman" w:hAnsi="Times New Roman" w:cs="Times New Roman"/>
          <w:sz w:val="24"/>
          <w:szCs w:val="24"/>
        </w:rPr>
        <w:t xml:space="preserve"> </w:t>
      </w:r>
      <w:r w:rsidR="005D6BEB" w:rsidRPr="003C54F0">
        <w:rPr>
          <w:rFonts w:ascii="Times New Roman" w:hAnsi="Times New Roman" w:cs="Times New Roman"/>
          <w:sz w:val="24"/>
          <w:szCs w:val="24"/>
        </w:rPr>
        <w:t xml:space="preserve">that </w:t>
      </w:r>
      <w:r w:rsidRPr="00F86A6D">
        <w:rPr>
          <w:rFonts w:ascii="Times New Roman" w:hAnsi="Times New Roman" w:cs="Times New Roman"/>
          <w:sz w:val="24"/>
          <w:szCs w:val="24"/>
        </w:rPr>
        <w:t>it conside</w:t>
      </w:r>
      <w:r w:rsidR="005D6BEB" w:rsidRPr="003C54F0">
        <w:rPr>
          <w:rFonts w:ascii="Times New Roman" w:hAnsi="Times New Roman" w:cs="Times New Roman"/>
          <w:sz w:val="24"/>
          <w:szCs w:val="24"/>
        </w:rPr>
        <w:t>rs</w:t>
      </w:r>
      <w:r w:rsidRPr="00F86A6D">
        <w:rPr>
          <w:rFonts w:ascii="Times New Roman" w:hAnsi="Times New Roman" w:cs="Times New Roman"/>
          <w:sz w:val="24"/>
          <w:szCs w:val="24"/>
        </w:rPr>
        <w:t xml:space="preserve"> the time value of money</w:t>
      </w:r>
      <w:r w:rsidR="005D6BEB" w:rsidRPr="003C54F0">
        <w:rPr>
          <w:rFonts w:ascii="Times New Roman" w:hAnsi="Times New Roman" w:cs="Times New Roman"/>
          <w:sz w:val="24"/>
          <w:szCs w:val="24"/>
        </w:rPr>
        <w:t xml:space="preserve"> given that the</w:t>
      </w:r>
      <w:r w:rsidRPr="00F86A6D">
        <w:rPr>
          <w:rFonts w:ascii="Times New Roman" w:hAnsi="Times New Roman" w:cs="Times New Roman"/>
          <w:sz w:val="24"/>
          <w:szCs w:val="24"/>
        </w:rPr>
        <w:t xml:space="preserve"> value of money changes over time </w:t>
      </w:r>
      <w:r w:rsidR="005D6BEB" w:rsidRPr="003C54F0">
        <w:rPr>
          <w:rFonts w:ascii="Times New Roman" w:hAnsi="Times New Roman" w:cs="Times New Roman"/>
          <w:sz w:val="24"/>
          <w:szCs w:val="24"/>
        </w:rPr>
        <w:t>particularly</w:t>
      </w:r>
      <w:r w:rsidRPr="00F86A6D">
        <w:rPr>
          <w:rFonts w:ascii="Times New Roman" w:hAnsi="Times New Roman" w:cs="Times New Roman"/>
          <w:sz w:val="24"/>
          <w:szCs w:val="24"/>
        </w:rPr>
        <w:t xml:space="preserve"> </w:t>
      </w:r>
      <w:r w:rsidR="005D6BEB" w:rsidRPr="003C54F0">
        <w:rPr>
          <w:rFonts w:ascii="Times New Roman" w:hAnsi="Times New Roman" w:cs="Times New Roman"/>
          <w:sz w:val="24"/>
          <w:szCs w:val="24"/>
        </w:rPr>
        <w:t>in</w:t>
      </w:r>
      <w:r w:rsidRPr="00F86A6D">
        <w:rPr>
          <w:rFonts w:ascii="Times New Roman" w:hAnsi="Times New Roman" w:cs="Times New Roman"/>
          <w:sz w:val="24"/>
          <w:szCs w:val="24"/>
        </w:rPr>
        <w:t xml:space="preserve"> periods of high inflation or deflation. </w:t>
      </w:r>
    </w:p>
    <w:p w:rsidR="00F86A6D" w:rsidRPr="00F86A6D" w:rsidRDefault="00414243" w:rsidP="003C54F0">
      <w:pPr>
        <w:spacing w:line="360" w:lineRule="auto"/>
        <w:jc w:val="both"/>
        <w:rPr>
          <w:rFonts w:ascii="Times New Roman" w:hAnsi="Times New Roman" w:cs="Times New Roman"/>
          <w:sz w:val="24"/>
          <w:szCs w:val="24"/>
        </w:rPr>
      </w:pPr>
      <w:r w:rsidRPr="003C54F0">
        <w:rPr>
          <w:rFonts w:ascii="Times New Roman" w:hAnsi="Times New Roman" w:cs="Times New Roman"/>
          <w:sz w:val="24"/>
          <w:szCs w:val="24"/>
        </w:rPr>
        <w:t>Also, net present value helps investors and organisations to calculate and evaluate the current total value of projects through which they can determine which protect to consider.</w:t>
      </w:r>
    </w:p>
    <w:p w:rsidR="00F86A6D" w:rsidRPr="00367328" w:rsidRDefault="00F86A6D" w:rsidP="003C54F0">
      <w:pPr>
        <w:spacing w:line="360" w:lineRule="auto"/>
        <w:jc w:val="both"/>
        <w:rPr>
          <w:rFonts w:ascii="Times New Roman" w:hAnsi="Times New Roman" w:cs="Times New Roman"/>
          <w:b/>
          <w:bCs/>
          <w:sz w:val="24"/>
          <w:szCs w:val="24"/>
        </w:rPr>
      </w:pPr>
      <w:r w:rsidRPr="00367328">
        <w:rPr>
          <w:rFonts w:ascii="Times New Roman" w:hAnsi="Times New Roman" w:cs="Times New Roman"/>
          <w:b/>
          <w:bCs/>
          <w:sz w:val="24"/>
          <w:szCs w:val="24"/>
        </w:rPr>
        <w:t>Disadvantage:</w:t>
      </w:r>
    </w:p>
    <w:p w:rsidR="00F86A6D" w:rsidRPr="00F86A6D" w:rsidRDefault="00F86A6D" w:rsidP="003C54F0">
      <w:pPr>
        <w:spacing w:line="360" w:lineRule="auto"/>
        <w:jc w:val="both"/>
        <w:rPr>
          <w:rFonts w:ascii="Times New Roman" w:hAnsi="Times New Roman" w:cs="Times New Roman"/>
          <w:sz w:val="24"/>
          <w:szCs w:val="24"/>
        </w:rPr>
      </w:pPr>
      <w:r w:rsidRPr="00F86A6D">
        <w:rPr>
          <w:rFonts w:ascii="Times New Roman" w:hAnsi="Times New Roman" w:cs="Times New Roman"/>
          <w:sz w:val="24"/>
          <w:szCs w:val="24"/>
        </w:rPr>
        <w:t xml:space="preserve">A disadvantage of the net present value is that it </w:t>
      </w:r>
      <w:r w:rsidR="00A648DF" w:rsidRPr="003C54F0">
        <w:rPr>
          <w:rFonts w:ascii="Times New Roman" w:hAnsi="Times New Roman" w:cs="Times New Roman"/>
          <w:sz w:val="24"/>
          <w:szCs w:val="24"/>
        </w:rPr>
        <w:t>involves multiple</w:t>
      </w:r>
      <w:r w:rsidRPr="00F86A6D">
        <w:rPr>
          <w:rFonts w:ascii="Times New Roman" w:hAnsi="Times New Roman" w:cs="Times New Roman"/>
          <w:sz w:val="24"/>
          <w:szCs w:val="24"/>
        </w:rPr>
        <w:t xml:space="preserve"> complex calculations</w:t>
      </w:r>
      <w:r w:rsidR="00A648DF" w:rsidRPr="003C54F0">
        <w:rPr>
          <w:rFonts w:ascii="Times New Roman" w:hAnsi="Times New Roman" w:cs="Times New Roman"/>
          <w:sz w:val="24"/>
          <w:szCs w:val="24"/>
        </w:rPr>
        <w:t xml:space="preserve"> and investors must</w:t>
      </w:r>
      <w:r w:rsidRPr="00F86A6D">
        <w:rPr>
          <w:rFonts w:ascii="Times New Roman" w:hAnsi="Times New Roman" w:cs="Times New Roman"/>
          <w:sz w:val="24"/>
          <w:szCs w:val="24"/>
        </w:rPr>
        <w:t xml:space="preserve"> </w:t>
      </w:r>
      <w:r w:rsidR="00A648DF" w:rsidRPr="003C54F0">
        <w:rPr>
          <w:rFonts w:ascii="Times New Roman" w:hAnsi="Times New Roman" w:cs="Times New Roman"/>
          <w:sz w:val="24"/>
          <w:szCs w:val="24"/>
        </w:rPr>
        <w:t>weigh up</w:t>
      </w:r>
      <w:r w:rsidRPr="00F86A6D">
        <w:rPr>
          <w:rFonts w:ascii="Times New Roman" w:hAnsi="Times New Roman" w:cs="Times New Roman"/>
          <w:sz w:val="24"/>
          <w:szCs w:val="24"/>
        </w:rPr>
        <w:t xml:space="preserve"> </w:t>
      </w:r>
      <w:r w:rsidR="00A648DF" w:rsidRPr="003C54F0">
        <w:rPr>
          <w:rFonts w:ascii="Times New Roman" w:hAnsi="Times New Roman" w:cs="Times New Roman"/>
          <w:sz w:val="24"/>
          <w:szCs w:val="24"/>
        </w:rPr>
        <w:t>every</w:t>
      </w:r>
      <w:r w:rsidRPr="00F86A6D">
        <w:rPr>
          <w:rFonts w:ascii="Times New Roman" w:hAnsi="Times New Roman" w:cs="Times New Roman"/>
          <w:sz w:val="24"/>
          <w:szCs w:val="24"/>
        </w:rPr>
        <w:t xml:space="preserve"> cash transaction that will occur with the project. </w:t>
      </w:r>
      <w:r w:rsidR="00A648DF" w:rsidRPr="003C54F0">
        <w:rPr>
          <w:rFonts w:ascii="Times New Roman" w:hAnsi="Times New Roman" w:cs="Times New Roman"/>
          <w:sz w:val="24"/>
          <w:szCs w:val="24"/>
        </w:rPr>
        <w:t>investors</w:t>
      </w:r>
      <w:r w:rsidRPr="00F86A6D">
        <w:rPr>
          <w:rFonts w:ascii="Times New Roman" w:hAnsi="Times New Roman" w:cs="Times New Roman"/>
          <w:sz w:val="24"/>
          <w:szCs w:val="24"/>
        </w:rPr>
        <w:t xml:space="preserve"> </w:t>
      </w:r>
      <w:r w:rsidR="00A648DF" w:rsidRPr="003C54F0">
        <w:rPr>
          <w:rFonts w:ascii="Times New Roman" w:hAnsi="Times New Roman" w:cs="Times New Roman"/>
          <w:sz w:val="24"/>
          <w:szCs w:val="24"/>
        </w:rPr>
        <w:t xml:space="preserve">make </w:t>
      </w:r>
      <w:r w:rsidRPr="00F86A6D">
        <w:rPr>
          <w:rFonts w:ascii="Times New Roman" w:hAnsi="Times New Roman" w:cs="Times New Roman"/>
          <w:sz w:val="24"/>
          <w:szCs w:val="24"/>
        </w:rPr>
        <w:t xml:space="preserve">use </w:t>
      </w:r>
      <w:r w:rsidR="00A648DF" w:rsidRPr="003C54F0">
        <w:rPr>
          <w:rFonts w:ascii="Times New Roman" w:hAnsi="Times New Roman" w:cs="Times New Roman"/>
          <w:sz w:val="24"/>
          <w:szCs w:val="24"/>
        </w:rPr>
        <w:t xml:space="preserve">of </w:t>
      </w:r>
      <w:r w:rsidRPr="00F86A6D">
        <w:rPr>
          <w:rFonts w:ascii="Times New Roman" w:hAnsi="Times New Roman" w:cs="Times New Roman"/>
          <w:sz w:val="24"/>
          <w:szCs w:val="24"/>
        </w:rPr>
        <w:t>numeric tables that provide multipliers for various time periods and interest rates</w:t>
      </w:r>
      <w:r w:rsidR="002A69DB" w:rsidRPr="003C54F0">
        <w:rPr>
          <w:rFonts w:ascii="Times New Roman" w:hAnsi="Times New Roman" w:cs="Times New Roman"/>
          <w:sz w:val="24"/>
          <w:szCs w:val="24"/>
        </w:rPr>
        <w:t xml:space="preserve"> which </w:t>
      </w:r>
      <w:r w:rsidR="002A69DB" w:rsidRPr="00F86A6D">
        <w:rPr>
          <w:rFonts w:ascii="Times New Roman" w:hAnsi="Times New Roman" w:cs="Times New Roman"/>
          <w:sz w:val="24"/>
          <w:szCs w:val="24"/>
        </w:rPr>
        <w:t>the total</w:t>
      </w:r>
      <w:r w:rsidR="002A69DB" w:rsidRPr="003C54F0">
        <w:rPr>
          <w:rFonts w:ascii="Times New Roman" w:hAnsi="Times New Roman" w:cs="Times New Roman"/>
          <w:sz w:val="24"/>
          <w:szCs w:val="24"/>
        </w:rPr>
        <w:t xml:space="preserve"> is then</w:t>
      </w:r>
      <w:r w:rsidRPr="00F86A6D">
        <w:rPr>
          <w:rFonts w:ascii="Times New Roman" w:hAnsi="Times New Roman" w:cs="Times New Roman"/>
          <w:sz w:val="24"/>
          <w:szCs w:val="24"/>
        </w:rPr>
        <w:t xml:space="preserve"> add</w:t>
      </w:r>
      <w:r w:rsidR="002A69DB" w:rsidRPr="003C54F0">
        <w:rPr>
          <w:rFonts w:ascii="Times New Roman" w:hAnsi="Times New Roman" w:cs="Times New Roman"/>
          <w:sz w:val="24"/>
          <w:szCs w:val="24"/>
        </w:rPr>
        <w:t>ed</w:t>
      </w:r>
      <w:r w:rsidRPr="00F86A6D">
        <w:rPr>
          <w:rFonts w:ascii="Times New Roman" w:hAnsi="Times New Roman" w:cs="Times New Roman"/>
          <w:sz w:val="24"/>
          <w:szCs w:val="24"/>
        </w:rPr>
        <w:t xml:space="preserve"> up to determine the net present value of the project.</w:t>
      </w:r>
    </w:p>
    <w:p w:rsidR="00F86A6D" w:rsidRPr="00F86A6D" w:rsidRDefault="00F86A6D" w:rsidP="003C54F0">
      <w:pPr>
        <w:spacing w:line="360" w:lineRule="auto"/>
        <w:jc w:val="both"/>
        <w:rPr>
          <w:rFonts w:ascii="Times New Roman" w:hAnsi="Times New Roman" w:cs="Times New Roman"/>
          <w:sz w:val="24"/>
          <w:szCs w:val="24"/>
        </w:rPr>
      </w:pPr>
      <w:r w:rsidRPr="00F86A6D">
        <w:rPr>
          <w:rFonts w:ascii="Times New Roman" w:hAnsi="Times New Roman" w:cs="Times New Roman"/>
          <w:sz w:val="24"/>
          <w:szCs w:val="24"/>
        </w:rPr>
        <w:t xml:space="preserve">Another disadvantage of </w:t>
      </w:r>
      <w:r w:rsidR="00FF3B5D" w:rsidRPr="003C54F0">
        <w:rPr>
          <w:rFonts w:ascii="Times New Roman" w:hAnsi="Times New Roman" w:cs="Times New Roman"/>
          <w:sz w:val="24"/>
          <w:szCs w:val="24"/>
        </w:rPr>
        <w:t>net present value is</w:t>
      </w:r>
      <w:r w:rsidRPr="00F86A6D">
        <w:rPr>
          <w:rFonts w:ascii="Times New Roman" w:hAnsi="Times New Roman" w:cs="Times New Roman"/>
          <w:sz w:val="24"/>
          <w:szCs w:val="24"/>
        </w:rPr>
        <w:t xml:space="preserve"> its use of assumptions. </w:t>
      </w:r>
      <w:r w:rsidR="00FF3B5D" w:rsidRPr="003C54F0">
        <w:rPr>
          <w:rFonts w:ascii="Times New Roman" w:hAnsi="Times New Roman" w:cs="Times New Roman"/>
          <w:sz w:val="24"/>
          <w:szCs w:val="24"/>
        </w:rPr>
        <w:t>With this, investors</w:t>
      </w:r>
      <w:r w:rsidRPr="00F86A6D">
        <w:rPr>
          <w:rFonts w:ascii="Times New Roman" w:hAnsi="Times New Roman" w:cs="Times New Roman"/>
          <w:sz w:val="24"/>
          <w:szCs w:val="24"/>
        </w:rPr>
        <w:t xml:space="preserve"> </w:t>
      </w:r>
      <w:r w:rsidR="00FF3B5D" w:rsidRPr="003C54F0">
        <w:rPr>
          <w:rFonts w:ascii="Times New Roman" w:hAnsi="Times New Roman" w:cs="Times New Roman"/>
          <w:sz w:val="24"/>
          <w:szCs w:val="24"/>
        </w:rPr>
        <w:t xml:space="preserve">are </w:t>
      </w:r>
      <w:r w:rsidR="001B05D0" w:rsidRPr="003C54F0">
        <w:rPr>
          <w:rFonts w:ascii="Times New Roman" w:hAnsi="Times New Roman" w:cs="Times New Roman"/>
          <w:sz w:val="24"/>
          <w:szCs w:val="24"/>
        </w:rPr>
        <w:t>required</w:t>
      </w:r>
      <w:r w:rsidRPr="00F86A6D">
        <w:rPr>
          <w:rFonts w:ascii="Times New Roman" w:hAnsi="Times New Roman" w:cs="Times New Roman"/>
          <w:sz w:val="24"/>
          <w:szCs w:val="24"/>
        </w:rPr>
        <w:t xml:space="preserve"> to make assumptions </w:t>
      </w:r>
      <w:r w:rsidR="00FF3B5D" w:rsidRPr="003C54F0">
        <w:rPr>
          <w:rFonts w:ascii="Times New Roman" w:hAnsi="Times New Roman" w:cs="Times New Roman"/>
          <w:sz w:val="24"/>
          <w:szCs w:val="24"/>
        </w:rPr>
        <w:t>in relation</w:t>
      </w:r>
      <w:r w:rsidRPr="00F86A6D">
        <w:rPr>
          <w:rFonts w:ascii="Times New Roman" w:hAnsi="Times New Roman" w:cs="Times New Roman"/>
          <w:sz w:val="24"/>
          <w:szCs w:val="24"/>
        </w:rPr>
        <w:t xml:space="preserve"> </w:t>
      </w:r>
      <w:r w:rsidR="00FF3B5D" w:rsidRPr="003C54F0">
        <w:rPr>
          <w:rFonts w:ascii="Times New Roman" w:hAnsi="Times New Roman" w:cs="Times New Roman"/>
          <w:sz w:val="24"/>
          <w:szCs w:val="24"/>
        </w:rPr>
        <w:t>to</w:t>
      </w:r>
      <w:r w:rsidRPr="00F86A6D">
        <w:rPr>
          <w:rFonts w:ascii="Times New Roman" w:hAnsi="Times New Roman" w:cs="Times New Roman"/>
          <w:sz w:val="24"/>
          <w:szCs w:val="24"/>
        </w:rPr>
        <w:t xml:space="preserve"> </w:t>
      </w:r>
      <w:r w:rsidR="00FF3B5D" w:rsidRPr="003C54F0">
        <w:rPr>
          <w:rFonts w:ascii="Times New Roman" w:hAnsi="Times New Roman" w:cs="Times New Roman"/>
          <w:sz w:val="24"/>
          <w:szCs w:val="24"/>
        </w:rPr>
        <w:t>the amount</w:t>
      </w:r>
      <w:r w:rsidRPr="00F86A6D">
        <w:rPr>
          <w:rFonts w:ascii="Times New Roman" w:hAnsi="Times New Roman" w:cs="Times New Roman"/>
          <w:sz w:val="24"/>
          <w:szCs w:val="24"/>
        </w:rPr>
        <w:t xml:space="preserve"> and timing of future cash transactions </w:t>
      </w:r>
      <w:r w:rsidR="00FF3B5D" w:rsidRPr="003C54F0">
        <w:rPr>
          <w:rFonts w:ascii="Times New Roman" w:hAnsi="Times New Roman" w:cs="Times New Roman"/>
          <w:sz w:val="24"/>
          <w:szCs w:val="24"/>
        </w:rPr>
        <w:t xml:space="preserve">related to </w:t>
      </w:r>
      <w:r w:rsidRPr="00F86A6D">
        <w:rPr>
          <w:rFonts w:ascii="Times New Roman" w:hAnsi="Times New Roman" w:cs="Times New Roman"/>
          <w:sz w:val="24"/>
          <w:szCs w:val="24"/>
        </w:rPr>
        <w:t>the project. The</w:t>
      </w:r>
      <w:r w:rsidR="00FF3B5D" w:rsidRPr="003C54F0">
        <w:rPr>
          <w:rFonts w:ascii="Times New Roman" w:hAnsi="Times New Roman" w:cs="Times New Roman"/>
          <w:sz w:val="24"/>
          <w:szCs w:val="24"/>
        </w:rPr>
        <w:t xml:space="preserve">y </w:t>
      </w:r>
      <w:r w:rsidR="001B05D0" w:rsidRPr="003C54F0">
        <w:rPr>
          <w:rFonts w:ascii="Times New Roman" w:hAnsi="Times New Roman" w:cs="Times New Roman"/>
          <w:sz w:val="24"/>
          <w:szCs w:val="24"/>
        </w:rPr>
        <w:t>are also</w:t>
      </w:r>
      <w:r w:rsidRPr="00F86A6D">
        <w:rPr>
          <w:rFonts w:ascii="Times New Roman" w:hAnsi="Times New Roman" w:cs="Times New Roman"/>
          <w:sz w:val="24"/>
          <w:szCs w:val="24"/>
        </w:rPr>
        <w:t xml:space="preserve"> </w:t>
      </w:r>
      <w:r w:rsidR="00FF3B5D" w:rsidRPr="003C54F0">
        <w:rPr>
          <w:rFonts w:ascii="Times New Roman" w:hAnsi="Times New Roman" w:cs="Times New Roman"/>
          <w:sz w:val="24"/>
          <w:szCs w:val="24"/>
        </w:rPr>
        <w:t>required</w:t>
      </w:r>
      <w:r w:rsidRPr="00F86A6D">
        <w:rPr>
          <w:rFonts w:ascii="Times New Roman" w:hAnsi="Times New Roman" w:cs="Times New Roman"/>
          <w:sz w:val="24"/>
          <w:szCs w:val="24"/>
        </w:rPr>
        <w:t xml:space="preserve"> to </w:t>
      </w:r>
      <w:r w:rsidR="001B05D0" w:rsidRPr="003C54F0">
        <w:rPr>
          <w:rFonts w:ascii="Times New Roman" w:hAnsi="Times New Roman" w:cs="Times New Roman"/>
          <w:sz w:val="24"/>
          <w:szCs w:val="24"/>
        </w:rPr>
        <w:t>approximate</w:t>
      </w:r>
      <w:r w:rsidRPr="00F86A6D">
        <w:rPr>
          <w:rFonts w:ascii="Times New Roman" w:hAnsi="Times New Roman" w:cs="Times New Roman"/>
          <w:sz w:val="24"/>
          <w:szCs w:val="24"/>
        </w:rPr>
        <w:t xml:space="preserve"> </w:t>
      </w:r>
      <w:r w:rsidR="001B05D0" w:rsidRPr="003C54F0">
        <w:rPr>
          <w:rFonts w:ascii="Times New Roman" w:hAnsi="Times New Roman" w:cs="Times New Roman"/>
          <w:sz w:val="24"/>
          <w:szCs w:val="24"/>
        </w:rPr>
        <w:t>the</w:t>
      </w:r>
      <w:r w:rsidRPr="00F86A6D">
        <w:rPr>
          <w:rFonts w:ascii="Times New Roman" w:hAnsi="Times New Roman" w:cs="Times New Roman"/>
          <w:sz w:val="24"/>
          <w:szCs w:val="24"/>
        </w:rPr>
        <w:t xml:space="preserve"> interest rate for the duration of the project</w:t>
      </w:r>
      <w:r w:rsidR="001B05D0" w:rsidRPr="003C54F0">
        <w:rPr>
          <w:rFonts w:ascii="Times New Roman" w:hAnsi="Times New Roman" w:cs="Times New Roman"/>
          <w:sz w:val="24"/>
          <w:szCs w:val="24"/>
        </w:rPr>
        <w:t xml:space="preserve"> which</w:t>
      </w:r>
      <w:r w:rsidRPr="00F86A6D">
        <w:rPr>
          <w:rFonts w:ascii="Times New Roman" w:hAnsi="Times New Roman" w:cs="Times New Roman"/>
          <w:sz w:val="24"/>
          <w:szCs w:val="24"/>
        </w:rPr>
        <w:t xml:space="preserve"> may or may not be realizable. Inaccurate assumptions lead to inaccurate calculations of the net present value for a project.</w:t>
      </w:r>
    </w:p>
    <w:p w:rsidR="00F86A6D" w:rsidRDefault="004F0466" w:rsidP="003C54F0">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p w:rsidR="004F0466" w:rsidRDefault="004F0466" w:rsidP="003C54F0">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ratios like profitability, liquidity, gearing and efficiency ratios are used by investors to determine the financial state of companies before investing in. However, this ratios have their limitations which also needs to be considered before taking any investment decisions.</w:t>
      </w:r>
      <w:bookmarkStart w:id="1" w:name="_GoBack"/>
      <w:bookmarkEnd w:id="1"/>
      <w:r>
        <w:rPr>
          <w:rFonts w:ascii="Times New Roman" w:hAnsi="Times New Roman" w:cs="Times New Roman"/>
          <w:sz w:val="24"/>
          <w:szCs w:val="24"/>
        </w:rPr>
        <w:t xml:space="preserve">  </w:t>
      </w:r>
    </w:p>
    <w:p w:rsidR="004F0466" w:rsidRPr="003C54F0" w:rsidRDefault="004F0466" w:rsidP="003C54F0">
      <w:pPr>
        <w:spacing w:line="360" w:lineRule="auto"/>
        <w:jc w:val="both"/>
        <w:rPr>
          <w:rFonts w:ascii="Times New Roman" w:hAnsi="Times New Roman" w:cs="Times New Roman"/>
          <w:sz w:val="24"/>
          <w:szCs w:val="24"/>
        </w:rPr>
      </w:pPr>
    </w:p>
    <w:p w:rsidR="00F86A6D" w:rsidRPr="003C54F0" w:rsidRDefault="00F86A6D" w:rsidP="003C54F0">
      <w:pPr>
        <w:spacing w:line="360" w:lineRule="auto"/>
        <w:jc w:val="both"/>
        <w:rPr>
          <w:rFonts w:ascii="Times New Roman" w:hAnsi="Times New Roman" w:cs="Times New Roman"/>
          <w:sz w:val="24"/>
          <w:szCs w:val="24"/>
        </w:rPr>
      </w:pPr>
    </w:p>
    <w:p w:rsidR="00F86A6D" w:rsidRPr="003C54F0" w:rsidRDefault="00F86A6D" w:rsidP="003C54F0">
      <w:pPr>
        <w:spacing w:line="360" w:lineRule="auto"/>
        <w:jc w:val="both"/>
        <w:rPr>
          <w:rFonts w:ascii="Times New Roman" w:hAnsi="Times New Roman" w:cs="Times New Roman"/>
          <w:sz w:val="24"/>
          <w:szCs w:val="24"/>
        </w:rPr>
      </w:pPr>
    </w:p>
    <w:p w:rsidR="00D072AB" w:rsidRPr="003C54F0" w:rsidRDefault="00D072AB" w:rsidP="003C54F0">
      <w:pPr>
        <w:spacing w:line="360" w:lineRule="auto"/>
        <w:jc w:val="both"/>
        <w:rPr>
          <w:rFonts w:ascii="Times New Roman" w:hAnsi="Times New Roman" w:cs="Times New Roman"/>
          <w:sz w:val="24"/>
          <w:szCs w:val="24"/>
        </w:rPr>
      </w:pPr>
    </w:p>
    <w:p w:rsidR="00D072AB" w:rsidRPr="003C54F0" w:rsidRDefault="00D072AB" w:rsidP="003C54F0">
      <w:pPr>
        <w:spacing w:line="360" w:lineRule="auto"/>
        <w:jc w:val="both"/>
        <w:rPr>
          <w:rFonts w:ascii="Times New Roman" w:hAnsi="Times New Roman" w:cs="Times New Roman"/>
          <w:sz w:val="24"/>
          <w:szCs w:val="24"/>
        </w:rPr>
      </w:pPr>
    </w:p>
    <w:p w:rsidR="00D072AB" w:rsidRPr="003C54F0" w:rsidRDefault="00D072AB" w:rsidP="003C54F0">
      <w:pPr>
        <w:spacing w:line="360" w:lineRule="auto"/>
        <w:jc w:val="both"/>
        <w:rPr>
          <w:rFonts w:ascii="Times New Roman" w:hAnsi="Times New Roman" w:cs="Times New Roman"/>
          <w:sz w:val="24"/>
          <w:szCs w:val="24"/>
        </w:rPr>
      </w:pPr>
    </w:p>
    <w:p w:rsidR="00D072AB" w:rsidRDefault="00D072AB" w:rsidP="003C54F0">
      <w:pPr>
        <w:spacing w:line="360" w:lineRule="auto"/>
        <w:jc w:val="both"/>
        <w:rPr>
          <w:rFonts w:ascii="Times New Roman" w:hAnsi="Times New Roman" w:cs="Times New Roman"/>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Refences </w:t>
      </w:r>
    </w:p>
    <w:p w:rsidR="004F1274" w:rsidRPr="004F1274" w:rsidRDefault="004F1274" w:rsidP="004F1274">
      <w:pPr>
        <w:rPr>
          <w:rFonts w:ascii="Times New Roman" w:hAnsi="Times New Roman" w:cs="Times New Roman"/>
          <w:sz w:val="24"/>
          <w:szCs w:val="24"/>
        </w:rPr>
      </w:pPr>
      <w:r w:rsidRPr="004F1274">
        <w:rPr>
          <w:rFonts w:ascii="Times New Roman" w:hAnsi="Times New Roman" w:cs="Times New Roman"/>
          <w:sz w:val="24"/>
          <w:szCs w:val="24"/>
        </w:rPr>
        <w:t xml:space="preserve">Arnold, G. (2008) </w:t>
      </w:r>
      <w:r w:rsidRPr="004F1274">
        <w:rPr>
          <w:rFonts w:ascii="Times New Roman" w:hAnsi="Times New Roman" w:cs="Times New Roman"/>
          <w:i/>
          <w:iCs/>
          <w:sz w:val="24"/>
          <w:szCs w:val="24"/>
        </w:rPr>
        <w:t>Corporate Financial Management</w:t>
      </w:r>
      <w:r w:rsidRPr="004F1274">
        <w:rPr>
          <w:rFonts w:ascii="Times New Roman" w:hAnsi="Times New Roman" w:cs="Times New Roman"/>
          <w:sz w:val="24"/>
          <w:szCs w:val="24"/>
        </w:rPr>
        <w:t>, 4th ed. Harlow: Pearson Prentice Hall.</w:t>
      </w:r>
    </w:p>
    <w:p w:rsidR="004F1274" w:rsidRPr="004F1274" w:rsidRDefault="004F1274" w:rsidP="004F1274">
      <w:pPr>
        <w:rPr>
          <w:rFonts w:ascii="Times New Roman" w:hAnsi="Times New Roman" w:cs="Times New Roman"/>
          <w:sz w:val="24"/>
          <w:szCs w:val="24"/>
        </w:rPr>
      </w:pPr>
      <w:r w:rsidRPr="004F1274">
        <w:rPr>
          <w:rFonts w:ascii="Times New Roman" w:hAnsi="Times New Roman" w:cs="Times New Roman"/>
          <w:sz w:val="24"/>
          <w:szCs w:val="24"/>
        </w:rPr>
        <w:t xml:space="preserve">Collier, P.M. (2009) </w:t>
      </w:r>
      <w:r w:rsidRPr="004F1274">
        <w:rPr>
          <w:rFonts w:ascii="Times New Roman" w:hAnsi="Times New Roman" w:cs="Times New Roman"/>
          <w:i/>
          <w:iCs/>
          <w:sz w:val="24"/>
          <w:szCs w:val="24"/>
        </w:rPr>
        <w:t>Accounting for Managers</w:t>
      </w:r>
      <w:r w:rsidRPr="004F1274">
        <w:rPr>
          <w:rFonts w:ascii="Times New Roman" w:hAnsi="Times New Roman" w:cs="Times New Roman"/>
          <w:sz w:val="24"/>
          <w:szCs w:val="24"/>
        </w:rPr>
        <w:t>, 3 rd ed. London: John Wiley &amp; Sons Ltd.</w:t>
      </w:r>
    </w:p>
    <w:p w:rsidR="0032432F" w:rsidRDefault="004F0466" w:rsidP="004F1274">
      <w:hyperlink r:id="rId5" w:history="1">
        <w:r w:rsidR="0032432F">
          <w:rPr>
            <w:rStyle w:val="Hyperlink"/>
          </w:rPr>
          <w:t>file:///E:/financial%20management/LSE_ULE_2015.pdf</w:t>
        </w:r>
      </w:hyperlink>
    </w:p>
    <w:p w:rsidR="0032432F" w:rsidRDefault="004F0466" w:rsidP="004F1274">
      <w:hyperlink r:id="rId6" w:history="1">
        <w:r w:rsidR="0032432F">
          <w:rPr>
            <w:rStyle w:val="Hyperlink"/>
          </w:rPr>
          <w:t>file:///E:/financial%20management/LSE_ULE_2016.pdf</w:t>
        </w:r>
      </w:hyperlink>
    </w:p>
    <w:p w:rsidR="0032432F" w:rsidRDefault="004F0466" w:rsidP="004F1274">
      <w:hyperlink r:id="rId7" w:history="1">
        <w:r w:rsidR="0032432F">
          <w:rPr>
            <w:rStyle w:val="Hyperlink"/>
          </w:rPr>
          <w:t>file:///E:/financial%20management/ultra_ar_a_2017_ac.pdf</w:t>
        </w:r>
      </w:hyperlink>
    </w:p>
    <w:p w:rsidR="0032432F" w:rsidRDefault="004F0466" w:rsidP="004F1274">
      <w:hyperlink r:id="rId8" w:history="1">
        <w:r w:rsidR="0032432F">
          <w:rPr>
            <w:rStyle w:val="Hyperlink"/>
          </w:rPr>
          <w:t>file:///E:/financial%20management/LSE_ULE_2018.pdf</w:t>
        </w:r>
      </w:hyperlink>
    </w:p>
    <w:p w:rsidR="0032432F" w:rsidRDefault="004F0466" w:rsidP="004F1274">
      <w:hyperlink r:id="rId9" w:history="1">
        <w:r w:rsidR="0032432F">
          <w:rPr>
            <w:rStyle w:val="Hyperlink"/>
          </w:rPr>
          <w:t>file:///E:/financial%20management/ultra-ar-2019.pdf</w:t>
        </w:r>
      </w:hyperlink>
    </w:p>
    <w:p w:rsidR="0032432F" w:rsidRDefault="004F0466" w:rsidP="004F1274">
      <w:hyperlink r:id="rId10" w:history="1">
        <w:r w:rsidR="0032432F">
          <w:rPr>
            <w:rStyle w:val="Hyperlink"/>
          </w:rPr>
          <w:t>file:///E:/financial%20management/Annual%20Report%20and%20Accounts%202019%209mb%20(4).pdf</w:t>
        </w:r>
      </w:hyperlink>
    </w:p>
    <w:p w:rsidR="004F1274" w:rsidRDefault="004F0466" w:rsidP="004F1274">
      <w:hyperlink r:id="rId11" w:history="1">
        <w:r w:rsidR="0032432F" w:rsidRPr="00B70335">
          <w:rPr>
            <w:rStyle w:val="Hyperlink"/>
          </w:rPr>
          <w:t>https://beta.companieshouse.gov.uk/company/02830397/filing-history</w:t>
        </w:r>
      </w:hyperlink>
    </w:p>
    <w:p w:rsidR="004F1274" w:rsidRDefault="004F0466" w:rsidP="004F1274">
      <w:hyperlink r:id="rId12" w:history="1">
        <w:r w:rsidR="004F1274">
          <w:rPr>
            <w:rStyle w:val="Hyperlink"/>
          </w:rPr>
          <w:t>https://www.ultra.group/about-us/what-we-do/</w:t>
        </w:r>
      </w:hyperlink>
    </w:p>
    <w:p w:rsidR="004F1274" w:rsidRDefault="004F0466" w:rsidP="004F1274">
      <w:hyperlink r:id="rId13" w:history="1">
        <w:r w:rsidR="004F1274">
          <w:rPr>
            <w:rStyle w:val="Hyperlink"/>
          </w:rPr>
          <w:t>https://smallbusiness.chron.com/advantages-disadvantages-payback-capital-budgeting-method-14206.html</w:t>
        </w:r>
      </w:hyperlink>
    </w:p>
    <w:p w:rsidR="004F1274" w:rsidRDefault="004F0466" w:rsidP="004F1274">
      <w:hyperlink r:id="rId14" w:history="1">
        <w:r w:rsidR="004F1274">
          <w:rPr>
            <w:rStyle w:val="Hyperlink"/>
          </w:rPr>
          <w:t>https://www.standard.co.uk/business/ultra-issues-second-profit-warning-after-soaring-costs-at-us-acquisition-herley-a3873456.html</w:t>
        </w:r>
      </w:hyperlink>
    </w:p>
    <w:p w:rsidR="004F1274" w:rsidRPr="004F1274" w:rsidRDefault="006B368D" w:rsidP="00367328">
      <w:pPr>
        <w:spacing w:line="360" w:lineRule="auto"/>
        <w:jc w:val="both"/>
        <w:rPr>
          <w:rFonts w:ascii="Times New Roman" w:hAnsi="Times New Roman" w:cs="Times New Roman"/>
          <w:sz w:val="24"/>
          <w:szCs w:val="24"/>
        </w:rPr>
      </w:pPr>
      <w:r w:rsidRPr="006B368D">
        <w:rPr>
          <w:rFonts w:ascii="Times New Roman" w:hAnsi="Times New Roman" w:cs="Times New Roman"/>
          <w:sz w:val="24"/>
          <w:szCs w:val="24"/>
        </w:rPr>
        <w:t>MEGAW, N. and POOLER, M., -11-13T15:12:24.000Z, 2017-last update, Ultra Electronics shares tumble after profit warning. Available: </w:t>
      </w:r>
      <w:hyperlink r:id="rId15" w:tgtFrame="_blank" w:history="1">
        <w:r w:rsidRPr="006B368D">
          <w:rPr>
            <w:rStyle w:val="Hyperlink"/>
            <w:rFonts w:ascii="Times New Roman" w:hAnsi="Times New Roman" w:cs="Times New Roman"/>
            <w:sz w:val="24"/>
            <w:szCs w:val="24"/>
          </w:rPr>
          <w:t>https://www.ft.com/content/d152a04c-c86a-11e7-aa33-c63fdc9b8c6c</w:t>
        </w:r>
      </w:hyperlink>
      <w:r w:rsidRPr="006B368D">
        <w:rPr>
          <w:rFonts w:ascii="Times New Roman" w:hAnsi="Times New Roman" w:cs="Times New Roman"/>
          <w:sz w:val="24"/>
          <w:szCs w:val="24"/>
        </w:rPr>
        <w:t> [May 24, 2020].</w:t>
      </w:r>
    </w:p>
    <w:p w:rsidR="004F1274" w:rsidRPr="006B368D" w:rsidRDefault="004F1274" w:rsidP="00367328">
      <w:pPr>
        <w:spacing w:line="360" w:lineRule="auto"/>
        <w:jc w:val="both"/>
        <w:rPr>
          <w:rFonts w:ascii="Times New Roman" w:hAnsi="Times New Roman" w:cs="Times New Roman"/>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4F1274" w:rsidRDefault="004F1274" w:rsidP="00367328">
      <w:pPr>
        <w:spacing w:line="360" w:lineRule="auto"/>
        <w:jc w:val="both"/>
        <w:rPr>
          <w:rFonts w:ascii="Times New Roman" w:hAnsi="Times New Roman" w:cs="Times New Roman"/>
          <w:b/>
          <w:bCs/>
          <w:sz w:val="24"/>
          <w:szCs w:val="24"/>
        </w:rPr>
      </w:pPr>
    </w:p>
    <w:p w:rsidR="00895D4F" w:rsidRDefault="00895D4F" w:rsidP="00367328">
      <w:pPr>
        <w:spacing w:line="360" w:lineRule="auto"/>
        <w:jc w:val="both"/>
        <w:rPr>
          <w:rFonts w:ascii="Times New Roman" w:hAnsi="Times New Roman" w:cs="Times New Roman"/>
          <w:b/>
          <w:bCs/>
          <w:sz w:val="24"/>
          <w:szCs w:val="24"/>
        </w:rPr>
      </w:pPr>
    </w:p>
    <w:p w:rsidR="00E27414" w:rsidRPr="00141FDA" w:rsidRDefault="00E27414" w:rsidP="00367328">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Appendix A – Formulas</w:t>
      </w:r>
    </w:p>
    <w:p w:rsidR="00E27414" w:rsidRPr="00141FDA" w:rsidRDefault="00E27414" w:rsidP="00367328">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 xml:space="preserve"> Tab.1 Liquidity ratios of Ultra Electronics (2015 - 2019) and QinetiQ (2019) </w:t>
      </w:r>
    </w:p>
    <w:p w:rsidR="00E27414" w:rsidRPr="00367328" w:rsidRDefault="00E27414"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Current ratio = current asset / current liabilities</w:t>
      </w:r>
    </w:p>
    <w:p w:rsidR="00E27414" w:rsidRPr="00367328" w:rsidRDefault="00E27414"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Quick ratio = current asset-inventory / current liabilities</w:t>
      </w:r>
    </w:p>
    <w:p w:rsidR="00E27414" w:rsidRPr="00367328" w:rsidRDefault="00E27414"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 xml:space="preserve">Cash ratio = </w:t>
      </w:r>
      <w:r w:rsidR="00326F47" w:rsidRPr="00367328">
        <w:rPr>
          <w:rFonts w:ascii="Times New Roman" w:hAnsi="Times New Roman" w:cs="Times New Roman"/>
          <w:sz w:val="24"/>
          <w:szCs w:val="24"/>
        </w:rPr>
        <w:t>cash / current liabilities</w:t>
      </w:r>
    </w:p>
    <w:p w:rsidR="00326F47" w:rsidRPr="00141FDA" w:rsidRDefault="00326F47" w:rsidP="00367328">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 xml:space="preserve">Tab.2 Profitability Ratios of Ultra Electronics (2015 - 2019) and QinetiQ (2019) </w:t>
      </w:r>
    </w:p>
    <w:p w:rsidR="00326F47" w:rsidRPr="00367328" w:rsidRDefault="00326F47"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 xml:space="preserve">Gross margin = gross profit / sales </w:t>
      </w:r>
    </w:p>
    <w:p w:rsidR="00326F47" w:rsidRPr="00367328" w:rsidRDefault="00326F47"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Operating margin = operating income / sales</w:t>
      </w:r>
    </w:p>
    <w:p w:rsidR="00326F47" w:rsidRPr="00367328" w:rsidRDefault="00326F47"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Net profit margin = net income / sales</w:t>
      </w:r>
    </w:p>
    <w:p w:rsidR="00326F47" w:rsidRPr="00141FDA" w:rsidRDefault="00326F47" w:rsidP="00367328">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 xml:space="preserve">Tab.3 Gearing Ratios of Ultra Electronics (2015 - 2019) and QinetiQ (2019) </w:t>
      </w:r>
    </w:p>
    <w:p w:rsidR="00326F47" w:rsidRPr="00367328" w:rsidRDefault="00326F47"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Debt to equity ratio = total debt / total equity</w:t>
      </w:r>
    </w:p>
    <w:p w:rsidR="00326F47" w:rsidRPr="00367328" w:rsidRDefault="00326F47"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Debt to capital ratio = total debt / total equity + total debt</w:t>
      </w:r>
    </w:p>
    <w:p w:rsidR="00326F47" w:rsidRPr="00141FDA" w:rsidRDefault="00E27414" w:rsidP="00367328">
      <w:pPr>
        <w:spacing w:line="360" w:lineRule="auto"/>
        <w:jc w:val="both"/>
        <w:rPr>
          <w:rFonts w:ascii="Times New Roman" w:hAnsi="Times New Roman" w:cs="Times New Roman"/>
          <w:b/>
          <w:bCs/>
          <w:sz w:val="24"/>
          <w:szCs w:val="24"/>
        </w:rPr>
      </w:pPr>
      <w:r w:rsidRPr="00367328">
        <w:rPr>
          <w:rFonts w:ascii="Times New Roman" w:hAnsi="Times New Roman" w:cs="Times New Roman"/>
          <w:sz w:val="24"/>
          <w:szCs w:val="24"/>
        </w:rPr>
        <w:t xml:space="preserve"> </w:t>
      </w:r>
      <w:r w:rsidR="00326F47" w:rsidRPr="00141FDA">
        <w:rPr>
          <w:rFonts w:ascii="Times New Roman" w:hAnsi="Times New Roman" w:cs="Times New Roman"/>
          <w:b/>
          <w:bCs/>
          <w:sz w:val="24"/>
          <w:szCs w:val="24"/>
        </w:rPr>
        <w:t xml:space="preserve">Tab.4 Efficiency Ratios of Ultra Electronics (2015 - 2019) and QinetiQ (2019) </w:t>
      </w:r>
    </w:p>
    <w:p w:rsidR="00E27414" w:rsidRPr="00367328" w:rsidRDefault="00326F47"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Asset turnover = sales / total asset</w:t>
      </w:r>
    </w:p>
    <w:p w:rsidR="00CE71C2" w:rsidRPr="00367328" w:rsidRDefault="00CE71C2"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Fixed asset turnover = sales / fixed assets</w:t>
      </w:r>
    </w:p>
    <w:p w:rsidR="00CE71C2" w:rsidRPr="00141FDA" w:rsidRDefault="00CE71C2" w:rsidP="00367328">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 xml:space="preserve">Tab.5 Investment Return for Ultra Electronics (2015 - 2019) and QinetiQ (2019) </w:t>
      </w:r>
    </w:p>
    <w:p w:rsidR="00CE71C2" w:rsidRPr="00367328" w:rsidRDefault="00CE71C2"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Return on equity = net income / book value of equity</w:t>
      </w:r>
    </w:p>
    <w:p w:rsidR="00CE71C2" w:rsidRPr="00367328" w:rsidRDefault="00CE71C2"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 xml:space="preserve">Return on asset = net income / total assets </w:t>
      </w:r>
    </w:p>
    <w:p w:rsidR="00CE71C2" w:rsidRPr="00141FDA" w:rsidRDefault="00CE71C2" w:rsidP="00367328">
      <w:pPr>
        <w:spacing w:line="360" w:lineRule="auto"/>
        <w:jc w:val="both"/>
        <w:rPr>
          <w:rFonts w:ascii="Times New Roman" w:hAnsi="Times New Roman" w:cs="Times New Roman"/>
          <w:b/>
          <w:bCs/>
          <w:sz w:val="24"/>
          <w:szCs w:val="24"/>
        </w:rPr>
      </w:pPr>
      <w:r w:rsidRPr="00141FDA">
        <w:rPr>
          <w:rFonts w:ascii="Times New Roman" w:hAnsi="Times New Roman" w:cs="Times New Roman"/>
          <w:b/>
          <w:bCs/>
          <w:sz w:val="24"/>
          <w:szCs w:val="24"/>
        </w:rPr>
        <w:t>Tab.6 Analysis of Payback period (PBP), Accounting Rate of Return (ARR), Internal                                                            Rate of Return (IRR) and Net Present Value (NPV)</w:t>
      </w:r>
    </w:p>
    <w:p w:rsidR="00E27414" w:rsidRPr="00367328" w:rsidRDefault="00CE71C2"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ARR = annual profit / initial investment</w:t>
      </w:r>
    </w:p>
    <w:p w:rsidR="00CE71C2" w:rsidRPr="00367328" w:rsidRDefault="00CE71C2" w:rsidP="00367328">
      <w:pPr>
        <w:spacing w:line="360" w:lineRule="auto"/>
        <w:jc w:val="both"/>
        <w:rPr>
          <w:rFonts w:ascii="Times New Roman" w:hAnsi="Times New Roman" w:cs="Times New Roman"/>
          <w:sz w:val="24"/>
          <w:szCs w:val="24"/>
        </w:rPr>
      </w:pPr>
      <w:r w:rsidRPr="00367328">
        <w:rPr>
          <w:rFonts w:ascii="Times New Roman" w:hAnsi="Times New Roman" w:cs="Times New Roman"/>
          <w:sz w:val="24"/>
          <w:szCs w:val="24"/>
        </w:rPr>
        <w:t>IRR = R1 + NPV1 / NPV1 – NPV2</w:t>
      </w:r>
      <w:r w:rsidR="00367328" w:rsidRPr="00367328">
        <w:rPr>
          <w:rFonts w:ascii="Times New Roman" w:hAnsi="Times New Roman" w:cs="Times New Roman"/>
          <w:sz w:val="24"/>
          <w:szCs w:val="24"/>
        </w:rPr>
        <w:t xml:space="preserve"> * (R2 – R1)</w:t>
      </w:r>
      <w:r w:rsidRPr="00367328">
        <w:rPr>
          <w:rFonts w:ascii="Times New Roman" w:hAnsi="Times New Roman" w:cs="Times New Roman"/>
          <w:sz w:val="24"/>
          <w:szCs w:val="24"/>
        </w:rPr>
        <w:t xml:space="preserve"> </w:t>
      </w:r>
    </w:p>
    <w:sectPr w:rsidR="00CE71C2" w:rsidRPr="003673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96B4F"/>
    <w:multiLevelType w:val="hybridMultilevel"/>
    <w:tmpl w:val="62E4603C"/>
    <w:lvl w:ilvl="0" w:tplc="629A2FB2">
      <w:start w:val="1"/>
      <w:numFmt w:val="bullet"/>
      <w:lvlText w:val="–"/>
      <w:lvlJc w:val="left"/>
      <w:pPr>
        <w:tabs>
          <w:tab w:val="num" w:pos="720"/>
        </w:tabs>
        <w:ind w:left="720" w:hanging="360"/>
      </w:pPr>
      <w:rPr>
        <w:rFonts w:ascii="Times New Roman" w:hAnsi="Times New Roman" w:hint="default"/>
      </w:rPr>
    </w:lvl>
    <w:lvl w:ilvl="1" w:tplc="1AEAF982">
      <w:start w:val="1"/>
      <w:numFmt w:val="bullet"/>
      <w:lvlText w:val="–"/>
      <w:lvlJc w:val="left"/>
      <w:pPr>
        <w:tabs>
          <w:tab w:val="num" w:pos="1440"/>
        </w:tabs>
        <w:ind w:left="1440" w:hanging="360"/>
      </w:pPr>
      <w:rPr>
        <w:rFonts w:ascii="Times New Roman" w:hAnsi="Times New Roman" w:hint="default"/>
      </w:rPr>
    </w:lvl>
    <w:lvl w:ilvl="2" w:tplc="775ED6AC">
      <w:numFmt w:val="none"/>
      <w:lvlText w:val=""/>
      <w:lvlJc w:val="left"/>
      <w:pPr>
        <w:tabs>
          <w:tab w:val="num" w:pos="360"/>
        </w:tabs>
      </w:pPr>
    </w:lvl>
    <w:lvl w:ilvl="3" w:tplc="46BE7C5E" w:tentative="1">
      <w:start w:val="1"/>
      <w:numFmt w:val="bullet"/>
      <w:lvlText w:val="–"/>
      <w:lvlJc w:val="left"/>
      <w:pPr>
        <w:tabs>
          <w:tab w:val="num" w:pos="2880"/>
        </w:tabs>
        <w:ind w:left="2880" w:hanging="360"/>
      </w:pPr>
      <w:rPr>
        <w:rFonts w:ascii="Times New Roman" w:hAnsi="Times New Roman" w:hint="default"/>
      </w:rPr>
    </w:lvl>
    <w:lvl w:ilvl="4" w:tplc="A42492A8" w:tentative="1">
      <w:start w:val="1"/>
      <w:numFmt w:val="bullet"/>
      <w:lvlText w:val="–"/>
      <w:lvlJc w:val="left"/>
      <w:pPr>
        <w:tabs>
          <w:tab w:val="num" w:pos="3600"/>
        </w:tabs>
        <w:ind w:left="3600" w:hanging="360"/>
      </w:pPr>
      <w:rPr>
        <w:rFonts w:ascii="Times New Roman" w:hAnsi="Times New Roman" w:hint="default"/>
      </w:rPr>
    </w:lvl>
    <w:lvl w:ilvl="5" w:tplc="A16AE918" w:tentative="1">
      <w:start w:val="1"/>
      <w:numFmt w:val="bullet"/>
      <w:lvlText w:val="–"/>
      <w:lvlJc w:val="left"/>
      <w:pPr>
        <w:tabs>
          <w:tab w:val="num" w:pos="4320"/>
        </w:tabs>
        <w:ind w:left="4320" w:hanging="360"/>
      </w:pPr>
      <w:rPr>
        <w:rFonts w:ascii="Times New Roman" w:hAnsi="Times New Roman" w:hint="default"/>
      </w:rPr>
    </w:lvl>
    <w:lvl w:ilvl="6" w:tplc="FA005D22" w:tentative="1">
      <w:start w:val="1"/>
      <w:numFmt w:val="bullet"/>
      <w:lvlText w:val="–"/>
      <w:lvlJc w:val="left"/>
      <w:pPr>
        <w:tabs>
          <w:tab w:val="num" w:pos="5040"/>
        </w:tabs>
        <w:ind w:left="5040" w:hanging="360"/>
      </w:pPr>
      <w:rPr>
        <w:rFonts w:ascii="Times New Roman" w:hAnsi="Times New Roman" w:hint="default"/>
      </w:rPr>
    </w:lvl>
    <w:lvl w:ilvl="7" w:tplc="592075A0" w:tentative="1">
      <w:start w:val="1"/>
      <w:numFmt w:val="bullet"/>
      <w:lvlText w:val="–"/>
      <w:lvlJc w:val="left"/>
      <w:pPr>
        <w:tabs>
          <w:tab w:val="num" w:pos="5760"/>
        </w:tabs>
        <w:ind w:left="5760" w:hanging="360"/>
      </w:pPr>
      <w:rPr>
        <w:rFonts w:ascii="Times New Roman" w:hAnsi="Times New Roman" w:hint="default"/>
      </w:rPr>
    </w:lvl>
    <w:lvl w:ilvl="8" w:tplc="E702CB26"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55F"/>
    <w:rsid w:val="000116D5"/>
    <w:rsid w:val="00012106"/>
    <w:rsid w:val="000218FB"/>
    <w:rsid w:val="00022210"/>
    <w:rsid w:val="00024B90"/>
    <w:rsid w:val="00027988"/>
    <w:rsid w:val="000340E4"/>
    <w:rsid w:val="0004353C"/>
    <w:rsid w:val="000873FC"/>
    <w:rsid w:val="0009525F"/>
    <w:rsid w:val="00096E25"/>
    <w:rsid w:val="000A6639"/>
    <w:rsid w:val="000A7BCE"/>
    <w:rsid w:val="000B648C"/>
    <w:rsid w:val="000C1B3A"/>
    <w:rsid w:val="000D0A04"/>
    <w:rsid w:val="000D493C"/>
    <w:rsid w:val="000F1E39"/>
    <w:rsid w:val="000F3695"/>
    <w:rsid w:val="000F4878"/>
    <w:rsid w:val="00116619"/>
    <w:rsid w:val="00121E68"/>
    <w:rsid w:val="00141FDA"/>
    <w:rsid w:val="00144957"/>
    <w:rsid w:val="001758A9"/>
    <w:rsid w:val="00183379"/>
    <w:rsid w:val="00190F55"/>
    <w:rsid w:val="00192AE2"/>
    <w:rsid w:val="001B05D0"/>
    <w:rsid w:val="001B2000"/>
    <w:rsid w:val="001D72A6"/>
    <w:rsid w:val="001E4E25"/>
    <w:rsid w:val="00216F86"/>
    <w:rsid w:val="00226193"/>
    <w:rsid w:val="00242587"/>
    <w:rsid w:val="0024355F"/>
    <w:rsid w:val="00285D2F"/>
    <w:rsid w:val="0029528F"/>
    <w:rsid w:val="002A69DB"/>
    <w:rsid w:val="002B5A21"/>
    <w:rsid w:val="002D1C9A"/>
    <w:rsid w:val="002F01EA"/>
    <w:rsid w:val="00320E61"/>
    <w:rsid w:val="003232F3"/>
    <w:rsid w:val="0032432F"/>
    <w:rsid w:val="00325D2C"/>
    <w:rsid w:val="00326F47"/>
    <w:rsid w:val="003353DE"/>
    <w:rsid w:val="003646C3"/>
    <w:rsid w:val="003649E1"/>
    <w:rsid w:val="00367328"/>
    <w:rsid w:val="003C356F"/>
    <w:rsid w:val="003C54F0"/>
    <w:rsid w:val="003C7BD7"/>
    <w:rsid w:val="003D7999"/>
    <w:rsid w:val="003F5B44"/>
    <w:rsid w:val="00414243"/>
    <w:rsid w:val="0042134E"/>
    <w:rsid w:val="00436118"/>
    <w:rsid w:val="00465DB9"/>
    <w:rsid w:val="00481061"/>
    <w:rsid w:val="004A2AD6"/>
    <w:rsid w:val="004B0F85"/>
    <w:rsid w:val="004B36A2"/>
    <w:rsid w:val="004D4DC1"/>
    <w:rsid w:val="004F0466"/>
    <w:rsid w:val="004F1274"/>
    <w:rsid w:val="00542E71"/>
    <w:rsid w:val="0055690A"/>
    <w:rsid w:val="005674BD"/>
    <w:rsid w:val="00573A65"/>
    <w:rsid w:val="00587995"/>
    <w:rsid w:val="00596764"/>
    <w:rsid w:val="005A2888"/>
    <w:rsid w:val="005C741A"/>
    <w:rsid w:val="005D6BEB"/>
    <w:rsid w:val="005E120E"/>
    <w:rsid w:val="005F59E1"/>
    <w:rsid w:val="006128A7"/>
    <w:rsid w:val="00617521"/>
    <w:rsid w:val="0062691F"/>
    <w:rsid w:val="006269A2"/>
    <w:rsid w:val="00633197"/>
    <w:rsid w:val="006461BD"/>
    <w:rsid w:val="00657333"/>
    <w:rsid w:val="006629C9"/>
    <w:rsid w:val="006674ED"/>
    <w:rsid w:val="00671E08"/>
    <w:rsid w:val="006901FB"/>
    <w:rsid w:val="00692912"/>
    <w:rsid w:val="006B368D"/>
    <w:rsid w:val="006F4956"/>
    <w:rsid w:val="006F7766"/>
    <w:rsid w:val="00705718"/>
    <w:rsid w:val="007162F4"/>
    <w:rsid w:val="0073654F"/>
    <w:rsid w:val="00743671"/>
    <w:rsid w:val="00750EAD"/>
    <w:rsid w:val="007614D4"/>
    <w:rsid w:val="007920ED"/>
    <w:rsid w:val="007C0121"/>
    <w:rsid w:val="007D234D"/>
    <w:rsid w:val="007F3834"/>
    <w:rsid w:val="007F41D4"/>
    <w:rsid w:val="00804458"/>
    <w:rsid w:val="00810B76"/>
    <w:rsid w:val="0083087E"/>
    <w:rsid w:val="008425DD"/>
    <w:rsid w:val="00863C88"/>
    <w:rsid w:val="0086791D"/>
    <w:rsid w:val="0088128A"/>
    <w:rsid w:val="00893561"/>
    <w:rsid w:val="00894080"/>
    <w:rsid w:val="00895D4F"/>
    <w:rsid w:val="008970BC"/>
    <w:rsid w:val="008A1116"/>
    <w:rsid w:val="008D364B"/>
    <w:rsid w:val="008F1F5E"/>
    <w:rsid w:val="008F4FB3"/>
    <w:rsid w:val="009257AF"/>
    <w:rsid w:val="00935290"/>
    <w:rsid w:val="00940AE5"/>
    <w:rsid w:val="009613D9"/>
    <w:rsid w:val="00971EC0"/>
    <w:rsid w:val="00986FF8"/>
    <w:rsid w:val="00987FA7"/>
    <w:rsid w:val="009A05A7"/>
    <w:rsid w:val="009A5533"/>
    <w:rsid w:val="009A588C"/>
    <w:rsid w:val="009B0739"/>
    <w:rsid w:val="009D0351"/>
    <w:rsid w:val="009D1EF2"/>
    <w:rsid w:val="009E085E"/>
    <w:rsid w:val="009E78F8"/>
    <w:rsid w:val="009F457C"/>
    <w:rsid w:val="009F6450"/>
    <w:rsid w:val="00A25EF1"/>
    <w:rsid w:val="00A579F7"/>
    <w:rsid w:val="00A648DF"/>
    <w:rsid w:val="00A75AB9"/>
    <w:rsid w:val="00AB3998"/>
    <w:rsid w:val="00AC75A9"/>
    <w:rsid w:val="00AD203B"/>
    <w:rsid w:val="00AE07E7"/>
    <w:rsid w:val="00AE0E4F"/>
    <w:rsid w:val="00AE68EF"/>
    <w:rsid w:val="00B17F85"/>
    <w:rsid w:val="00B22E08"/>
    <w:rsid w:val="00B258F1"/>
    <w:rsid w:val="00B3595D"/>
    <w:rsid w:val="00B70CCC"/>
    <w:rsid w:val="00B73160"/>
    <w:rsid w:val="00B748A5"/>
    <w:rsid w:val="00B761C4"/>
    <w:rsid w:val="00BC5184"/>
    <w:rsid w:val="00BD0435"/>
    <w:rsid w:val="00BE5FF1"/>
    <w:rsid w:val="00BE6F77"/>
    <w:rsid w:val="00C0109E"/>
    <w:rsid w:val="00C20683"/>
    <w:rsid w:val="00C31F24"/>
    <w:rsid w:val="00C45A51"/>
    <w:rsid w:val="00C503E0"/>
    <w:rsid w:val="00C61BA6"/>
    <w:rsid w:val="00C91AFF"/>
    <w:rsid w:val="00C95123"/>
    <w:rsid w:val="00CE2670"/>
    <w:rsid w:val="00CE71C2"/>
    <w:rsid w:val="00CF4E67"/>
    <w:rsid w:val="00D072AB"/>
    <w:rsid w:val="00D17869"/>
    <w:rsid w:val="00D42212"/>
    <w:rsid w:val="00D42720"/>
    <w:rsid w:val="00D71A1D"/>
    <w:rsid w:val="00D90746"/>
    <w:rsid w:val="00DA3F00"/>
    <w:rsid w:val="00DA79CE"/>
    <w:rsid w:val="00DD740C"/>
    <w:rsid w:val="00DE3F3A"/>
    <w:rsid w:val="00E07C3E"/>
    <w:rsid w:val="00E117E7"/>
    <w:rsid w:val="00E12F28"/>
    <w:rsid w:val="00E1306A"/>
    <w:rsid w:val="00E143BC"/>
    <w:rsid w:val="00E2642C"/>
    <w:rsid w:val="00E27414"/>
    <w:rsid w:val="00E45EEE"/>
    <w:rsid w:val="00E46144"/>
    <w:rsid w:val="00E63EB3"/>
    <w:rsid w:val="00E6437D"/>
    <w:rsid w:val="00E67C31"/>
    <w:rsid w:val="00E702EF"/>
    <w:rsid w:val="00E970AE"/>
    <w:rsid w:val="00E9734C"/>
    <w:rsid w:val="00EA74C8"/>
    <w:rsid w:val="00ED2510"/>
    <w:rsid w:val="00EF39AE"/>
    <w:rsid w:val="00F36A37"/>
    <w:rsid w:val="00F40927"/>
    <w:rsid w:val="00F413E4"/>
    <w:rsid w:val="00F679B8"/>
    <w:rsid w:val="00F808D3"/>
    <w:rsid w:val="00F86A6D"/>
    <w:rsid w:val="00F871A8"/>
    <w:rsid w:val="00F907E0"/>
    <w:rsid w:val="00F92C61"/>
    <w:rsid w:val="00F97482"/>
    <w:rsid w:val="00FC6F45"/>
    <w:rsid w:val="00FF3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7A271"/>
  <w15:chartTrackingRefBased/>
  <w15:docId w15:val="{9C3F0204-BAE1-4383-BC66-B7052C801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35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F3834"/>
    <w:rPr>
      <w:color w:val="0563C1" w:themeColor="hyperlink"/>
      <w:u w:val="single"/>
    </w:rPr>
  </w:style>
  <w:style w:type="character" w:styleId="UnresolvedMention">
    <w:name w:val="Unresolved Mention"/>
    <w:basedOn w:val="DefaultParagraphFont"/>
    <w:uiPriority w:val="99"/>
    <w:semiHidden/>
    <w:unhideWhenUsed/>
    <w:rsid w:val="007F38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261522">
      <w:bodyDiv w:val="1"/>
      <w:marLeft w:val="0"/>
      <w:marRight w:val="0"/>
      <w:marTop w:val="0"/>
      <w:marBottom w:val="0"/>
      <w:divBdr>
        <w:top w:val="none" w:sz="0" w:space="0" w:color="auto"/>
        <w:left w:val="none" w:sz="0" w:space="0" w:color="auto"/>
        <w:bottom w:val="none" w:sz="0" w:space="0" w:color="auto"/>
        <w:right w:val="none" w:sz="0" w:space="0" w:color="auto"/>
      </w:divBdr>
      <w:divsChild>
        <w:div w:id="1494686252">
          <w:marLeft w:val="0"/>
          <w:marRight w:val="0"/>
          <w:marTop w:val="0"/>
          <w:marBottom w:val="0"/>
          <w:divBdr>
            <w:top w:val="none" w:sz="0" w:space="0" w:color="auto"/>
            <w:left w:val="none" w:sz="0" w:space="0" w:color="auto"/>
            <w:bottom w:val="none" w:sz="0" w:space="0" w:color="auto"/>
            <w:right w:val="none" w:sz="0" w:space="0" w:color="auto"/>
          </w:divBdr>
          <w:divsChild>
            <w:div w:id="1275988736">
              <w:marLeft w:val="0"/>
              <w:marRight w:val="0"/>
              <w:marTop w:val="0"/>
              <w:marBottom w:val="0"/>
              <w:divBdr>
                <w:top w:val="none" w:sz="0" w:space="0" w:color="auto"/>
                <w:left w:val="none" w:sz="0" w:space="0" w:color="auto"/>
                <w:bottom w:val="none" w:sz="0" w:space="0" w:color="auto"/>
                <w:right w:val="none" w:sz="0" w:space="0" w:color="auto"/>
              </w:divBdr>
            </w:div>
            <w:div w:id="2059434657">
              <w:marLeft w:val="0"/>
              <w:marRight w:val="0"/>
              <w:marTop w:val="0"/>
              <w:marBottom w:val="0"/>
              <w:divBdr>
                <w:top w:val="none" w:sz="0" w:space="0" w:color="auto"/>
                <w:left w:val="none" w:sz="0" w:space="0" w:color="auto"/>
                <w:bottom w:val="none" w:sz="0" w:space="0" w:color="auto"/>
                <w:right w:val="none" w:sz="0" w:space="0" w:color="auto"/>
              </w:divBdr>
            </w:div>
            <w:div w:id="730159555">
              <w:marLeft w:val="0"/>
              <w:marRight w:val="0"/>
              <w:marTop w:val="0"/>
              <w:marBottom w:val="0"/>
              <w:divBdr>
                <w:top w:val="none" w:sz="0" w:space="0" w:color="auto"/>
                <w:left w:val="none" w:sz="0" w:space="0" w:color="auto"/>
                <w:bottom w:val="none" w:sz="0" w:space="0" w:color="auto"/>
                <w:right w:val="none" w:sz="0" w:space="0" w:color="auto"/>
              </w:divBdr>
            </w:div>
            <w:div w:id="606736868">
              <w:marLeft w:val="0"/>
              <w:marRight w:val="0"/>
              <w:marTop w:val="0"/>
              <w:marBottom w:val="0"/>
              <w:divBdr>
                <w:top w:val="none" w:sz="0" w:space="0" w:color="auto"/>
                <w:left w:val="none" w:sz="0" w:space="0" w:color="auto"/>
                <w:bottom w:val="none" w:sz="0" w:space="0" w:color="auto"/>
                <w:right w:val="none" w:sz="0" w:space="0" w:color="auto"/>
              </w:divBdr>
            </w:div>
            <w:div w:id="168998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433299">
      <w:bodyDiv w:val="1"/>
      <w:marLeft w:val="0"/>
      <w:marRight w:val="0"/>
      <w:marTop w:val="0"/>
      <w:marBottom w:val="0"/>
      <w:divBdr>
        <w:top w:val="none" w:sz="0" w:space="0" w:color="auto"/>
        <w:left w:val="none" w:sz="0" w:space="0" w:color="auto"/>
        <w:bottom w:val="none" w:sz="0" w:space="0" w:color="auto"/>
        <w:right w:val="none" w:sz="0" w:space="0" w:color="auto"/>
      </w:divBdr>
      <w:divsChild>
        <w:div w:id="762653157">
          <w:marLeft w:val="0"/>
          <w:marRight w:val="0"/>
          <w:marTop w:val="0"/>
          <w:marBottom w:val="0"/>
          <w:divBdr>
            <w:top w:val="none" w:sz="0" w:space="0" w:color="auto"/>
            <w:left w:val="none" w:sz="0" w:space="0" w:color="auto"/>
            <w:bottom w:val="none" w:sz="0" w:space="0" w:color="auto"/>
            <w:right w:val="none" w:sz="0" w:space="0" w:color="auto"/>
          </w:divBdr>
        </w:div>
        <w:div w:id="347490182">
          <w:marLeft w:val="0"/>
          <w:marRight w:val="0"/>
          <w:marTop w:val="0"/>
          <w:marBottom w:val="0"/>
          <w:divBdr>
            <w:top w:val="none" w:sz="0" w:space="0" w:color="auto"/>
            <w:left w:val="none" w:sz="0" w:space="0" w:color="auto"/>
            <w:bottom w:val="none" w:sz="0" w:space="0" w:color="auto"/>
            <w:right w:val="none" w:sz="0" w:space="0" w:color="auto"/>
          </w:divBdr>
          <w:divsChild>
            <w:div w:id="2138136139">
              <w:marLeft w:val="0"/>
              <w:marRight w:val="0"/>
              <w:marTop w:val="0"/>
              <w:marBottom w:val="0"/>
              <w:divBdr>
                <w:top w:val="none" w:sz="0" w:space="0" w:color="auto"/>
                <w:left w:val="none" w:sz="0" w:space="0" w:color="auto"/>
                <w:bottom w:val="none" w:sz="0" w:space="0" w:color="auto"/>
                <w:right w:val="none" w:sz="0" w:space="0" w:color="auto"/>
              </w:divBdr>
              <w:divsChild>
                <w:div w:id="1499230929">
                  <w:marLeft w:val="-15"/>
                  <w:marRight w:val="-15"/>
                  <w:marTop w:val="0"/>
                  <w:marBottom w:val="0"/>
                  <w:divBdr>
                    <w:top w:val="none" w:sz="0" w:space="0" w:color="auto"/>
                    <w:left w:val="none" w:sz="0" w:space="0" w:color="auto"/>
                    <w:bottom w:val="none" w:sz="0" w:space="0" w:color="auto"/>
                    <w:right w:val="none" w:sz="0" w:space="0" w:color="auto"/>
                  </w:divBdr>
                </w:div>
                <w:div w:id="172602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153244">
      <w:bodyDiv w:val="1"/>
      <w:marLeft w:val="0"/>
      <w:marRight w:val="0"/>
      <w:marTop w:val="0"/>
      <w:marBottom w:val="0"/>
      <w:divBdr>
        <w:top w:val="none" w:sz="0" w:space="0" w:color="auto"/>
        <w:left w:val="none" w:sz="0" w:space="0" w:color="auto"/>
        <w:bottom w:val="none" w:sz="0" w:space="0" w:color="auto"/>
        <w:right w:val="none" w:sz="0" w:space="0" w:color="auto"/>
      </w:divBdr>
    </w:div>
    <w:div w:id="620385883">
      <w:bodyDiv w:val="1"/>
      <w:marLeft w:val="0"/>
      <w:marRight w:val="0"/>
      <w:marTop w:val="0"/>
      <w:marBottom w:val="0"/>
      <w:divBdr>
        <w:top w:val="none" w:sz="0" w:space="0" w:color="auto"/>
        <w:left w:val="none" w:sz="0" w:space="0" w:color="auto"/>
        <w:bottom w:val="none" w:sz="0" w:space="0" w:color="auto"/>
        <w:right w:val="none" w:sz="0" w:space="0" w:color="auto"/>
      </w:divBdr>
      <w:divsChild>
        <w:div w:id="1864434065">
          <w:marLeft w:val="1800"/>
          <w:marRight w:val="0"/>
          <w:marTop w:val="96"/>
          <w:marBottom w:val="0"/>
          <w:divBdr>
            <w:top w:val="none" w:sz="0" w:space="0" w:color="auto"/>
            <w:left w:val="none" w:sz="0" w:space="0" w:color="auto"/>
            <w:bottom w:val="none" w:sz="0" w:space="0" w:color="auto"/>
            <w:right w:val="none" w:sz="0" w:space="0" w:color="auto"/>
          </w:divBdr>
        </w:div>
      </w:divsChild>
    </w:div>
    <w:div w:id="628055575">
      <w:bodyDiv w:val="1"/>
      <w:marLeft w:val="0"/>
      <w:marRight w:val="0"/>
      <w:marTop w:val="0"/>
      <w:marBottom w:val="0"/>
      <w:divBdr>
        <w:top w:val="none" w:sz="0" w:space="0" w:color="auto"/>
        <w:left w:val="none" w:sz="0" w:space="0" w:color="auto"/>
        <w:bottom w:val="none" w:sz="0" w:space="0" w:color="auto"/>
        <w:right w:val="none" w:sz="0" w:space="0" w:color="auto"/>
      </w:divBdr>
    </w:div>
    <w:div w:id="719550916">
      <w:bodyDiv w:val="1"/>
      <w:marLeft w:val="0"/>
      <w:marRight w:val="0"/>
      <w:marTop w:val="0"/>
      <w:marBottom w:val="0"/>
      <w:divBdr>
        <w:top w:val="none" w:sz="0" w:space="0" w:color="auto"/>
        <w:left w:val="none" w:sz="0" w:space="0" w:color="auto"/>
        <w:bottom w:val="none" w:sz="0" w:space="0" w:color="auto"/>
        <w:right w:val="none" w:sz="0" w:space="0" w:color="auto"/>
      </w:divBdr>
      <w:divsChild>
        <w:div w:id="1670400703">
          <w:marLeft w:val="0"/>
          <w:marRight w:val="0"/>
          <w:marTop w:val="0"/>
          <w:marBottom w:val="0"/>
          <w:divBdr>
            <w:top w:val="none" w:sz="0" w:space="0" w:color="auto"/>
            <w:left w:val="none" w:sz="0" w:space="0" w:color="auto"/>
            <w:bottom w:val="none" w:sz="0" w:space="0" w:color="auto"/>
            <w:right w:val="none" w:sz="0" w:space="0" w:color="auto"/>
          </w:divBdr>
          <w:divsChild>
            <w:div w:id="1598445413">
              <w:marLeft w:val="0"/>
              <w:marRight w:val="0"/>
              <w:marTop w:val="0"/>
              <w:marBottom w:val="0"/>
              <w:divBdr>
                <w:top w:val="none" w:sz="0" w:space="0" w:color="auto"/>
                <w:left w:val="none" w:sz="0" w:space="0" w:color="auto"/>
                <w:bottom w:val="none" w:sz="0" w:space="0" w:color="auto"/>
                <w:right w:val="none" w:sz="0" w:space="0" w:color="auto"/>
              </w:divBdr>
            </w:div>
            <w:div w:id="1810854775">
              <w:marLeft w:val="0"/>
              <w:marRight w:val="0"/>
              <w:marTop w:val="0"/>
              <w:marBottom w:val="0"/>
              <w:divBdr>
                <w:top w:val="none" w:sz="0" w:space="0" w:color="auto"/>
                <w:left w:val="none" w:sz="0" w:space="0" w:color="auto"/>
                <w:bottom w:val="none" w:sz="0" w:space="0" w:color="auto"/>
                <w:right w:val="none" w:sz="0" w:space="0" w:color="auto"/>
              </w:divBdr>
            </w:div>
            <w:div w:id="1391879656">
              <w:marLeft w:val="0"/>
              <w:marRight w:val="0"/>
              <w:marTop w:val="0"/>
              <w:marBottom w:val="0"/>
              <w:divBdr>
                <w:top w:val="none" w:sz="0" w:space="0" w:color="auto"/>
                <w:left w:val="none" w:sz="0" w:space="0" w:color="auto"/>
                <w:bottom w:val="none" w:sz="0" w:space="0" w:color="auto"/>
                <w:right w:val="none" w:sz="0" w:space="0" w:color="auto"/>
              </w:divBdr>
            </w:div>
            <w:div w:id="34714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298857">
      <w:bodyDiv w:val="1"/>
      <w:marLeft w:val="0"/>
      <w:marRight w:val="0"/>
      <w:marTop w:val="0"/>
      <w:marBottom w:val="0"/>
      <w:divBdr>
        <w:top w:val="none" w:sz="0" w:space="0" w:color="auto"/>
        <w:left w:val="none" w:sz="0" w:space="0" w:color="auto"/>
        <w:bottom w:val="none" w:sz="0" w:space="0" w:color="auto"/>
        <w:right w:val="none" w:sz="0" w:space="0" w:color="auto"/>
      </w:divBdr>
      <w:divsChild>
        <w:div w:id="26949962">
          <w:marLeft w:val="0"/>
          <w:marRight w:val="0"/>
          <w:marTop w:val="0"/>
          <w:marBottom w:val="0"/>
          <w:divBdr>
            <w:top w:val="none" w:sz="0" w:space="0" w:color="auto"/>
            <w:left w:val="none" w:sz="0" w:space="0" w:color="auto"/>
            <w:bottom w:val="none" w:sz="0" w:space="0" w:color="auto"/>
            <w:right w:val="none" w:sz="0" w:space="0" w:color="auto"/>
          </w:divBdr>
        </w:div>
        <w:div w:id="1672945364">
          <w:marLeft w:val="0"/>
          <w:marRight w:val="0"/>
          <w:marTop w:val="0"/>
          <w:marBottom w:val="0"/>
          <w:divBdr>
            <w:top w:val="none" w:sz="0" w:space="0" w:color="auto"/>
            <w:left w:val="none" w:sz="0" w:space="0" w:color="auto"/>
            <w:bottom w:val="none" w:sz="0" w:space="0" w:color="auto"/>
            <w:right w:val="none" w:sz="0" w:space="0" w:color="auto"/>
          </w:divBdr>
        </w:div>
        <w:div w:id="1207520870">
          <w:marLeft w:val="0"/>
          <w:marRight w:val="0"/>
          <w:marTop w:val="0"/>
          <w:marBottom w:val="0"/>
          <w:divBdr>
            <w:top w:val="none" w:sz="0" w:space="0" w:color="auto"/>
            <w:left w:val="none" w:sz="0" w:space="0" w:color="auto"/>
            <w:bottom w:val="none" w:sz="0" w:space="0" w:color="auto"/>
            <w:right w:val="none" w:sz="0" w:space="0" w:color="auto"/>
          </w:divBdr>
        </w:div>
      </w:divsChild>
    </w:div>
    <w:div w:id="1203639370">
      <w:bodyDiv w:val="1"/>
      <w:marLeft w:val="0"/>
      <w:marRight w:val="0"/>
      <w:marTop w:val="0"/>
      <w:marBottom w:val="0"/>
      <w:divBdr>
        <w:top w:val="none" w:sz="0" w:space="0" w:color="auto"/>
        <w:left w:val="none" w:sz="0" w:space="0" w:color="auto"/>
        <w:bottom w:val="none" w:sz="0" w:space="0" w:color="auto"/>
        <w:right w:val="none" w:sz="0" w:space="0" w:color="auto"/>
      </w:divBdr>
    </w:div>
    <w:div w:id="1306937305">
      <w:bodyDiv w:val="1"/>
      <w:marLeft w:val="0"/>
      <w:marRight w:val="0"/>
      <w:marTop w:val="0"/>
      <w:marBottom w:val="0"/>
      <w:divBdr>
        <w:top w:val="none" w:sz="0" w:space="0" w:color="auto"/>
        <w:left w:val="none" w:sz="0" w:space="0" w:color="auto"/>
        <w:bottom w:val="none" w:sz="0" w:space="0" w:color="auto"/>
        <w:right w:val="none" w:sz="0" w:space="0" w:color="auto"/>
      </w:divBdr>
      <w:divsChild>
        <w:div w:id="1177034411">
          <w:marLeft w:val="0"/>
          <w:marRight w:val="0"/>
          <w:marTop w:val="0"/>
          <w:marBottom w:val="0"/>
          <w:divBdr>
            <w:top w:val="none" w:sz="0" w:space="0" w:color="auto"/>
            <w:left w:val="none" w:sz="0" w:space="0" w:color="auto"/>
            <w:bottom w:val="none" w:sz="0" w:space="0" w:color="auto"/>
            <w:right w:val="none" w:sz="0" w:space="0" w:color="auto"/>
          </w:divBdr>
        </w:div>
        <w:div w:id="581839686">
          <w:marLeft w:val="0"/>
          <w:marRight w:val="0"/>
          <w:marTop w:val="0"/>
          <w:marBottom w:val="0"/>
          <w:divBdr>
            <w:top w:val="none" w:sz="0" w:space="0" w:color="auto"/>
            <w:left w:val="none" w:sz="0" w:space="0" w:color="auto"/>
            <w:bottom w:val="none" w:sz="0" w:space="0" w:color="auto"/>
            <w:right w:val="none" w:sz="0" w:space="0" w:color="auto"/>
          </w:divBdr>
        </w:div>
        <w:div w:id="562958262">
          <w:marLeft w:val="0"/>
          <w:marRight w:val="0"/>
          <w:marTop w:val="0"/>
          <w:marBottom w:val="0"/>
          <w:divBdr>
            <w:top w:val="none" w:sz="0" w:space="0" w:color="auto"/>
            <w:left w:val="none" w:sz="0" w:space="0" w:color="auto"/>
            <w:bottom w:val="none" w:sz="0" w:space="0" w:color="auto"/>
            <w:right w:val="none" w:sz="0" w:space="0" w:color="auto"/>
          </w:divBdr>
        </w:div>
      </w:divsChild>
    </w:div>
    <w:div w:id="1359117263">
      <w:bodyDiv w:val="1"/>
      <w:marLeft w:val="0"/>
      <w:marRight w:val="0"/>
      <w:marTop w:val="0"/>
      <w:marBottom w:val="0"/>
      <w:divBdr>
        <w:top w:val="none" w:sz="0" w:space="0" w:color="auto"/>
        <w:left w:val="none" w:sz="0" w:space="0" w:color="auto"/>
        <w:bottom w:val="none" w:sz="0" w:space="0" w:color="auto"/>
        <w:right w:val="none" w:sz="0" w:space="0" w:color="auto"/>
      </w:divBdr>
    </w:div>
    <w:div w:id="1389451173">
      <w:bodyDiv w:val="1"/>
      <w:marLeft w:val="0"/>
      <w:marRight w:val="0"/>
      <w:marTop w:val="0"/>
      <w:marBottom w:val="0"/>
      <w:divBdr>
        <w:top w:val="none" w:sz="0" w:space="0" w:color="auto"/>
        <w:left w:val="none" w:sz="0" w:space="0" w:color="auto"/>
        <w:bottom w:val="none" w:sz="0" w:space="0" w:color="auto"/>
        <w:right w:val="none" w:sz="0" w:space="0" w:color="auto"/>
      </w:divBdr>
      <w:divsChild>
        <w:div w:id="304313640">
          <w:marLeft w:val="1166"/>
          <w:marRight w:val="0"/>
          <w:marTop w:val="115"/>
          <w:marBottom w:val="0"/>
          <w:divBdr>
            <w:top w:val="none" w:sz="0" w:space="0" w:color="auto"/>
            <w:left w:val="none" w:sz="0" w:space="0" w:color="auto"/>
            <w:bottom w:val="none" w:sz="0" w:space="0" w:color="auto"/>
            <w:right w:val="none" w:sz="0" w:space="0" w:color="auto"/>
          </w:divBdr>
        </w:div>
        <w:div w:id="893930263">
          <w:marLeft w:val="1800"/>
          <w:marRight w:val="0"/>
          <w:marTop w:val="96"/>
          <w:marBottom w:val="0"/>
          <w:divBdr>
            <w:top w:val="none" w:sz="0" w:space="0" w:color="auto"/>
            <w:left w:val="none" w:sz="0" w:space="0" w:color="auto"/>
            <w:bottom w:val="none" w:sz="0" w:space="0" w:color="auto"/>
            <w:right w:val="none" w:sz="0" w:space="0" w:color="auto"/>
          </w:divBdr>
        </w:div>
      </w:divsChild>
    </w:div>
    <w:div w:id="1439521901">
      <w:bodyDiv w:val="1"/>
      <w:marLeft w:val="0"/>
      <w:marRight w:val="0"/>
      <w:marTop w:val="0"/>
      <w:marBottom w:val="0"/>
      <w:divBdr>
        <w:top w:val="none" w:sz="0" w:space="0" w:color="auto"/>
        <w:left w:val="none" w:sz="0" w:space="0" w:color="auto"/>
        <w:bottom w:val="none" w:sz="0" w:space="0" w:color="auto"/>
        <w:right w:val="none" w:sz="0" w:space="0" w:color="auto"/>
      </w:divBdr>
      <w:divsChild>
        <w:div w:id="1681158301">
          <w:marLeft w:val="1800"/>
          <w:marRight w:val="0"/>
          <w:marTop w:val="96"/>
          <w:marBottom w:val="0"/>
          <w:divBdr>
            <w:top w:val="none" w:sz="0" w:space="0" w:color="auto"/>
            <w:left w:val="none" w:sz="0" w:space="0" w:color="auto"/>
            <w:bottom w:val="none" w:sz="0" w:space="0" w:color="auto"/>
            <w:right w:val="none" w:sz="0" w:space="0" w:color="auto"/>
          </w:divBdr>
        </w:div>
      </w:divsChild>
    </w:div>
    <w:div w:id="1504124298">
      <w:bodyDiv w:val="1"/>
      <w:marLeft w:val="0"/>
      <w:marRight w:val="0"/>
      <w:marTop w:val="0"/>
      <w:marBottom w:val="0"/>
      <w:divBdr>
        <w:top w:val="none" w:sz="0" w:space="0" w:color="auto"/>
        <w:left w:val="none" w:sz="0" w:space="0" w:color="auto"/>
        <w:bottom w:val="none" w:sz="0" w:space="0" w:color="auto"/>
        <w:right w:val="none" w:sz="0" w:space="0" w:color="auto"/>
      </w:divBdr>
      <w:divsChild>
        <w:div w:id="430245575">
          <w:marLeft w:val="0"/>
          <w:marRight w:val="0"/>
          <w:marTop w:val="0"/>
          <w:marBottom w:val="0"/>
          <w:divBdr>
            <w:top w:val="none" w:sz="0" w:space="0" w:color="auto"/>
            <w:left w:val="none" w:sz="0" w:space="0" w:color="auto"/>
            <w:bottom w:val="none" w:sz="0" w:space="0" w:color="auto"/>
            <w:right w:val="none" w:sz="0" w:space="0" w:color="auto"/>
          </w:divBdr>
        </w:div>
        <w:div w:id="2036999079">
          <w:marLeft w:val="0"/>
          <w:marRight w:val="0"/>
          <w:marTop w:val="0"/>
          <w:marBottom w:val="0"/>
          <w:divBdr>
            <w:top w:val="none" w:sz="0" w:space="0" w:color="auto"/>
            <w:left w:val="none" w:sz="0" w:space="0" w:color="auto"/>
            <w:bottom w:val="none" w:sz="0" w:space="0" w:color="auto"/>
            <w:right w:val="none" w:sz="0" w:space="0" w:color="auto"/>
          </w:divBdr>
        </w:div>
      </w:divsChild>
    </w:div>
    <w:div w:id="1509758051">
      <w:bodyDiv w:val="1"/>
      <w:marLeft w:val="0"/>
      <w:marRight w:val="0"/>
      <w:marTop w:val="0"/>
      <w:marBottom w:val="0"/>
      <w:divBdr>
        <w:top w:val="none" w:sz="0" w:space="0" w:color="auto"/>
        <w:left w:val="none" w:sz="0" w:space="0" w:color="auto"/>
        <w:bottom w:val="none" w:sz="0" w:space="0" w:color="auto"/>
        <w:right w:val="none" w:sz="0" w:space="0" w:color="auto"/>
      </w:divBdr>
    </w:div>
    <w:div w:id="1661428283">
      <w:bodyDiv w:val="1"/>
      <w:marLeft w:val="0"/>
      <w:marRight w:val="0"/>
      <w:marTop w:val="0"/>
      <w:marBottom w:val="0"/>
      <w:divBdr>
        <w:top w:val="none" w:sz="0" w:space="0" w:color="auto"/>
        <w:left w:val="none" w:sz="0" w:space="0" w:color="auto"/>
        <w:bottom w:val="none" w:sz="0" w:space="0" w:color="auto"/>
        <w:right w:val="none" w:sz="0" w:space="0" w:color="auto"/>
      </w:divBdr>
      <w:divsChild>
        <w:div w:id="238953857">
          <w:marLeft w:val="0"/>
          <w:marRight w:val="0"/>
          <w:marTop w:val="0"/>
          <w:marBottom w:val="0"/>
          <w:divBdr>
            <w:top w:val="none" w:sz="0" w:space="0" w:color="auto"/>
            <w:left w:val="none" w:sz="0" w:space="0" w:color="auto"/>
            <w:bottom w:val="none" w:sz="0" w:space="0" w:color="auto"/>
            <w:right w:val="none" w:sz="0" w:space="0" w:color="auto"/>
          </w:divBdr>
        </w:div>
        <w:div w:id="1509368437">
          <w:marLeft w:val="0"/>
          <w:marRight w:val="0"/>
          <w:marTop w:val="0"/>
          <w:marBottom w:val="0"/>
          <w:divBdr>
            <w:top w:val="none" w:sz="0" w:space="0" w:color="auto"/>
            <w:left w:val="none" w:sz="0" w:space="0" w:color="auto"/>
            <w:bottom w:val="none" w:sz="0" w:space="0" w:color="auto"/>
            <w:right w:val="none" w:sz="0" w:space="0" w:color="auto"/>
          </w:divBdr>
        </w:div>
      </w:divsChild>
    </w:div>
    <w:div w:id="1691756272">
      <w:bodyDiv w:val="1"/>
      <w:marLeft w:val="0"/>
      <w:marRight w:val="0"/>
      <w:marTop w:val="0"/>
      <w:marBottom w:val="0"/>
      <w:divBdr>
        <w:top w:val="none" w:sz="0" w:space="0" w:color="auto"/>
        <w:left w:val="none" w:sz="0" w:space="0" w:color="auto"/>
        <w:bottom w:val="none" w:sz="0" w:space="0" w:color="auto"/>
        <w:right w:val="none" w:sz="0" w:space="0" w:color="auto"/>
      </w:divBdr>
      <w:divsChild>
        <w:div w:id="1858960867">
          <w:marLeft w:val="0"/>
          <w:marRight w:val="0"/>
          <w:marTop w:val="0"/>
          <w:marBottom w:val="1020"/>
          <w:divBdr>
            <w:top w:val="none" w:sz="0" w:space="0" w:color="auto"/>
            <w:left w:val="none" w:sz="0" w:space="0" w:color="auto"/>
            <w:bottom w:val="none" w:sz="0" w:space="0" w:color="auto"/>
            <w:right w:val="none" w:sz="0" w:space="0" w:color="auto"/>
          </w:divBdr>
          <w:divsChild>
            <w:div w:id="495850527">
              <w:marLeft w:val="0"/>
              <w:marRight w:val="0"/>
              <w:marTop w:val="0"/>
              <w:marBottom w:val="0"/>
              <w:divBdr>
                <w:top w:val="none" w:sz="0" w:space="0" w:color="auto"/>
                <w:left w:val="none" w:sz="0" w:space="0" w:color="auto"/>
                <w:bottom w:val="none" w:sz="0" w:space="0" w:color="auto"/>
                <w:right w:val="none" w:sz="0" w:space="0" w:color="auto"/>
              </w:divBdr>
            </w:div>
          </w:divsChild>
        </w:div>
        <w:div w:id="667945287">
          <w:marLeft w:val="0"/>
          <w:marRight w:val="0"/>
          <w:marTop w:val="0"/>
          <w:marBottom w:val="0"/>
          <w:divBdr>
            <w:top w:val="none" w:sz="0" w:space="0" w:color="auto"/>
            <w:left w:val="none" w:sz="0" w:space="0" w:color="auto"/>
            <w:bottom w:val="none" w:sz="0" w:space="0" w:color="auto"/>
            <w:right w:val="none" w:sz="0" w:space="0" w:color="auto"/>
          </w:divBdr>
          <w:divsChild>
            <w:div w:id="746611546">
              <w:marLeft w:val="0"/>
              <w:marRight w:val="0"/>
              <w:marTop w:val="0"/>
              <w:marBottom w:val="0"/>
              <w:divBdr>
                <w:top w:val="none" w:sz="0" w:space="0" w:color="auto"/>
                <w:left w:val="none" w:sz="0" w:space="0" w:color="auto"/>
                <w:bottom w:val="none" w:sz="0" w:space="0" w:color="auto"/>
                <w:right w:val="none" w:sz="0" w:space="0" w:color="auto"/>
              </w:divBdr>
            </w:div>
          </w:divsChild>
        </w:div>
        <w:div w:id="1378778212">
          <w:marLeft w:val="0"/>
          <w:marRight w:val="0"/>
          <w:marTop w:val="0"/>
          <w:marBottom w:val="0"/>
          <w:divBdr>
            <w:top w:val="none" w:sz="0" w:space="0" w:color="auto"/>
            <w:left w:val="none" w:sz="0" w:space="0" w:color="auto"/>
            <w:bottom w:val="none" w:sz="0" w:space="0" w:color="auto"/>
            <w:right w:val="none" w:sz="0" w:space="0" w:color="auto"/>
          </w:divBdr>
          <w:divsChild>
            <w:div w:id="2082631723">
              <w:marLeft w:val="0"/>
              <w:marRight w:val="0"/>
              <w:marTop w:val="0"/>
              <w:marBottom w:val="0"/>
              <w:divBdr>
                <w:top w:val="none" w:sz="0" w:space="0" w:color="auto"/>
                <w:left w:val="none" w:sz="0" w:space="0" w:color="auto"/>
                <w:bottom w:val="none" w:sz="0" w:space="0" w:color="auto"/>
                <w:right w:val="none" w:sz="0" w:space="0" w:color="auto"/>
              </w:divBdr>
              <w:divsChild>
                <w:div w:id="170436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100804">
          <w:marLeft w:val="0"/>
          <w:marRight w:val="0"/>
          <w:marTop w:val="0"/>
          <w:marBottom w:val="0"/>
          <w:divBdr>
            <w:top w:val="none" w:sz="0" w:space="0" w:color="auto"/>
            <w:left w:val="none" w:sz="0" w:space="0" w:color="auto"/>
            <w:bottom w:val="none" w:sz="0" w:space="0" w:color="auto"/>
            <w:right w:val="none" w:sz="0" w:space="0" w:color="auto"/>
          </w:divBdr>
          <w:divsChild>
            <w:div w:id="918563228">
              <w:marLeft w:val="0"/>
              <w:marRight w:val="0"/>
              <w:marTop w:val="0"/>
              <w:marBottom w:val="0"/>
              <w:divBdr>
                <w:top w:val="none" w:sz="0" w:space="0" w:color="auto"/>
                <w:left w:val="none" w:sz="0" w:space="0" w:color="auto"/>
                <w:bottom w:val="none" w:sz="0" w:space="0" w:color="auto"/>
                <w:right w:val="none" w:sz="0" w:space="0" w:color="auto"/>
              </w:divBdr>
            </w:div>
          </w:divsChild>
        </w:div>
        <w:div w:id="113795135">
          <w:marLeft w:val="0"/>
          <w:marRight w:val="0"/>
          <w:marTop w:val="0"/>
          <w:marBottom w:val="0"/>
          <w:divBdr>
            <w:top w:val="none" w:sz="0" w:space="0" w:color="auto"/>
            <w:left w:val="none" w:sz="0" w:space="0" w:color="auto"/>
            <w:bottom w:val="none" w:sz="0" w:space="0" w:color="auto"/>
            <w:right w:val="none" w:sz="0" w:space="0" w:color="auto"/>
          </w:divBdr>
          <w:divsChild>
            <w:div w:id="154346815">
              <w:marLeft w:val="0"/>
              <w:marRight w:val="0"/>
              <w:marTop w:val="0"/>
              <w:marBottom w:val="0"/>
              <w:divBdr>
                <w:top w:val="none" w:sz="0" w:space="0" w:color="auto"/>
                <w:left w:val="none" w:sz="0" w:space="0" w:color="auto"/>
                <w:bottom w:val="none" w:sz="0" w:space="0" w:color="auto"/>
                <w:right w:val="none" w:sz="0" w:space="0" w:color="auto"/>
              </w:divBdr>
              <w:divsChild>
                <w:div w:id="203182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86170">
          <w:marLeft w:val="0"/>
          <w:marRight w:val="0"/>
          <w:marTop w:val="0"/>
          <w:marBottom w:val="0"/>
          <w:divBdr>
            <w:top w:val="none" w:sz="0" w:space="0" w:color="auto"/>
            <w:left w:val="none" w:sz="0" w:space="0" w:color="auto"/>
            <w:bottom w:val="none" w:sz="0" w:space="0" w:color="auto"/>
            <w:right w:val="none" w:sz="0" w:space="0" w:color="auto"/>
          </w:divBdr>
          <w:divsChild>
            <w:div w:id="179837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698221">
      <w:bodyDiv w:val="1"/>
      <w:marLeft w:val="0"/>
      <w:marRight w:val="0"/>
      <w:marTop w:val="0"/>
      <w:marBottom w:val="0"/>
      <w:divBdr>
        <w:top w:val="none" w:sz="0" w:space="0" w:color="auto"/>
        <w:left w:val="none" w:sz="0" w:space="0" w:color="auto"/>
        <w:bottom w:val="none" w:sz="0" w:space="0" w:color="auto"/>
        <w:right w:val="none" w:sz="0" w:space="0" w:color="auto"/>
      </w:divBdr>
    </w:div>
    <w:div w:id="1982346832">
      <w:bodyDiv w:val="1"/>
      <w:marLeft w:val="0"/>
      <w:marRight w:val="0"/>
      <w:marTop w:val="0"/>
      <w:marBottom w:val="0"/>
      <w:divBdr>
        <w:top w:val="none" w:sz="0" w:space="0" w:color="auto"/>
        <w:left w:val="none" w:sz="0" w:space="0" w:color="auto"/>
        <w:bottom w:val="none" w:sz="0" w:space="0" w:color="auto"/>
        <w:right w:val="none" w:sz="0" w:space="0" w:color="auto"/>
      </w:divBdr>
      <w:divsChild>
        <w:div w:id="193272079">
          <w:marLeft w:val="0"/>
          <w:marRight w:val="0"/>
          <w:marTop w:val="0"/>
          <w:marBottom w:val="0"/>
          <w:divBdr>
            <w:top w:val="none" w:sz="0" w:space="0" w:color="auto"/>
            <w:left w:val="none" w:sz="0" w:space="0" w:color="auto"/>
            <w:bottom w:val="none" w:sz="0" w:space="0" w:color="auto"/>
            <w:right w:val="none" w:sz="0" w:space="0" w:color="auto"/>
          </w:divBdr>
          <w:divsChild>
            <w:div w:id="1802114400">
              <w:marLeft w:val="0"/>
              <w:marRight w:val="0"/>
              <w:marTop w:val="0"/>
              <w:marBottom w:val="0"/>
              <w:divBdr>
                <w:top w:val="none" w:sz="0" w:space="0" w:color="auto"/>
                <w:left w:val="none" w:sz="0" w:space="0" w:color="auto"/>
                <w:bottom w:val="none" w:sz="0" w:space="0" w:color="auto"/>
                <w:right w:val="none" w:sz="0" w:space="0" w:color="auto"/>
              </w:divBdr>
            </w:div>
            <w:div w:id="484054992">
              <w:marLeft w:val="0"/>
              <w:marRight w:val="0"/>
              <w:marTop w:val="0"/>
              <w:marBottom w:val="0"/>
              <w:divBdr>
                <w:top w:val="none" w:sz="0" w:space="0" w:color="auto"/>
                <w:left w:val="none" w:sz="0" w:space="0" w:color="auto"/>
                <w:bottom w:val="none" w:sz="0" w:space="0" w:color="auto"/>
                <w:right w:val="none" w:sz="0" w:space="0" w:color="auto"/>
              </w:divBdr>
            </w:div>
            <w:div w:id="194732303">
              <w:marLeft w:val="0"/>
              <w:marRight w:val="0"/>
              <w:marTop w:val="0"/>
              <w:marBottom w:val="0"/>
              <w:divBdr>
                <w:top w:val="none" w:sz="0" w:space="0" w:color="auto"/>
                <w:left w:val="none" w:sz="0" w:space="0" w:color="auto"/>
                <w:bottom w:val="none" w:sz="0" w:space="0" w:color="auto"/>
                <w:right w:val="none" w:sz="0" w:space="0" w:color="auto"/>
              </w:divBdr>
            </w:div>
            <w:div w:id="425884214">
              <w:marLeft w:val="0"/>
              <w:marRight w:val="0"/>
              <w:marTop w:val="0"/>
              <w:marBottom w:val="0"/>
              <w:divBdr>
                <w:top w:val="none" w:sz="0" w:space="0" w:color="auto"/>
                <w:left w:val="none" w:sz="0" w:space="0" w:color="auto"/>
                <w:bottom w:val="none" w:sz="0" w:space="0" w:color="auto"/>
                <w:right w:val="none" w:sz="0" w:space="0" w:color="auto"/>
              </w:divBdr>
            </w:div>
            <w:div w:id="7074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431795">
      <w:bodyDiv w:val="1"/>
      <w:marLeft w:val="0"/>
      <w:marRight w:val="0"/>
      <w:marTop w:val="0"/>
      <w:marBottom w:val="0"/>
      <w:divBdr>
        <w:top w:val="none" w:sz="0" w:space="0" w:color="auto"/>
        <w:left w:val="none" w:sz="0" w:space="0" w:color="auto"/>
        <w:bottom w:val="none" w:sz="0" w:space="0" w:color="auto"/>
        <w:right w:val="none" w:sz="0" w:space="0" w:color="auto"/>
      </w:divBdr>
      <w:divsChild>
        <w:div w:id="603194768">
          <w:marLeft w:val="0"/>
          <w:marRight w:val="0"/>
          <w:marTop w:val="0"/>
          <w:marBottom w:val="0"/>
          <w:divBdr>
            <w:top w:val="none" w:sz="0" w:space="0" w:color="auto"/>
            <w:left w:val="none" w:sz="0" w:space="0" w:color="auto"/>
            <w:bottom w:val="none" w:sz="0" w:space="0" w:color="auto"/>
            <w:right w:val="none" w:sz="0" w:space="0" w:color="auto"/>
          </w:divBdr>
          <w:divsChild>
            <w:div w:id="1366977200">
              <w:marLeft w:val="0"/>
              <w:marRight w:val="0"/>
              <w:marTop w:val="0"/>
              <w:marBottom w:val="0"/>
              <w:divBdr>
                <w:top w:val="none" w:sz="0" w:space="0" w:color="auto"/>
                <w:left w:val="none" w:sz="0" w:space="0" w:color="auto"/>
                <w:bottom w:val="none" w:sz="0" w:space="0" w:color="auto"/>
                <w:right w:val="none" w:sz="0" w:space="0" w:color="auto"/>
              </w:divBdr>
            </w:div>
            <w:div w:id="409087192">
              <w:marLeft w:val="0"/>
              <w:marRight w:val="0"/>
              <w:marTop w:val="0"/>
              <w:marBottom w:val="0"/>
              <w:divBdr>
                <w:top w:val="none" w:sz="0" w:space="0" w:color="auto"/>
                <w:left w:val="none" w:sz="0" w:space="0" w:color="auto"/>
                <w:bottom w:val="none" w:sz="0" w:space="0" w:color="auto"/>
                <w:right w:val="none" w:sz="0" w:space="0" w:color="auto"/>
              </w:divBdr>
            </w:div>
            <w:div w:id="1768574950">
              <w:marLeft w:val="0"/>
              <w:marRight w:val="0"/>
              <w:marTop w:val="0"/>
              <w:marBottom w:val="0"/>
              <w:divBdr>
                <w:top w:val="none" w:sz="0" w:space="0" w:color="auto"/>
                <w:left w:val="none" w:sz="0" w:space="0" w:color="auto"/>
                <w:bottom w:val="none" w:sz="0" w:space="0" w:color="auto"/>
                <w:right w:val="none" w:sz="0" w:space="0" w:color="auto"/>
              </w:divBdr>
            </w:div>
            <w:div w:id="152648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financial%20management\LSE_ULE_2018.pdf" TargetMode="External"/><Relationship Id="rId13" Type="http://schemas.openxmlformats.org/officeDocument/2006/relationships/hyperlink" Target="https://smallbusiness.chron.com/advantages-disadvantages-payback-capital-budgeting-method-14206.html" TargetMode="External"/><Relationship Id="rId3" Type="http://schemas.openxmlformats.org/officeDocument/2006/relationships/settings" Target="settings.xml"/><Relationship Id="rId7" Type="http://schemas.openxmlformats.org/officeDocument/2006/relationships/hyperlink" Target="file:///E:\financial%20management\ultra_ar_a_2017_ac.pdf" TargetMode="External"/><Relationship Id="rId12" Type="http://schemas.openxmlformats.org/officeDocument/2006/relationships/hyperlink" Target="https://www.ultra.group/about-us/what-we-do/"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E:\financial%20management\LSE_ULE_2016.pdf" TargetMode="External"/><Relationship Id="rId11" Type="http://schemas.openxmlformats.org/officeDocument/2006/relationships/hyperlink" Target="https://beta.companieshouse.gov.uk/company/02830397/filing-history" TargetMode="External"/><Relationship Id="rId5" Type="http://schemas.openxmlformats.org/officeDocument/2006/relationships/hyperlink" Target="file:///E:\financial%20management\LSE_ULE_2015.pdf" TargetMode="External"/><Relationship Id="rId15" Type="http://schemas.openxmlformats.org/officeDocument/2006/relationships/hyperlink" Target="https://www.ft.com/content/d152a04c-c86a-11e7-aa33-c63fdc9b8c6c" TargetMode="External"/><Relationship Id="rId10" Type="http://schemas.openxmlformats.org/officeDocument/2006/relationships/hyperlink" Target="file:///E:\financial%20management\Annual%20Report%20and%20Accounts%202019%209mb%20(4).pdf" TargetMode="External"/><Relationship Id="rId4" Type="http://schemas.openxmlformats.org/officeDocument/2006/relationships/webSettings" Target="webSettings.xml"/><Relationship Id="rId9" Type="http://schemas.openxmlformats.org/officeDocument/2006/relationships/hyperlink" Target="file:///E:\financial%20management\ultra-ar-2019.pdf" TargetMode="External"/><Relationship Id="rId14" Type="http://schemas.openxmlformats.org/officeDocument/2006/relationships/hyperlink" Target="https://www.standard.co.uk/business/ultra-issues-second-profit-warning-after-soaring-costs-at-us-acquisition-herley-a387345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4805</TotalTime>
  <Pages>11</Pages>
  <Words>2848</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Fongoh (2000183)</dc:creator>
  <cp:keywords/>
  <dc:description/>
  <cp:lastModifiedBy>Nelson Fongoh (2000183)</cp:lastModifiedBy>
  <cp:revision>60</cp:revision>
  <dcterms:created xsi:type="dcterms:W3CDTF">2020-05-20T09:49:00Z</dcterms:created>
  <dcterms:modified xsi:type="dcterms:W3CDTF">2020-05-25T08:42:00Z</dcterms:modified>
</cp:coreProperties>
</file>