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4DA03B" w14:textId="18A0ECC9" w:rsidR="00BC7FC6" w:rsidRPr="00D66BD5" w:rsidRDefault="00BC7FC6" w:rsidP="003532A7">
      <w:pPr>
        <w:rPr>
          <w:b/>
          <w:bCs/>
          <w:sz w:val="28"/>
          <w:szCs w:val="28"/>
        </w:rPr>
      </w:pPr>
      <w:r w:rsidRPr="00D66BD5">
        <w:rPr>
          <w:b/>
          <w:bCs/>
          <w:sz w:val="28"/>
          <w:szCs w:val="28"/>
        </w:rPr>
        <w:t xml:space="preserve">Findings and Analysis </w:t>
      </w:r>
    </w:p>
    <w:p w14:paraId="0E7AC3C9" w14:textId="77777777" w:rsidR="00BC7FC6" w:rsidRDefault="00BC7FC6" w:rsidP="003532A7"/>
    <w:p w14:paraId="684C8A72" w14:textId="77777777" w:rsidR="009C4FE6" w:rsidRPr="00E3643F" w:rsidRDefault="009C4FE6" w:rsidP="009C4FE6">
      <w:r w:rsidRPr="00E3643F">
        <w:t xml:space="preserve">4.1 </w:t>
      </w:r>
      <w:r w:rsidRPr="00134FEE">
        <w:rPr>
          <w:b/>
          <w:bCs/>
        </w:rPr>
        <w:t>Introduction to the Thematic Analysis</w:t>
      </w:r>
    </w:p>
    <w:p w14:paraId="5B682316" w14:textId="77777777" w:rsidR="009C4FE6" w:rsidRPr="00E3643F" w:rsidRDefault="009C4FE6" w:rsidP="009C4FE6">
      <w:r w:rsidRPr="00E3643F">
        <w:t xml:space="preserve">This chapter presents the qualitative findings derived from the thematic analysis of the secondary documentary corpus, organised in accordance with the thematic </w:t>
      </w:r>
      <w:proofErr w:type="gramStart"/>
      <w:r w:rsidRPr="00E3643F">
        <w:t>networks</w:t>
      </w:r>
      <w:proofErr w:type="gramEnd"/>
      <w:r w:rsidRPr="00E3643F">
        <w:t xml:space="preserve"> framework developed by </w:t>
      </w:r>
      <w:proofErr w:type="spellStart"/>
      <w:r w:rsidRPr="00291769">
        <w:rPr>
          <w:color w:val="00B050"/>
        </w:rPr>
        <w:t>Attride</w:t>
      </w:r>
      <w:proofErr w:type="spellEnd"/>
      <w:r w:rsidRPr="00291769">
        <w:rPr>
          <w:color w:val="00B050"/>
        </w:rPr>
        <w:t xml:space="preserve">-Stirling (2001) </w:t>
      </w:r>
      <w:r w:rsidRPr="00E3643F">
        <w:t xml:space="preserve">and the six-phase analytic model proposed by Braun and Clarke (2006, 2019). Drawing on data triangulation principles </w:t>
      </w:r>
      <w:r w:rsidRPr="00873033">
        <w:rPr>
          <w:color w:val="00B050"/>
        </w:rPr>
        <w:t xml:space="preserve">(Guion, 2002; </w:t>
      </w:r>
      <w:r w:rsidRPr="00E3643F">
        <w:t xml:space="preserve">Denzin, 1978), the analysis systematically compares policy claims and capital expenditure figures from the Ministry of Justice (MoJ) and HM Prison and Probation Service (HMPPS) with operational evidence from HM Inspectorate of Prisons (HMIP), the Prisons and Probation Ombudsman (PPO), and Independent Monitoring Boards (IMB). </w:t>
      </w:r>
    </w:p>
    <w:p w14:paraId="4516DD81" w14:textId="77777777" w:rsidR="009C4FE6" w:rsidRPr="00E3643F" w:rsidRDefault="009C4FE6" w:rsidP="009C4FE6">
      <w:r w:rsidRPr="00E3643F">
        <w:t xml:space="preserve">The empirical findings are organised into three overarching Global Themes that address the key gaps identified in the literature: </w:t>
      </w:r>
    </w:p>
    <w:p w14:paraId="193C87E4" w14:textId="77777777" w:rsidR="009C4FE6" w:rsidRPr="00E3643F" w:rsidRDefault="009C4FE6" w:rsidP="009C4FE6">
      <w:pPr>
        <w:numPr>
          <w:ilvl w:val="0"/>
          <w:numId w:val="4"/>
        </w:numPr>
      </w:pPr>
      <w:r w:rsidRPr="00E3643F">
        <w:t>The Technological Interdiction Fallacy: Detection Metrics Versus Sustained Market Disruption</w:t>
      </w:r>
    </w:p>
    <w:p w14:paraId="4235EA21" w14:textId="77777777" w:rsidR="009C4FE6" w:rsidRPr="00E3643F" w:rsidRDefault="009C4FE6" w:rsidP="009C4FE6">
      <w:pPr>
        <w:numPr>
          <w:ilvl w:val="0"/>
          <w:numId w:val="4"/>
        </w:numPr>
      </w:pPr>
      <w:r w:rsidRPr="00E3643F">
        <w:t>Criminal Adaptability, Procedural Exploitation, and Asymmetric Displacement</w:t>
      </w:r>
    </w:p>
    <w:p w14:paraId="2963C596" w14:textId="77777777" w:rsidR="009C4FE6" w:rsidRPr="00E3643F" w:rsidRDefault="009C4FE6" w:rsidP="009C4FE6">
      <w:pPr>
        <w:numPr>
          <w:ilvl w:val="0"/>
          <w:numId w:val="4"/>
        </w:numPr>
      </w:pPr>
      <w:r w:rsidRPr="00E3643F">
        <w:t>Systemic Operational Friction: Frontline Deficits, Structural Dilapidation, and Institutional Normalisation</w:t>
      </w:r>
    </w:p>
    <w:p w14:paraId="739FDDE9" w14:textId="05A41F6E" w:rsidR="009C4FE6" w:rsidRPr="009610BA" w:rsidRDefault="009C4FE6" w:rsidP="009C4FE6">
      <w:pPr>
        <w:rPr>
          <w:b/>
          <w:bCs/>
          <w:color w:val="0070C0"/>
        </w:rPr>
      </w:pPr>
      <w:r w:rsidRPr="009610BA">
        <w:rPr>
          <w:b/>
          <w:bCs/>
          <w:color w:val="0070C0"/>
        </w:rPr>
        <w:t>4.2 Global Theme 1: The Technological Interdiction Fallacy Detection Metrics Versus Sustained Market Disruption</w:t>
      </w:r>
    </w:p>
    <w:p w14:paraId="57112C5A" w14:textId="77777777" w:rsidR="009C4FE6" w:rsidRPr="00E3643F" w:rsidRDefault="009C4FE6" w:rsidP="009C4FE6">
      <w:r w:rsidRPr="00E3643F">
        <w:t xml:space="preserve">The first Global Theme examines a central assumption underlying contemporary penal interdiction policy in England and Wales: that substantial investment in advanced detection technology translates directly into the disruption and reduction of prison drug markets. Across statutory inspection reports and ministerial statements, a significant gap emerges between reported detection outcomes and the continued availability of illicit substances within the custodial estate. Rather than consistently securing institutional perimeters, technology may create an impression of effective interdiction while leaving the underlying illicit economies largely intact. </w:t>
      </w:r>
    </w:p>
    <w:p w14:paraId="48DF6A83" w14:textId="77777777" w:rsidR="009C4FE6" w:rsidRPr="00E3643F" w:rsidRDefault="009C4FE6" w:rsidP="009C4FE6">
      <w:r w:rsidRPr="00E3643F">
        <w:t>4.2.1 Organising Theme 1.1: Frontline Execution Gaps in Physical Scanning Protocols</w:t>
      </w:r>
    </w:p>
    <w:p w14:paraId="3E05FA0F" w14:textId="77777777" w:rsidR="009C4FE6" w:rsidRPr="00E3643F" w:rsidRDefault="009C4FE6" w:rsidP="009C4FE6">
      <w:r w:rsidRPr="00E3643F">
        <w:t xml:space="preserve">The £100 million Security Investment Programme included the rollout of transmission X-ray body scanners across the closed adult male estate (UK Parliament, 2024; Ministry of Justice, 2026). From a Situational Crime Prevention (SCP) perspective, transmission scanning represents a target-hardening measure intended to increase the perceived risks and practical difficulties associated with entry-point smuggling (Clarke, 1997). </w:t>
      </w:r>
      <w:r w:rsidRPr="00E3643F">
        <w:lastRenderedPageBreak/>
        <w:t xml:space="preserve">However, evidence from statutory oversight bodies indicates that implementation difficulties can undermine the operational effectiveness of these scanners. </w:t>
      </w:r>
    </w:p>
    <w:p w14:paraId="0656DC75" w14:textId="466DCDBF" w:rsidR="009C4FE6" w:rsidRPr="00E3643F" w:rsidRDefault="009C4FE6" w:rsidP="009C4FE6">
      <w:r w:rsidRPr="00E3643F">
        <w:t xml:space="preserve">Inspection records demonstrate that technological equipment frequently remains unused because of operational pressures and maintenance delays. HMIP inspection reports across Category B local prisons and Category C training establishments document instances where reception body scanners were unstaffed or non-operational during core periods of prisoner movement. For instance, inspectors at HMP Manchester observed that regime pressures and staff redeployments resulted in reception scanners being bypassed entirely for arriving prisoners </w:t>
      </w:r>
      <w:r w:rsidRPr="00C66067">
        <w:rPr>
          <w:color w:val="EE0000"/>
        </w:rPr>
        <w:t>(HM</w:t>
      </w:r>
      <w:r w:rsidR="00F73991">
        <w:rPr>
          <w:color w:val="EE0000"/>
        </w:rPr>
        <w:t xml:space="preserve"> Inspectorate of Pr</w:t>
      </w:r>
      <w:r w:rsidR="00AB6261">
        <w:rPr>
          <w:color w:val="EE0000"/>
        </w:rPr>
        <w:t>ison</w:t>
      </w:r>
      <w:r w:rsidR="00E67740">
        <w:rPr>
          <w:color w:val="EE0000"/>
        </w:rPr>
        <w:t>s</w:t>
      </w:r>
      <w:r w:rsidRPr="00C66067">
        <w:rPr>
          <w:color w:val="EE0000"/>
        </w:rPr>
        <w:t xml:space="preserve">, 2026). </w:t>
      </w:r>
      <w:r w:rsidRPr="00E3643F">
        <w:t xml:space="preserve">Rather than providing a consistent barrier against internally concealed contraband, the equipment operated as an intermittent checkpoint whose availability depended on daily staffing arrangements. </w:t>
      </w:r>
    </w:p>
    <w:p w14:paraId="4D542129" w14:textId="4636DF7E" w:rsidR="009C4FE6" w:rsidRPr="00E3643F" w:rsidRDefault="009C4FE6" w:rsidP="009C4FE6">
      <w:r w:rsidRPr="00E3643F">
        <w:t>This operational problem is reinforced by Independent Monitoring Board findings. IMB reports identify protracted delays in procurement and repairs when X-ray scanners develop technical faults (</w:t>
      </w:r>
      <w:r w:rsidR="00D10128" w:rsidRPr="00E3643F">
        <w:t>Independent Monitoring Board</w:t>
      </w:r>
      <w:r w:rsidRPr="00E3643F">
        <w:t xml:space="preserve">, 2024). When scanning equipment fails, establishments revert to visual searches and conventional metal-detector portals, although these measures cannot identify packages concealed within body cavities (Norman, 2022). As Guion (2002) highlights, comparing independent monitoring evidence with departmental statements reveals how national accounts of technological deployment obscure critical interruptions in operational delivery at individual establishments. </w:t>
      </w:r>
    </w:p>
    <w:p w14:paraId="2F8905A0" w14:textId="1CCF0D21" w:rsidR="009C4FE6" w:rsidRPr="00E3643F" w:rsidRDefault="009C4FE6" w:rsidP="009C4FE6">
      <w:r w:rsidRPr="00E3643F">
        <w:t xml:space="preserve">Furthermore, the documentary evidence exposes severe procedural limitations occurring after a positive X-ray scan is recorded. Under HMPPS procedures, an image indicating possible internal concealment does not itself recover contraband; recovering items requires prolonged isolation in designated </w:t>
      </w:r>
      <w:r w:rsidR="006A331A">
        <w:t>‘</w:t>
      </w:r>
      <w:r w:rsidRPr="00E3643F">
        <w:t>dry cells</w:t>
      </w:r>
      <w:r w:rsidR="006A331A">
        <w:t>’</w:t>
      </w:r>
      <w:r w:rsidRPr="00E3643F">
        <w:t xml:space="preserve"> until the package is passed naturally. The availability of appropriate facilities and sufficient staff is essential to this response. Investigations by the </w:t>
      </w:r>
      <w:r w:rsidR="008C072A" w:rsidRPr="008C072A">
        <w:t>Prisons and Probation Ombudsman</w:t>
      </w:r>
      <w:r w:rsidR="008C072A">
        <w:t xml:space="preserve"> </w:t>
      </w:r>
      <w:r w:rsidRPr="00E3643F">
        <w:t>identify instances where prisoners with suspicious scans were returned to standard residential wings because constant-supervision resources were unavailable (</w:t>
      </w:r>
      <w:r w:rsidR="002E20EC" w:rsidRPr="005D3CED">
        <w:rPr>
          <w:color w:val="00B050"/>
        </w:rPr>
        <w:t>Prisons and Probation Ombudsman</w:t>
      </w:r>
      <w:r w:rsidRPr="005D3CED">
        <w:rPr>
          <w:color w:val="00B050"/>
        </w:rPr>
        <w:t>, 2024</w:t>
      </w:r>
      <w:r w:rsidRPr="00E3643F">
        <w:t xml:space="preserve">). In such cases, internally concealed synthetic cannabinoids and novel psychoactive substances (NPS) reach the internal market despite having been successfully imaged by reception technology. </w:t>
      </w:r>
    </w:p>
    <w:p w14:paraId="36A99BE6" w14:textId="77777777" w:rsidR="009C4FE6" w:rsidRPr="00E3643F" w:rsidRDefault="009C4FE6" w:rsidP="009C4FE6">
      <w:r w:rsidRPr="00E3643F">
        <w:t>4.2.2 Organising Theme 1.2: Misalignment Between Detection Metrics and Illicit Market Disruption</w:t>
      </w:r>
    </w:p>
    <w:p w14:paraId="23CE990E" w14:textId="77777777" w:rsidR="009C4FE6" w:rsidRPr="00E3643F" w:rsidRDefault="009C4FE6" w:rsidP="009C4FE6">
      <w:r w:rsidRPr="00E3643F">
        <w:t xml:space="preserve">A further dimension of this Global Theme concerns the institutional conflation of seizure figures with operational success. Departmental reporting regularly cites substantial numbers of illicit items intercepted by body scanners as evidence of the contribution made by security investment (UK Parliament, 2024; Bell et al., 2019). </w:t>
      </w:r>
      <w:r w:rsidRPr="00E3643F">
        <w:lastRenderedPageBreak/>
        <w:t xml:space="preserve">However, qualitative oversight documents indicate that high detection figures demonstrate interception activity rather than an actual contraction in the volume of illicit substances circulating on residential wings. </w:t>
      </w:r>
    </w:p>
    <w:p w14:paraId="47D26109" w14:textId="77777777" w:rsidR="009C4FE6" w:rsidRPr="00E3643F" w:rsidRDefault="009C4FE6" w:rsidP="009C4FE6">
      <w:r w:rsidRPr="003B532C">
        <w:rPr>
          <w:color w:val="00B050"/>
        </w:rPr>
        <w:t xml:space="preserve">As Maguire (2012) </w:t>
      </w:r>
      <w:r w:rsidRPr="00E3643F">
        <w:t xml:space="preserve">and Duke and MacGregor (2024) observe, prison drug statistics are fundamentally constrained by an expansive dark figure of unrecorded supply. Increased scanner detections often reflect an expanding volume of smuggling activity or heightened search activity rather than a contracting market. PPO fatal incident reports and public health research confirm that serious drug-related toxicity incidents and debt-related violence remain widespread within prisons (PPO, 2024; Middlesex University, 2023). Where institutional harms persist unabated alongside elevated detection tallies, the weight of evidence confirms that interception measures fail to disrupt the broader supply network. </w:t>
      </w:r>
    </w:p>
    <w:p w14:paraId="6CE183E3" w14:textId="77777777" w:rsidR="009C4FE6" w:rsidRPr="00E3643F" w:rsidRDefault="009C4FE6" w:rsidP="009C4FE6">
      <w:r w:rsidRPr="00E3643F">
        <w:t xml:space="preserve">The technological interdiction model also falters when confronted with chemical diversification. Although X-ray scanners can identify dense physical objects, their ability to identify </w:t>
      </w:r>
      <w:proofErr w:type="gramStart"/>
      <w:r w:rsidRPr="00E3643F">
        <w:t>particular substances</w:t>
      </w:r>
      <w:proofErr w:type="gramEnd"/>
      <w:r w:rsidRPr="00E3643F">
        <w:t xml:space="preserve"> depends on material density and machine resolution, rendering them largely ineffective at distinguishing micro-quantities of synthetic psychoactive compounds (Norman, 2022; Vaccaro et al., 2022). Similarly, ion-mobility spectrometry equipment deployed to detect drug residues on postal correspondence carries strict evidentiary limits. Ministry of Justice policy mandates that trace-detection indications serve exclusively as intelligence and cannot independently support internal adjudications or criminal proceedings without external forensic laboratory confirmation (Ministry of Justice, 2023). </w:t>
      </w:r>
    </w:p>
    <w:p w14:paraId="228D91B4" w14:textId="71DE3398" w:rsidR="009C4FE6" w:rsidRPr="00E3643F" w:rsidRDefault="009C4FE6" w:rsidP="009C4FE6">
      <w:r w:rsidRPr="00E3643F">
        <w:t>This evidentiary constraint creates a substantial operational bottleneck. While trace-detection equipment generates useful real-time security intelligence, the operational delays and fiscal costs associated with off-site laboratory testing mean that positive indications rarely culminate in timely disciplinary sanctions, leaving the underlying supply networks functionally uninhibited (Ministry of Justice, 2023</w:t>
      </w:r>
      <w:r w:rsidRPr="003D14E3">
        <w:rPr>
          <w:color w:val="000000" w:themeColor="text1"/>
        </w:rPr>
        <w:t>; HM</w:t>
      </w:r>
      <w:r w:rsidR="00DB4F64" w:rsidRPr="003D14E3">
        <w:rPr>
          <w:color w:val="000000" w:themeColor="text1"/>
        </w:rPr>
        <w:t xml:space="preserve"> </w:t>
      </w:r>
      <w:r w:rsidRPr="003D14E3">
        <w:rPr>
          <w:color w:val="000000" w:themeColor="text1"/>
        </w:rPr>
        <w:t>I</w:t>
      </w:r>
      <w:r w:rsidR="00DB4F64" w:rsidRPr="003D14E3">
        <w:rPr>
          <w:color w:val="000000" w:themeColor="text1"/>
        </w:rPr>
        <w:t>nsp</w:t>
      </w:r>
      <w:r w:rsidR="003D14E3" w:rsidRPr="003D14E3">
        <w:rPr>
          <w:color w:val="000000" w:themeColor="text1"/>
        </w:rPr>
        <w:t>ectorate</w:t>
      </w:r>
      <w:r w:rsidR="00DB4F64" w:rsidRPr="003D14E3">
        <w:rPr>
          <w:color w:val="000000" w:themeColor="text1"/>
        </w:rPr>
        <w:t xml:space="preserve"> of </w:t>
      </w:r>
      <w:r w:rsidR="003D14E3" w:rsidRPr="003D14E3">
        <w:rPr>
          <w:color w:val="000000" w:themeColor="text1"/>
        </w:rPr>
        <w:t>Prions</w:t>
      </w:r>
      <w:r w:rsidRPr="00E3643F">
        <w:t xml:space="preserve">, 2025). Because trace-detection hardware cannot provide legally definitive evidence on-site, the interdiction process lacks the speed and certainty of deterrence required by Situational Crime Prevention theory (Clarke, 1997). </w:t>
      </w:r>
    </w:p>
    <w:p w14:paraId="2C1B7225" w14:textId="77777777" w:rsidR="009C4FE6" w:rsidRPr="00903A0D" w:rsidRDefault="009C4FE6" w:rsidP="009C4FE6">
      <w:pPr>
        <w:rPr>
          <w:b/>
          <w:bCs/>
          <w:color w:val="00B050"/>
        </w:rPr>
      </w:pPr>
      <w:r w:rsidRPr="00903A0D">
        <w:rPr>
          <w:color w:val="00B050"/>
        </w:rPr>
        <w:t>Consequently, evidence triangulated across MoJ, HMIP, and PPO publications suggests that technological interdiction operates under clear boundaries. Detection metrics demonstrate interception activity and satisfy administrative reporting requirements, but they cannot independently establish sustained reductions in drug availability. The central issue is not whether technology contributes to prison security, but whether its procurement, daily operational staffing, and follow-up procedural workflows combine effectively to disrupt the wider illicit market</w:t>
      </w:r>
      <w:r w:rsidRPr="00903A0D">
        <w:rPr>
          <w:b/>
          <w:bCs/>
          <w:color w:val="00B050"/>
        </w:rPr>
        <w:t>.</w:t>
      </w:r>
    </w:p>
    <w:p w14:paraId="52343ECF" w14:textId="77777777" w:rsidR="00BC7FC6" w:rsidRPr="003532A7" w:rsidRDefault="00BC7FC6" w:rsidP="003532A7"/>
    <w:p w14:paraId="5C6EEEE8" w14:textId="77777777" w:rsidR="00E02AAF" w:rsidRPr="009610BA" w:rsidRDefault="00E02AAF" w:rsidP="00E02AAF">
      <w:pPr>
        <w:rPr>
          <w:b/>
          <w:bCs/>
          <w:color w:val="0070C0"/>
        </w:rPr>
      </w:pPr>
      <w:r w:rsidRPr="009610BA">
        <w:rPr>
          <w:b/>
          <w:bCs/>
          <w:color w:val="0070C0"/>
        </w:rPr>
        <w:lastRenderedPageBreak/>
        <w:t>4.3 Global Theme 2: Criminal Adaptability, Procedural Exploitation, and Asymmetric Displacement</w:t>
      </w:r>
    </w:p>
    <w:p w14:paraId="26D02AD3" w14:textId="77777777" w:rsidR="00E02AAF" w:rsidRPr="00E02AAF" w:rsidRDefault="00E02AAF" w:rsidP="00E02AAF">
      <w:r w:rsidRPr="00E02AAF">
        <w:t xml:space="preserve">The second Global Theme examines how custodial supply networks adapt in response to strengthened perimeter and gatehouse interdiction. While official policy narratives often depict target-hardening measures as static barriers to entry, statutory inspection records and empirical research demonstrate that custodial drug markets operate as adaptive systems. When visitor entrances and reception gates become more difficult to exploit due to technological scanning, supply operations shift toward alternative geographical, technological, and procedural conduits. This pattern aligns with Cornish and Clarke’s (1987) conceptualisation of situational displacement and criminal choice </w:t>
      </w:r>
      <w:proofErr w:type="gramStart"/>
      <w:r w:rsidRPr="00E02AAF">
        <w:t>structuring,</w:t>
      </w:r>
      <w:proofErr w:type="gramEnd"/>
      <w:r w:rsidRPr="00E02AAF">
        <w:t xml:space="preserve"> wherein illicit actors select alternative pathways that minimise perceived detection risks. </w:t>
      </w:r>
    </w:p>
    <w:p w14:paraId="1B07B3C0" w14:textId="77777777" w:rsidR="00E02AAF" w:rsidRPr="00E02AAF" w:rsidRDefault="00E02AAF" w:rsidP="00E02AAF">
      <w:pPr>
        <w:rPr>
          <w:b/>
          <w:bCs/>
        </w:rPr>
      </w:pPr>
      <w:r w:rsidRPr="00E02AAF">
        <w:rPr>
          <w:b/>
          <w:bCs/>
        </w:rPr>
        <w:t>4.3.1 Organising Theme 2.1: Aerial and Perimeter Circumvention</w:t>
      </w:r>
    </w:p>
    <w:p w14:paraId="11879116" w14:textId="77777777" w:rsidR="00E02AAF" w:rsidRPr="00E02AAF" w:rsidRDefault="00E02AAF" w:rsidP="00E02AAF">
      <w:r w:rsidRPr="00E02AAF">
        <w:t xml:space="preserve">A prominent manifestation of spatial displacement identified within the documentary corpus is the systematic deployment of remotely piloted aircraft systems (drones) alongside physical perimeter </w:t>
      </w:r>
      <w:proofErr w:type="gramStart"/>
      <w:r w:rsidRPr="00E02AAF">
        <w:t>throw-overs</w:t>
      </w:r>
      <w:proofErr w:type="gramEnd"/>
      <w:r w:rsidRPr="00E02AAF">
        <w:t xml:space="preserve">. As screening protocols intensified at reception points, illicit suppliers increasingly exploited low-altitude airspace and vulnerabilities along institutional boundaries. Rather than isolated or opportunistic occurrences, reports from HM Inspectorate of Prisons and Independent Monitoring Boards record sustained aerial logistics targeting residential cell windows. </w:t>
      </w:r>
    </w:p>
    <w:p w14:paraId="18D5C5A6" w14:textId="6E5A9066" w:rsidR="00E02AAF" w:rsidRPr="00E02AAF" w:rsidRDefault="00E02AAF" w:rsidP="00E02AAF">
      <w:r w:rsidRPr="00E02AAF">
        <w:t xml:space="preserve">HM Inspectorate of Prisons reports document drone deliveries timed to exploit night-time staffing reductions and physical dilapidation, including damaged </w:t>
      </w:r>
      <w:proofErr w:type="gramStart"/>
      <w:r w:rsidRPr="00E02AAF">
        <w:t>window panes</w:t>
      </w:r>
      <w:proofErr w:type="gramEnd"/>
      <w:r w:rsidRPr="00E02AAF">
        <w:t xml:space="preserve"> and compromised security grilles. These incursions deliver multi-contraband payloads</w:t>
      </w:r>
      <w:r w:rsidR="00707105">
        <w:t xml:space="preserve"> </w:t>
      </w:r>
      <w:r w:rsidRPr="00E02AAF">
        <w:t>combining synthetic cannabinoids with telecommunications hardware and weapons</w:t>
      </w:r>
      <w:r w:rsidR="00707105">
        <w:t xml:space="preserve"> </w:t>
      </w:r>
      <w:r w:rsidRPr="00E02AAF">
        <w:t xml:space="preserve">directly to incarcerated recipients. By landing payloads directly at cell windows, aerial supply lines circumvent reception scanners, airport-style walk-through portals, and gatehouse trace-detection equipment entirely. Drone incursions expose a structural limitation inherent to perimeter interdiction: technological target-hardening concentrated at formal access points cannot independently secure the open airspace enclosing a custodial facility. </w:t>
      </w:r>
    </w:p>
    <w:p w14:paraId="5C0C1DD0" w14:textId="444B0CA8" w:rsidR="00E02AAF" w:rsidRPr="00E02AAF" w:rsidRDefault="00E02AAF" w:rsidP="00E02AAF">
      <w:r w:rsidRPr="00E02AAF">
        <w:t>Target-hardening countermeasures deployed by HM Prison and Probation Service</w:t>
      </w:r>
      <w:r w:rsidR="00707105">
        <w:t xml:space="preserve"> </w:t>
      </w:r>
      <w:r w:rsidRPr="00E02AAF">
        <w:t>primarily anti-drone grilles and external perimeter netting</w:t>
      </w:r>
      <w:r w:rsidR="00707105">
        <w:t xml:space="preserve"> </w:t>
      </w:r>
      <w:r w:rsidRPr="00E02AAF">
        <w:t xml:space="preserve">similarly exhibit operational friction. Inspection records reveal that netting is repeatedly compromised by structural tears, environmental wear, or intentional cuts, enabling dropped packages to reach exercise yards and internal grounds. Ayling (2009) and Kelly (2013) provide a theoretical basis for interpreting this dynamic through the lens of criminal enterprise adaptability. An operational asymmetry exists between illicit networks, which procure and modify commercial off-the-shelf drone technology rapidly at low cost, and custodial </w:t>
      </w:r>
      <w:r w:rsidRPr="00E02AAF">
        <w:lastRenderedPageBreak/>
        <w:t xml:space="preserve">authorities, who are constrained by bureaucratic public procurement cycles, estate infrastructure deficits, and legal restrictions on radio-frequency jamming. </w:t>
      </w:r>
    </w:p>
    <w:p w14:paraId="57E08A5B" w14:textId="77777777" w:rsidR="00E02AAF" w:rsidRPr="00E02AAF" w:rsidRDefault="00E02AAF" w:rsidP="00E02AAF">
      <w:r w:rsidRPr="00E02AAF">
        <w:t xml:space="preserve">This dynamic is reinforced by perimeter </w:t>
      </w:r>
      <w:proofErr w:type="gramStart"/>
      <w:r w:rsidRPr="00E02AAF">
        <w:t>throw-overs</w:t>
      </w:r>
      <w:proofErr w:type="gramEnd"/>
      <w:r w:rsidRPr="00E02AAF">
        <w:t xml:space="preserve">, particularly in urban establishments that share boundaries with public roads. Independent Monitoring Board evidence shows that while external CCTV installations monitor outer perimeters, their practical deterrent value is compromised when staff shortages prevent rapid physical response to retrieve packages before prisoners access them. Strengthening gatehouse interdiction without an equivalent expansion in perimeter patrol capacity displaces smuggling toward physical and aerial boundaries, sustaining supply while reallocating the operational burden across the establishment. </w:t>
      </w:r>
    </w:p>
    <w:p w14:paraId="5C289E12" w14:textId="36E21A45" w:rsidR="00E02AAF" w:rsidRPr="00E02AAF" w:rsidRDefault="00E02AAF" w:rsidP="00E02AAF">
      <w:pPr>
        <w:rPr>
          <w:b/>
          <w:bCs/>
        </w:rPr>
      </w:pPr>
      <w:r w:rsidRPr="00E02AAF">
        <w:rPr>
          <w:b/>
          <w:bCs/>
        </w:rPr>
        <w:t>4.3.2 Organising Theme 2.2: Procedural Exploitation of Privileged Legal Mail and Chemical Disguise</w:t>
      </w:r>
    </w:p>
    <w:p w14:paraId="1D4510A7" w14:textId="77777777" w:rsidR="00E02AAF" w:rsidRPr="00E02AAF" w:rsidRDefault="00E02AAF" w:rsidP="00E02AAF">
      <w:r w:rsidRPr="00E02AAF">
        <w:t xml:space="preserve">Supply networks also adapt by exploiting procedural protections designed to safeguard confidential legal communication. Prison Rule 39 establishes statutory safeguards for correspondence between prisoners and their legal advisers, ensuring the confidentiality necessary for legal professional privilege. While vital for procedural justice, qualitative data across statutory inspection records confirm that this confidential pipeline has been systematically targeted by illicit suppliers. </w:t>
      </w:r>
    </w:p>
    <w:p w14:paraId="7D9C90A9" w14:textId="77777777" w:rsidR="00E02AAF" w:rsidRPr="00E02AAF" w:rsidRDefault="00E02AAF" w:rsidP="00E02AAF">
      <w:r w:rsidRPr="00E02AAF">
        <w:t xml:space="preserve">Documentary findings from the Prisons and Probation Ombudsman and HM Inspectorate of Prisons record the routine interception of fraudulent legal correspondence impregnated with liquefied synthetic cannabinoids. Illicit suppliers replicate legitimate legal firm letterheads, stamps, and formal reference markings to insulate packages from routine inspection. Because Rule 39 protocols restrict staff from opening correspondence outside the prisoner’s presence, and because liquefied synthetic cannabinoids dried onto paper </w:t>
      </w:r>
      <w:proofErr w:type="spellStart"/>
      <w:r w:rsidRPr="00E02AAF">
        <w:t>fibers</w:t>
      </w:r>
      <w:proofErr w:type="spellEnd"/>
      <w:r w:rsidRPr="00E02AAF">
        <w:t xml:space="preserve"> are largely undetectable to conventional narcotics dogs and entry-point X-ray scanners, this procedural conduit functions as a low-risk entry route. </w:t>
      </w:r>
    </w:p>
    <w:p w14:paraId="7A6693DC" w14:textId="77777777" w:rsidR="00E02AAF" w:rsidRPr="00E02AAF" w:rsidRDefault="00E02AAF" w:rsidP="00E02AAF">
      <w:r w:rsidRPr="00E02AAF">
        <w:t xml:space="preserve">In response, HM Prison and Probation Service introduced correspondence-photocopying protocols and deployed ion-mobility spectrometry trace-detection devices. However, this intervention encounters operational and legal challenges. As Vaccaro et al. (2022) and Ramadhan (2024) observe, clandestine laboratories continually modify the chemical architecture of synthetic cannabinoid receptor agonists (SCRAs). Because ion-mobility trace detectors rely on pre-programmed spectral libraries, newly synthesised chemical analogues frequently bypass on-site instrument libraries. </w:t>
      </w:r>
    </w:p>
    <w:p w14:paraId="4C43517D" w14:textId="77777777" w:rsidR="00E02AAF" w:rsidRPr="00E02AAF" w:rsidRDefault="00E02AAF" w:rsidP="00E02AAF">
      <w:r w:rsidRPr="00E02AAF">
        <w:t xml:space="preserve">Simultaneously, routine photocopying of legal correspondence creates legal and operational friction. HM Inspectorate of Prisons and Independent Monitoring Board reports record significant delays in the delivery of legal documents and formal prisoner </w:t>
      </w:r>
      <w:r w:rsidRPr="00E02AAF">
        <w:lastRenderedPageBreak/>
        <w:t xml:space="preserve">complaints concerning breaches of privileged confidentiality. When screening processes obstruct timely access to justice, institutional legitimacy is diminished, generating administrative disputes that divert staff resources away from primary security functions. </w:t>
      </w:r>
    </w:p>
    <w:p w14:paraId="4D99F7E9" w14:textId="77777777" w:rsidR="00E02AAF" w:rsidRPr="00DE6DB5" w:rsidRDefault="00E02AAF" w:rsidP="00E02AAF">
      <w:pPr>
        <w:rPr>
          <w:color w:val="00B050"/>
        </w:rPr>
      </w:pPr>
      <w:r w:rsidRPr="00DE6DB5">
        <w:rPr>
          <w:color w:val="00B050"/>
        </w:rPr>
        <w:t xml:space="preserve">Through Cornish and Clarke’s (2002) script-analytic perspective, these findings reveal that illicit actors identify and exploit procedural protections within institutional routines. Triangulating records across HMIP, IMB, and PPO publications confirms that heightened interdiction at one access point encourages supply networks to exploit less intrusive procedural pathways. Security technologies cannot function as isolated solutions; their efficacy depends on operational staffing, continuous library updates, estate maintenance, and statutory safeguards for fundamental rights. </w:t>
      </w:r>
    </w:p>
    <w:p w14:paraId="05318F81" w14:textId="77777777" w:rsidR="00AD4B61" w:rsidRPr="00AD4B61" w:rsidRDefault="00AD4B61" w:rsidP="00AD4B61"/>
    <w:p w14:paraId="7F9BFC90" w14:textId="77777777" w:rsidR="00A73F26" w:rsidRPr="005A3DDD" w:rsidRDefault="00A73F26" w:rsidP="00A73F26">
      <w:pPr>
        <w:rPr>
          <w:b/>
          <w:bCs/>
          <w:color w:val="0070C0"/>
        </w:rPr>
      </w:pPr>
      <w:r w:rsidRPr="005A3DDD">
        <w:rPr>
          <w:b/>
          <w:bCs/>
          <w:color w:val="0070C0"/>
        </w:rPr>
        <w:t>4.4 Global Theme 3: Systemic Operational Friction: Frontline Deficits, Structural Dilapidation, and Institutional Normalisation</w:t>
      </w:r>
    </w:p>
    <w:p w14:paraId="1E3517E7" w14:textId="77777777" w:rsidR="00A73F26" w:rsidRPr="00A73F26" w:rsidRDefault="00A73F26" w:rsidP="00A73F26">
      <w:r w:rsidRPr="00A73F26">
        <w:t>The third Global Theme addresses the critical human, material, and institutional factors that mediate, constrain, and frequently undermine technological and procedural interdiction across the custodial estate. While national policy strategies formulated by the Ministry of Justice and HM Prison and Probation Service presume an operationally coherent environment capable of executing standardized security directives, empirical data from statutory oversight bodies reveal extensive operational friction. In this context, operational friction refers to the compounding vulnerabilities generated by chronic human resource shortfalls, physical estate obsolescence, and staff cultural adaptation. Rather than operating in an institutional vacuum, technological hardware is embedded within social and physical environments that fundamentally dictate its practical efficacy.</w:t>
      </w:r>
    </w:p>
    <w:p w14:paraId="75E2A87F" w14:textId="77777777" w:rsidR="00A73F26" w:rsidRPr="00A73F26" w:rsidRDefault="00A73F26" w:rsidP="00A73F26">
      <w:pPr>
        <w:rPr>
          <w:b/>
          <w:bCs/>
        </w:rPr>
      </w:pPr>
      <w:r w:rsidRPr="00A73F26">
        <w:rPr>
          <w:b/>
          <w:bCs/>
        </w:rPr>
        <w:t>4.4.1 Organising Theme 3.1: Human Capital Deficits: Attrition, Inexperience, and the Dilution of Dynamic Security</w:t>
      </w:r>
    </w:p>
    <w:p w14:paraId="1366F717" w14:textId="5B29DB17" w:rsidR="00A73F26" w:rsidRPr="00A73F26" w:rsidRDefault="00A73F26" w:rsidP="00A73F26">
      <w:r w:rsidRPr="00A73F26">
        <w:t>A primary mechanism of systemic operational friction documented across the corpus is the acute crisis of frontline human resources. Triangulated data from HM Inspectorate of Prisons and Independent Monitoring Board annual reports establish a direct correlation between operational staffing deficits and the failure of physical interdiction measures. Across local and Category C establishments, severe staffing shortages frequently compel custodial managers to operate restricted daily regimes. In practice, this requires the routine redeployment of frontline officers away from designated security checkpoints</w:t>
      </w:r>
      <w:r>
        <w:t xml:space="preserve"> </w:t>
      </w:r>
      <w:r w:rsidRPr="00A73F26">
        <w:t>including gatehouse scanning portals, postal sorting rooms, and perimeter patrols</w:t>
      </w:r>
      <w:r>
        <w:t xml:space="preserve"> </w:t>
      </w:r>
      <w:r w:rsidRPr="00A73F26">
        <w:t xml:space="preserve">to cover basic statutory wing duties, such as meal distribution and medication administration. Consequently, sophisticated detection equipment </w:t>
      </w:r>
      <w:r w:rsidRPr="00A73F26">
        <w:lastRenderedPageBreak/>
        <w:t>frequently stands idle during periods of peak contraband movement due to an absence of trained personnel.</w:t>
      </w:r>
    </w:p>
    <w:p w14:paraId="7021F702" w14:textId="77777777" w:rsidR="00A73F26" w:rsidRPr="00A73F26" w:rsidRDefault="00A73F26" w:rsidP="00A73F26">
      <w:r w:rsidRPr="00A73F26">
        <w:t xml:space="preserve">Beyond raw numerical shortages, the qualitative data emphasize a pervasive crisis of institutional inexperience and rapid staff attrition. Following the retention deficits documented across the public sector estate, substantial proportions of frontline operational staff have less than two years of custodial service. Reports by HM Inspectorate of Prisons consistently highlight that an inexperienced workforce lacks the operational competence and contextual confidence necessary to challenge sophisticated prisoner networks or conduct thorough physical searches. Inexperienced officers are often unable to identify subtle </w:t>
      </w:r>
      <w:proofErr w:type="spellStart"/>
      <w:r w:rsidRPr="00A73F26">
        <w:t>behavioral</w:t>
      </w:r>
      <w:proofErr w:type="spellEnd"/>
      <w:r w:rsidRPr="00A73F26">
        <w:t xml:space="preserve"> cues indicative of illicit trafficking or to detect newly emerging concealment techniques.</w:t>
      </w:r>
    </w:p>
    <w:p w14:paraId="620DF6C5" w14:textId="77777777" w:rsidR="00A73F26" w:rsidRPr="00A73F26" w:rsidRDefault="00A73F26" w:rsidP="00A73F26">
      <w:r w:rsidRPr="00A73F26">
        <w:t xml:space="preserve">This human capital deficit directly precipitates the dilution of dynamic security—the concept, examined by Arnold, Liebling and Tait (2007) and HM Prison and Probation Service guidance, that custodial security fundamentally relies on positive staff-prisoner relationships, professional curiosity, and contextual intelligence. As frontline officers are reduced to managing basic regime compliance from behind wing office desks, informal interpersonal dialogue diminishes. Statutory inspection evidence confirms that when dynamic security breaks down, prisons lose their primary source of qualitative, actionable intelligence. In the absence of relational intelligence, institutions become over-reliant on static, technological detection apparatuses which, as demonstrated in Theme 1, are structurally incapable of </w:t>
      </w:r>
      <w:proofErr w:type="spellStart"/>
      <w:r w:rsidRPr="00A73F26">
        <w:t>preempting</w:t>
      </w:r>
      <w:proofErr w:type="spellEnd"/>
      <w:r w:rsidRPr="00A73F26">
        <w:t xml:space="preserve"> illicit transactions without human oversight and procedural follow-through. </w:t>
      </w:r>
    </w:p>
    <w:p w14:paraId="4CC0C4E6" w14:textId="77777777" w:rsidR="00A73F26" w:rsidRPr="00A73F26" w:rsidRDefault="00A73F26" w:rsidP="00A73F26">
      <w:pPr>
        <w:rPr>
          <w:b/>
          <w:bCs/>
        </w:rPr>
      </w:pPr>
      <w:r w:rsidRPr="00A73F26">
        <w:rPr>
          <w:b/>
          <w:bCs/>
        </w:rPr>
        <w:t>4.4.2 Organising Theme 3.2: Built-Environment Obsolescence and Structural Decay</w:t>
      </w:r>
    </w:p>
    <w:p w14:paraId="1A4E8386" w14:textId="77777777" w:rsidR="00A73F26" w:rsidRPr="00A73F26" w:rsidRDefault="00A73F26" w:rsidP="00A73F26">
      <w:r w:rsidRPr="00A73F26">
        <w:t xml:space="preserve">The operational efficacy of penal interdiction is further compromised by the physical environment of the prison estate. The qualitative evidence exposes a stark bifurcation between modern technological procurement and the material decay of aging Victorian and mid-twentieth-century custodial architecture. Independent Monitoring Board reports repeatedly document severe structural dilapidation across residential wings, characterized by unsealed external windows, broken </w:t>
      </w:r>
      <w:proofErr w:type="gramStart"/>
      <w:r w:rsidRPr="00A73F26">
        <w:t>window panes</w:t>
      </w:r>
      <w:proofErr w:type="gramEnd"/>
      <w:r w:rsidRPr="00A73F26">
        <w:t>, rusted exterior grilles, and damaged perimeter netting.</w:t>
      </w:r>
    </w:p>
    <w:p w14:paraId="51186898" w14:textId="6DACD3DE" w:rsidR="00A73F26" w:rsidRPr="00A73F26" w:rsidRDefault="00A73F26" w:rsidP="00A73F26">
      <w:r w:rsidRPr="00A73F26">
        <w:t xml:space="preserve">This structural decay provides a direct operational conduit for contraband ingress that bypasses institutional checkpoints. As documented in thematic investigations, prisoners routinely exploit compromised window frames to retrieve drone drops and </w:t>
      </w:r>
      <w:proofErr w:type="gramStart"/>
      <w:r w:rsidRPr="00A73F26">
        <w:t>throw-overs</w:t>
      </w:r>
      <w:proofErr w:type="gramEnd"/>
      <w:r w:rsidRPr="00A73F26">
        <w:t xml:space="preserve"> directly into their living quarters. When prison infrastructure is fundamentally degraded, capital investment in entrance-point technologies</w:t>
      </w:r>
      <w:r>
        <w:t xml:space="preserve"> </w:t>
      </w:r>
      <w:r w:rsidRPr="00A73F26">
        <w:t>such as transmission body scanners or airport-style gatehouse portals</w:t>
      </w:r>
      <w:r>
        <w:t xml:space="preserve"> </w:t>
      </w:r>
      <w:r w:rsidRPr="00A73F26">
        <w:t xml:space="preserve">is rendered operationally moot. An establishment may maintain rigorous screening protocols at its reception gate </w:t>
      </w:r>
      <w:r w:rsidRPr="00A73F26">
        <w:lastRenderedPageBreak/>
        <w:t>while simultaneously possessing hundreds of unsealed, broken cell windows that open onto external perimeter boundaries.</w:t>
      </w:r>
    </w:p>
    <w:p w14:paraId="307182E9" w14:textId="77777777" w:rsidR="00A73F26" w:rsidRPr="00A73F26" w:rsidRDefault="00A73F26" w:rsidP="00A73F26">
      <w:r w:rsidRPr="00A73F26">
        <w:t xml:space="preserve">Furthermore, documentary evidence reveals significant institutional inertia in capital maintenance and infrastructure repair. Independent Monitoring Board findings record protracted procurement delays, supply chain backlogs, and contractual disputes with external facilities management providers when responding to identified infrastructure vulnerabilities. Damaged anti-drone window grilles and severed perimeter netting frequently remain unrepaired for months, providing sustained access windows for external organized crime networks. Triangulating these oversight findings with Ministry of Justice capital expenditure reports illustrates an analytical </w:t>
      </w:r>
      <w:proofErr w:type="gramStart"/>
      <w:r w:rsidRPr="00A73F26">
        <w:t>disconnect:</w:t>
      </w:r>
      <w:proofErr w:type="gramEnd"/>
      <w:r w:rsidRPr="00A73F26">
        <w:t xml:space="preserve"> centralized funding has historically prioritized high-profile, standalone technological solutions while basic physical maintenance and architectural integrity have remained underfunded and operationally neglected.</w:t>
      </w:r>
    </w:p>
    <w:p w14:paraId="0DB7E982" w14:textId="77777777" w:rsidR="00A73F26" w:rsidRPr="00A73F26" w:rsidRDefault="00A73F26" w:rsidP="00A73F26">
      <w:pPr>
        <w:rPr>
          <w:b/>
          <w:bCs/>
        </w:rPr>
      </w:pPr>
      <w:r w:rsidRPr="00A73F26">
        <w:rPr>
          <w:b/>
          <w:bCs/>
        </w:rPr>
        <w:t>4.4.3 Organising Theme 3.3: Institutional Normalisation, Resignation, and Fatalism</w:t>
      </w:r>
    </w:p>
    <w:p w14:paraId="6385D0EE" w14:textId="77777777" w:rsidR="00A73F26" w:rsidRPr="00A73F26" w:rsidRDefault="00A73F26" w:rsidP="00A73F26">
      <w:r w:rsidRPr="00A73F26">
        <w:t>The intersection of persistent supply, staff attrition, and physical decay generates an institutional climate characterized by cultural normalisation and operational fatalism. Qualitative evidence from HM Inspectorate of Prisons surveys and Prisons and Probation Ombudsman fatal incident investigations reveals a profound shift in how frontline personnel perceive custodial drug use. Across multiple establishments, the pervasive presence and distinctive smell of synthetic cannabinoid smoke on residential wings are described as having become an accepted, normalized feature of daily prison life.</w:t>
      </w:r>
    </w:p>
    <w:p w14:paraId="1FAD16DA" w14:textId="77777777" w:rsidR="00A73F26" w:rsidRPr="00A73F26" w:rsidRDefault="00A73F26" w:rsidP="00A73F26">
      <w:r w:rsidRPr="00A73F26">
        <w:t>Faced with relentless synthetic drug availability and diminished operational capacity to intervene, frontline officers increasingly experience professional burnout and emotional exhaustion. In several inspection reports, HM Inspectorate of Prisons observed an attitude of institutional resignation among wing staff, where open drug intoxication was treated as a routine management problem rather than a critical security breach. In extreme manifestations, oversight evidence records instances where staff tolerated low-level drug consumption as a pragmatic mechanism of social control, operating under the implicit assumption that sedated prisoners present less immediate physical risk to wing order than prisoners experiencing withdrawal or active agitation.</w:t>
      </w:r>
    </w:p>
    <w:p w14:paraId="4E525B3F" w14:textId="77777777" w:rsidR="00A73F26" w:rsidRPr="00A73F26" w:rsidRDefault="00A73F26" w:rsidP="00A73F26">
      <w:r w:rsidRPr="00A73F26">
        <w:t xml:space="preserve">However, Prisons and Probation Ombudsman investigative bulletins demonstrate the severe operational and human costs of this institutional normalisation. The pervasive presence of unmonitored psychoactive substances drives volatile debt networks, extortion, physical violence, and acute medical emergencies. When the presence of illicit substances becomes culturally normalized, the rigor of daily search procedures and security vigilance inevitably declines. Staff become desensitized to illicit activity, failing to document low-level intelligence or initiate disciplinary adjudications. </w:t>
      </w:r>
      <w:r w:rsidRPr="00A73F26">
        <w:lastRenderedPageBreak/>
        <w:t>Ultimately, the qualitative evidence confirms that technological interdiction cannot compensate for an institutional culture that has succumbed to operational fatalism. Interdiction policy inevitably founders when frontline personnel lose the conviction and the systemic support required to uphold statutory prohibitions.</w:t>
      </w:r>
    </w:p>
    <w:p w14:paraId="215BD7BE" w14:textId="5024BC5B" w:rsidR="00976C0D" w:rsidRDefault="00901AC9">
      <w:r>
        <w:t xml:space="preserve"> </w:t>
      </w:r>
    </w:p>
    <w:p w14:paraId="334A6BCD" w14:textId="77777777" w:rsidR="00976C0D" w:rsidRPr="00976C0D" w:rsidRDefault="00976C0D" w:rsidP="00976C0D">
      <w:pPr>
        <w:rPr>
          <w:b/>
          <w:bCs/>
        </w:rPr>
      </w:pPr>
      <w:r w:rsidRPr="00976C0D">
        <w:rPr>
          <w:b/>
          <w:bCs/>
        </w:rPr>
        <w:t>4.5 Chapter Summary</w:t>
      </w:r>
    </w:p>
    <w:p w14:paraId="656577A3" w14:textId="77777777" w:rsidR="0065747D" w:rsidRPr="0065747D" w:rsidRDefault="0065747D" w:rsidP="0065747D">
      <w:r w:rsidRPr="0065747D">
        <w:t xml:space="preserve">In addressing the central research question concerning the effectiveness of contemporary custodial interdiction strategies in disrupting the illicit prison drug economy, this chapter has critically examined the empirical evidence against the study’s core research objectives. By systematically triangulating ministerial policy claims with qualitative oversight evidence across three global themes, the findings identify three interconnected implementation gaps. First, in addressing the objective of examining technological deployment, </w:t>
      </w:r>
      <w:r w:rsidRPr="00297071">
        <w:rPr>
          <w:color w:val="EE0000"/>
        </w:rPr>
        <w:t xml:space="preserve">Section 4.2 exposed </w:t>
      </w:r>
      <w:r w:rsidRPr="0065747D">
        <w:t xml:space="preserve">the limitations of technology-led interdiction, demonstrating how capital investment in transmission scanners can generate measurable detection outputs without necessarily achieving sustained disruption of illicit drug markets or overcoming persistent procedural constraints. Second, in examining offender adaptation, </w:t>
      </w:r>
      <w:r w:rsidRPr="00297071">
        <w:rPr>
          <w:color w:val="EE0000"/>
        </w:rPr>
        <w:t xml:space="preserve">Section 4.3 </w:t>
      </w:r>
      <w:r w:rsidRPr="0065747D">
        <w:t xml:space="preserve">demonstrated the capacity of illicit supply networks to circumvent static security measures through aerial drone incursions and the exploitation of statutory Prison Rule 39 correspondence. Finally, in evaluating institutional constraints, </w:t>
      </w:r>
      <w:r w:rsidRPr="00297071">
        <w:rPr>
          <w:color w:val="EE0000"/>
        </w:rPr>
        <w:t xml:space="preserve">Section 4.4 established </w:t>
      </w:r>
      <w:r w:rsidRPr="0065747D">
        <w:t>that the effectiveness of interdiction policies is undermined by systemic operational pressures, including persistent frontline staffing shortages, the erosion of dynamic security, deteriorating Victorian-era infrastructure and institutional fatalism.</w:t>
      </w:r>
    </w:p>
    <w:p w14:paraId="00AB93AB" w14:textId="77777777" w:rsidR="0065747D" w:rsidRPr="0065747D" w:rsidRDefault="0065747D" w:rsidP="0065747D">
      <w:r w:rsidRPr="0065747D">
        <w:t>Collectively, these findings provide a qualified answer to the central research question: although contemporary security technologies contribute to the detection and interdiction of illicit substances, their effectiveness in achieving sustained disruption remains constrained by wider institutional and operational deficiencies. Technological target-hardening cannot function effectively in isolation from the environment in which it is deployed. Meaningful disruption of the custodial drug economy therefore requires an integrated approach that combines technological capability with adequate staffing, appropriate physical infrastructure, intelligence-led practices and effective dynamic security. Ultimately, the findings suggest that the effectiveness of custodial interdiction depends not simply on the sophistication of security technologies, but on the institutional capacity to implement, sustain and adapt them within the complex social and operational realities of prison life</w:t>
      </w:r>
    </w:p>
    <w:p w14:paraId="01EEB793" w14:textId="77777777" w:rsidR="00976C0D" w:rsidRDefault="00976C0D"/>
    <w:p w14:paraId="58490D9E" w14:textId="77777777" w:rsidR="00901AC9" w:rsidRDefault="00901AC9"/>
    <w:p w14:paraId="48910A58" w14:textId="0ED1F35D" w:rsidR="00901AC9" w:rsidRDefault="00976C0D" w:rsidP="00901AC9">
      <w:pPr>
        <w:spacing w:line="480" w:lineRule="auto"/>
        <w:jc w:val="center"/>
      </w:pPr>
      <w:proofErr w:type="spellStart"/>
      <w:r>
        <w:rPr>
          <w:sz w:val="26"/>
          <w:szCs w:val="26"/>
        </w:rPr>
        <w:lastRenderedPageBreak/>
        <w:t>Refrences</w:t>
      </w:r>
      <w:proofErr w:type="spellEnd"/>
    </w:p>
    <w:p w14:paraId="7F46A67C" w14:textId="77777777" w:rsidR="00901AC9" w:rsidRDefault="00901AC9" w:rsidP="00901AC9">
      <w:pPr>
        <w:spacing w:line="480" w:lineRule="auto"/>
        <w:ind w:left="720" w:hanging="720"/>
      </w:pPr>
      <w:proofErr w:type="spellStart"/>
      <w:r>
        <w:t>Attride</w:t>
      </w:r>
      <w:proofErr w:type="spellEnd"/>
      <w:r>
        <w:t xml:space="preserve">-Stirling, Jennifer. “Thematic Networks: An Analytic Tool for Qualitative Research.” </w:t>
      </w:r>
      <w:r>
        <w:rPr>
          <w:i/>
          <w:iCs/>
        </w:rPr>
        <w:t>Qualitative Research</w:t>
      </w:r>
      <w:r>
        <w:t>, vol. 1, no. 3, Dec. 2001, pp. 385–405, journals.sagepub.com/</w:t>
      </w:r>
      <w:proofErr w:type="spellStart"/>
      <w:r>
        <w:t>doi</w:t>
      </w:r>
      <w:proofErr w:type="spellEnd"/>
      <w:r>
        <w:t>/10.1177/146879410100100307. Accessed 10 Oct. 2026.</w:t>
      </w:r>
    </w:p>
    <w:p w14:paraId="546DDF0D" w14:textId="77777777" w:rsidR="00901AC9" w:rsidRDefault="00901AC9" w:rsidP="00901AC9">
      <w:pPr>
        <w:spacing w:line="480" w:lineRule="auto"/>
        <w:ind w:left="720" w:hanging="720"/>
      </w:pPr>
      <w:r>
        <w:t xml:space="preserve">Guion, Lisa A., et al. “Triangulation: Establishing the Validity of Qualitative Studies.” </w:t>
      </w:r>
      <w:r>
        <w:rPr>
          <w:i/>
          <w:iCs/>
        </w:rPr>
        <w:t>EDIS</w:t>
      </w:r>
      <w:r>
        <w:t>, vol. 2002, no. 6, 202AD, 10.32473/edis-fy394-2002.</w:t>
      </w:r>
    </w:p>
    <w:p w14:paraId="1612E73E" w14:textId="77777777" w:rsidR="00901AC9" w:rsidRDefault="00901AC9" w:rsidP="00901AC9">
      <w:pPr>
        <w:spacing w:line="480" w:lineRule="auto"/>
        <w:ind w:left="720" w:hanging="720"/>
      </w:pPr>
      <w:r>
        <w:t xml:space="preserve">Liebling, A, et al. </w:t>
      </w:r>
      <w:r>
        <w:rPr>
          <w:i/>
          <w:iCs/>
        </w:rPr>
        <w:t>Handbook on Prisons</w:t>
      </w:r>
      <w:r>
        <w:t>. Edited by Yvonne Jewkes, Routledge, 21 Aug. 2007.</w:t>
      </w:r>
    </w:p>
    <w:p w14:paraId="6E3DF01D" w14:textId="77777777" w:rsidR="00901AC9" w:rsidRDefault="00901AC9" w:rsidP="00901AC9">
      <w:pPr>
        <w:spacing w:line="480" w:lineRule="auto"/>
        <w:ind w:left="720"/>
      </w:pPr>
      <w:r>
        <w:t>Edited by Yvonne Jewkes</w:t>
      </w:r>
    </w:p>
    <w:p w14:paraId="59318A62" w14:textId="77777777" w:rsidR="00901AC9" w:rsidRDefault="00901AC9" w:rsidP="00901AC9">
      <w:pPr>
        <w:spacing w:line="480" w:lineRule="auto"/>
        <w:ind w:left="720" w:hanging="720"/>
      </w:pPr>
      <w:r>
        <w:t xml:space="preserve">Maguire, Mike. </w:t>
      </w:r>
      <w:r>
        <w:rPr>
          <w:i/>
          <w:iCs/>
        </w:rPr>
        <w:t>Criminal Statistics and the Construction of Crime</w:t>
      </w:r>
      <w:r>
        <w:t>. 8 Mar. 2012, www.researchgate.net/publication/265082400_Criminal_Statistics_and_the_Construction_of_Crime. Accessed 10 Oct. 2026.</w:t>
      </w:r>
    </w:p>
    <w:p w14:paraId="5C96C98F" w14:textId="77777777" w:rsidR="00901AC9" w:rsidRDefault="00901AC9" w:rsidP="00901AC9">
      <w:pPr>
        <w:spacing w:line="480" w:lineRule="auto"/>
        <w:ind w:left="720" w:hanging="720"/>
      </w:pPr>
      <w:r>
        <w:t xml:space="preserve">Prisons and Probation </w:t>
      </w:r>
      <w:proofErr w:type="gramStart"/>
      <w:r>
        <w:t>Ombudsman .</w:t>
      </w:r>
      <w:proofErr w:type="gramEnd"/>
      <w:r>
        <w:t xml:space="preserve"> 2024, cdn.websitebuilder.service.justice.gov.uk/uploads/sites/14/2024/07/Learning-Lessons-Bulletin-Post-Release-Deaths-2.pdf. Accessed 10 Oct. 2026.</w:t>
      </w:r>
    </w:p>
    <w:p w14:paraId="59FC8BEE" w14:textId="77777777" w:rsidR="00901AC9" w:rsidRDefault="00901AC9"/>
    <w:sectPr w:rsidR="00901A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961F70"/>
    <w:multiLevelType w:val="multilevel"/>
    <w:tmpl w:val="8D4E69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C1D45B2"/>
    <w:multiLevelType w:val="multilevel"/>
    <w:tmpl w:val="F9A838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2FC3220"/>
    <w:multiLevelType w:val="multilevel"/>
    <w:tmpl w:val="5546D4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DC70353"/>
    <w:multiLevelType w:val="multilevel"/>
    <w:tmpl w:val="76A64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6059860">
    <w:abstractNumId w:val="0"/>
  </w:num>
  <w:num w:numId="2" w16cid:durableId="507410853">
    <w:abstractNumId w:val="2"/>
  </w:num>
  <w:num w:numId="3" w16cid:durableId="1575704648">
    <w:abstractNumId w:val="3"/>
  </w:num>
  <w:num w:numId="4" w16cid:durableId="9707473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4B61"/>
    <w:rsid w:val="00054FE8"/>
    <w:rsid w:val="000C5EF2"/>
    <w:rsid w:val="00134FEE"/>
    <w:rsid w:val="00155F57"/>
    <w:rsid w:val="0022258D"/>
    <w:rsid w:val="00291769"/>
    <w:rsid w:val="00297071"/>
    <w:rsid w:val="002E20EC"/>
    <w:rsid w:val="0032270B"/>
    <w:rsid w:val="003532A7"/>
    <w:rsid w:val="003B532C"/>
    <w:rsid w:val="003D14E3"/>
    <w:rsid w:val="00440C63"/>
    <w:rsid w:val="00475367"/>
    <w:rsid w:val="004E56C4"/>
    <w:rsid w:val="005617A1"/>
    <w:rsid w:val="005A3DDD"/>
    <w:rsid w:val="005D3CED"/>
    <w:rsid w:val="0065747D"/>
    <w:rsid w:val="00694523"/>
    <w:rsid w:val="006A331A"/>
    <w:rsid w:val="00707105"/>
    <w:rsid w:val="00757D4E"/>
    <w:rsid w:val="00873033"/>
    <w:rsid w:val="008C072A"/>
    <w:rsid w:val="00901AC9"/>
    <w:rsid w:val="00903A0D"/>
    <w:rsid w:val="009610BA"/>
    <w:rsid w:val="00976C0D"/>
    <w:rsid w:val="009C4FE6"/>
    <w:rsid w:val="00A55EBB"/>
    <w:rsid w:val="00A66149"/>
    <w:rsid w:val="00A73F26"/>
    <w:rsid w:val="00AA054D"/>
    <w:rsid w:val="00AB6261"/>
    <w:rsid w:val="00AD4B61"/>
    <w:rsid w:val="00B00B58"/>
    <w:rsid w:val="00B22FEE"/>
    <w:rsid w:val="00B30B21"/>
    <w:rsid w:val="00BC7FC6"/>
    <w:rsid w:val="00C66067"/>
    <w:rsid w:val="00CB4755"/>
    <w:rsid w:val="00CE22F2"/>
    <w:rsid w:val="00D10128"/>
    <w:rsid w:val="00D17B85"/>
    <w:rsid w:val="00D66BD5"/>
    <w:rsid w:val="00DB4F64"/>
    <w:rsid w:val="00DE6DB5"/>
    <w:rsid w:val="00E02AAF"/>
    <w:rsid w:val="00E3643F"/>
    <w:rsid w:val="00E67740"/>
    <w:rsid w:val="00F32CA0"/>
    <w:rsid w:val="00F73991"/>
    <w:rsid w:val="00F9007E"/>
    <w:rsid w:val="00FC41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322B8"/>
  <w15:chartTrackingRefBased/>
  <w15:docId w15:val="{CC2EF318-CD2A-4C93-AF02-00EF53D563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4B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4B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4B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4B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4B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4B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4B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4B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4B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4B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4B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4B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4B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4B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4B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4B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4B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4B61"/>
    <w:rPr>
      <w:rFonts w:eastAsiaTheme="majorEastAsia" w:cstheme="majorBidi"/>
      <w:color w:val="272727" w:themeColor="text1" w:themeTint="D8"/>
    </w:rPr>
  </w:style>
  <w:style w:type="paragraph" w:styleId="Title">
    <w:name w:val="Title"/>
    <w:basedOn w:val="Normal"/>
    <w:next w:val="Normal"/>
    <w:link w:val="TitleChar"/>
    <w:uiPriority w:val="10"/>
    <w:qFormat/>
    <w:rsid w:val="00AD4B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B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4B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4B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4B61"/>
    <w:pPr>
      <w:spacing w:before="160"/>
      <w:jc w:val="center"/>
    </w:pPr>
    <w:rPr>
      <w:i/>
      <w:iCs/>
      <w:color w:val="404040" w:themeColor="text1" w:themeTint="BF"/>
    </w:rPr>
  </w:style>
  <w:style w:type="character" w:customStyle="1" w:styleId="QuoteChar">
    <w:name w:val="Quote Char"/>
    <w:basedOn w:val="DefaultParagraphFont"/>
    <w:link w:val="Quote"/>
    <w:uiPriority w:val="29"/>
    <w:rsid w:val="00AD4B61"/>
    <w:rPr>
      <w:i/>
      <w:iCs/>
      <w:color w:val="404040" w:themeColor="text1" w:themeTint="BF"/>
    </w:rPr>
  </w:style>
  <w:style w:type="paragraph" w:styleId="ListParagraph">
    <w:name w:val="List Paragraph"/>
    <w:basedOn w:val="Normal"/>
    <w:uiPriority w:val="34"/>
    <w:qFormat/>
    <w:rsid w:val="00AD4B61"/>
    <w:pPr>
      <w:ind w:left="720"/>
      <w:contextualSpacing/>
    </w:pPr>
  </w:style>
  <w:style w:type="character" w:styleId="IntenseEmphasis">
    <w:name w:val="Intense Emphasis"/>
    <w:basedOn w:val="DefaultParagraphFont"/>
    <w:uiPriority w:val="21"/>
    <w:qFormat/>
    <w:rsid w:val="00AD4B61"/>
    <w:rPr>
      <w:i/>
      <w:iCs/>
      <w:color w:val="0F4761" w:themeColor="accent1" w:themeShade="BF"/>
    </w:rPr>
  </w:style>
  <w:style w:type="paragraph" w:styleId="IntenseQuote">
    <w:name w:val="Intense Quote"/>
    <w:basedOn w:val="Normal"/>
    <w:next w:val="Normal"/>
    <w:link w:val="IntenseQuoteChar"/>
    <w:uiPriority w:val="30"/>
    <w:qFormat/>
    <w:rsid w:val="00AD4B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4B61"/>
    <w:rPr>
      <w:i/>
      <w:iCs/>
      <w:color w:val="0F4761" w:themeColor="accent1" w:themeShade="BF"/>
    </w:rPr>
  </w:style>
  <w:style w:type="character" w:styleId="IntenseReference">
    <w:name w:val="Intense Reference"/>
    <w:basedOn w:val="DefaultParagraphFont"/>
    <w:uiPriority w:val="32"/>
    <w:qFormat/>
    <w:rsid w:val="00AD4B6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215</TotalTime>
  <Pages>10</Pages>
  <Words>3962</Words>
  <Characters>22586</Characters>
  <Application>Microsoft Office Word</Application>
  <DocSecurity>0</DocSecurity>
  <Lines>188</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hosam rashwan</dc:creator>
  <cp:keywords/>
  <dc:description/>
  <cp:lastModifiedBy>hosam rashwan</cp:lastModifiedBy>
  <cp:revision>47</cp:revision>
  <dcterms:created xsi:type="dcterms:W3CDTF">2026-10-10T18:38:00Z</dcterms:created>
  <dcterms:modified xsi:type="dcterms:W3CDTF">2026-10-16T19:50:00Z</dcterms:modified>
</cp:coreProperties>
</file>