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7AEC9CE2" w:rsidP="3FA7D6B2" w:rsidRDefault="7AEC9CE2" w14:paraId="012E3413" w14:textId="4E401CFB">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3FA7D6B2" w:rsidR="7AEC9CE2">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single"/>
          <w:lang w:val="en-GB"/>
        </w:rPr>
        <w:t>A critical analysis and evaluation of the observation research tool, ‘Leuven Scale.’</w:t>
      </w:r>
    </w:p>
    <w:p w:rsidR="7376BE6A" w:rsidP="3FA7D6B2" w:rsidRDefault="7376BE6A" w14:paraId="14377A39" w14:textId="3FE2A2BE">
      <w:pPr>
        <w:pStyle w:val="Normal"/>
        <w:spacing w:after="160" w:line="259" w:lineRule="auto"/>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single"/>
          <w:lang w:val="en-GB"/>
        </w:rPr>
      </w:pPr>
    </w:p>
    <w:p w:rsidR="6E3E1D49" w:rsidP="3FA7D6B2" w:rsidRDefault="6E3E1D49" w14:paraId="6F8D85A1" w14:textId="4F892558">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3FA7D6B2" w:rsidR="6E3E1D4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Targets from </w:t>
      </w:r>
      <w:r w:rsidRPr="3FA7D6B2" w:rsidR="6E3E1D4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previous</w:t>
      </w:r>
      <w:r w:rsidRPr="3FA7D6B2" w:rsidR="6E3E1D4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3FA7D6B2" w:rsidR="6E3E1D4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assignment</w:t>
      </w:r>
      <w:r w:rsidRPr="3FA7D6B2" w:rsidR="6E3E1D4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680"/>
        <w:gridCol w:w="4680"/>
      </w:tblGrid>
      <w:tr w:rsidR="7376BE6A" w:rsidTr="3FA7D6B2" w14:paraId="7E4E672B">
        <w:trPr>
          <w:trHeight w:val="300"/>
        </w:trPr>
        <w:tc>
          <w:tcPr>
            <w:tcW w:w="4680" w:type="dxa"/>
            <w:tcMar>
              <w:left w:w="105" w:type="dxa"/>
              <w:right w:w="105" w:type="dxa"/>
            </w:tcMar>
            <w:vAlign w:val="top"/>
          </w:tcPr>
          <w:p w:rsidR="775AE94A" w:rsidP="7376BE6A" w:rsidRDefault="775AE94A" w14:paraId="5DACE352" w14:textId="06591A98">
            <w:pPr>
              <w:pStyle w:val="ListParagraph"/>
              <w:numPr>
                <w:ilvl w:val="0"/>
                <w:numId w:val="1"/>
              </w:numPr>
              <w:spacing w:line="259" w:lineRule="auto"/>
              <w:rPr>
                <w:rFonts w:ascii="Calibri" w:hAnsi="Calibri" w:eastAsia="Calibri" w:cs="Calibri" w:asciiTheme="minorAscii" w:hAnsiTheme="minorAscii" w:eastAsiaTheme="minorAscii" w:cstheme="minorAscii"/>
                <w:noProof w:val="0"/>
                <w:sz w:val="24"/>
                <w:szCs w:val="24"/>
                <w:lang w:val="en-US"/>
              </w:rPr>
            </w:pPr>
            <w:r w:rsidRPr="7376BE6A" w:rsidR="775AE94A">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Continue to ensure a greater critical approach throughout, offering the opposing view whenever possible.</w:t>
            </w:r>
          </w:p>
        </w:tc>
        <w:tc>
          <w:tcPr>
            <w:tcW w:w="4680" w:type="dxa"/>
            <w:tcMar>
              <w:left w:w="105" w:type="dxa"/>
              <w:right w:w="105" w:type="dxa"/>
            </w:tcMar>
            <w:vAlign w:val="top"/>
          </w:tcPr>
          <w:p w:rsidR="7376BE6A" w:rsidP="3FA7D6B2" w:rsidRDefault="7376BE6A" w14:paraId="0214E5D9" w14:textId="624372E3">
            <w:pPr>
              <w:spacing w:line="259" w:lineRule="auto"/>
              <w:rPr>
                <w:rFonts w:ascii="Calibri" w:hAnsi="Calibri" w:eastAsia="Calibri" w:cs="Calibri" w:asciiTheme="minorAscii" w:hAnsiTheme="minorAscii" w:eastAsiaTheme="minorAscii" w:cstheme="minorAscii"/>
                <w:b w:val="0"/>
                <w:bCs w:val="0"/>
                <w:i w:val="0"/>
                <w:iCs w:val="0"/>
                <w:sz w:val="24"/>
                <w:szCs w:val="24"/>
              </w:rPr>
            </w:pPr>
          </w:p>
        </w:tc>
      </w:tr>
      <w:tr w:rsidR="7376BE6A" w:rsidTr="3FA7D6B2" w14:paraId="4EF67E65">
        <w:trPr>
          <w:trHeight w:val="300"/>
        </w:trPr>
        <w:tc>
          <w:tcPr>
            <w:tcW w:w="4680" w:type="dxa"/>
            <w:tcMar>
              <w:left w:w="105" w:type="dxa"/>
              <w:right w:w="105" w:type="dxa"/>
            </w:tcMar>
            <w:vAlign w:val="top"/>
          </w:tcPr>
          <w:p w:rsidR="775AE94A" w:rsidP="7376BE6A" w:rsidRDefault="775AE94A" w14:paraId="49E41971" w14:textId="12D2F95B">
            <w:pPr>
              <w:pStyle w:val="ListParagraph"/>
              <w:numPr>
                <w:ilvl w:val="0"/>
                <w:numId w:val="1"/>
              </w:numPr>
              <w:spacing w:line="259" w:lineRule="auto"/>
              <w:rPr>
                <w:rFonts w:ascii="Calibri" w:hAnsi="Calibri" w:eastAsia="Calibri" w:cs="Calibri" w:asciiTheme="minorAscii" w:hAnsiTheme="minorAscii" w:eastAsiaTheme="minorAscii" w:cstheme="minorAscii"/>
                <w:noProof w:val="0"/>
                <w:sz w:val="24"/>
                <w:szCs w:val="24"/>
                <w:lang w:val="en-US"/>
              </w:rPr>
            </w:pPr>
            <w:r w:rsidRPr="7376BE6A" w:rsidR="775AE94A">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 xml:space="preserve">To develop </w:t>
            </w:r>
            <w:r w:rsidRPr="7376BE6A" w:rsidR="775AE94A">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further, make</w:t>
            </w:r>
            <w:r w:rsidRPr="7376BE6A" w:rsidR="775AE94A">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 xml:space="preserve"> explicit links with the QTS standards.</w:t>
            </w:r>
          </w:p>
        </w:tc>
        <w:tc>
          <w:tcPr>
            <w:tcW w:w="4680" w:type="dxa"/>
            <w:tcMar>
              <w:left w:w="105" w:type="dxa"/>
              <w:right w:w="105" w:type="dxa"/>
            </w:tcMar>
            <w:vAlign w:val="top"/>
          </w:tcPr>
          <w:p w:rsidR="7376BE6A" w:rsidP="3FA7D6B2" w:rsidRDefault="7376BE6A" w14:paraId="793B0A95" w14:textId="12760DFA">
            <w:pPr>
              <w:spacing w:line="259" w:lineRule="auto"/>
              <w:rPr>
                <w:rFonts w:ascii="Calibri" w:hAnsi="Calibri" w:eastAsia="Calibri" w:cs="Calibri" w:asciiTheme="minorAscii" w:hAnsiTheme="minorAscii" w:eastAsiaTheme="minorAscii" w:cstheme="minorAscii"/>
                <w:b w:val="0"/>
                <w:bCs w:val="0"/>
                <w:i w:val="0"/>
                <w:iCs w:val="0"/>
                <w:sz w:val="24"/>
                <w:szCs w:val="24"/>
              </w:rPr>
            </w:pPr>
          </w:p>
        </w:tc>
      </w:tr>
    </w:tbl>
    <w:p w:rsidR="7376BE6A" w:rsidP="3FA7D6B2" w:rsidRDefault="7376BE6A" w14:paraId="3B2B4915" w14:textId="04C242B5">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7AEC9CE2" w:rsidP="3FA7D6B2" w:rsidRDefault="7AEC9CE2" w14:paraId="39296CBC" w14:textId="25A26EAF">
      <w:pPr>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3FA7D6B2" w:rsidR="7AEC9CE2">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GB"/>
        </w:rPr>
        <w:t>Research question - How does the use of brain break activities affect pupils' involvement inside the classroom during a singular one-hour lesson?</w:t>
      </w:r>
    </w:p>
    <w:p w:rsidR="6B87E7AC" w:rsidP="3FA7D6B2" w:rsidRDefault="6B87E7AC" w14:paraId="65E95F47" w14:textId="1952553E">
      <w:pPr>
        <w:pStyle w:val="Normal"/>
        <w:spacing w:after="160" w:line="259" w:lineRule="auto"/>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GB"/>
        </w:rPr>
      </w:pPr>
      <w:r w:rsidRPr="3FA7D6B2" w:rsidR="6B87E7AC">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GB"/>
        </w:rPr>
        <w:t>Introduction</w:t>
      </w:r>
    </w:p>
    <w:p w:rsidR="392BFD21" w:rsidP="3FA7D6B2" w:rsidRDefault="392BFD21" w14:paraId="38C621B3" w14:textId="3B879371">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This work examines the impact of brain break activities on students' involvement during a single one-hour lesson inside the classroom. By conducting an observational study using the Leuven scale of involvement during set research days, the goal is to assess how the implementation of brain breaks </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impacts</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the engagement levels of the three chosen pupils, A, B, and C. Through this research, the aim is to gain insights using the Leuven scale into the effectiveness of brain break activities in the three pupils' participation, </w:t>
      </w:r>
      <w:r w:rsidRPr="3FA7D6B2" w:rsidR="0318A91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attention,</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and overall involvement within their primary learning environment</w:t>
      </w:r>
      <w:r w:rsidRPr="3FA7D6B2" w:rsidR="6B4B6BE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p>
    <w:p w:rsidR="392BFD21" w:rsidP="3FA7D6B2" w:rsidRDefault="392BFD21" w14:paraId="2168642F" w14:textId="1E62CDF5">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To </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provide</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context, 25 year two pupils had to partake in a 6-minute class brain break activity, which involved playing a Coach Corey YouTube video titled 'Fun maths workout'. During the video, the pupils would have to match their movements to the rhythm as they sang along to the lyrics displayed on the video. </w:t>
      </w:r>
    </w:p>
    <w:p w:rsidR="392BFD21" w:rsidP="3FA7D6B2" w:rsidRDefault="392BFD21" w14:paraId="04FB7D5A" w14:textId="140F6100">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I used a dual observation approach before and after the brain break activity to assess the activity's effectiveness on the pupils. This method gave me an understanding of students A, B and C's engagement, focus and overall involvement in the classroom setting. By examining how their behaviour and participation changed before and after the break, we could understand the effects of such activities on the pupil's learning journey and social interactions. </w:t>
      </w:r>
    </w:p>
    <w:p w:rsidR="392BFD21" w:rsidP="3FA7D6B2" w:rsidRDefault="392BFD21" w14:paraId="38DE7EF9" w14:textId="52DCB19B">
      <w:pPr>
        <w:pStyle w:val="Normal"/>
        <w:spacing w:after="160" w:line="259" w:lineRule="auto"/>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GB"/>
        </w:rPr>
      </w:pP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3FA7D6B2" w:rsidR="392BFD21">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GB"/>
        </w:rPr>
        <w:t xml:space="preserve">Literature review </w:t>
      </w:r>
    </w:p>
    <w:p w:rsidR="392BFD21" w:rsidP="3FA7D6B2" w:rsidRDefault="392BFD21" w14:paraId="3B35B919" w14:textId="4283DF3C">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Foundation learning aims to provide young learners between the ages of 3 and 7 with enriched educational experiences guided by practical pedagogical principles within the curriculum (Thomas &amp; Lewis, 2016). With the recent change in the Welsh curriculum in recognising health and well-being as an area of learning (Government, 2020), the implementation of brain break activities in classrooms has become increasingly popular by the day in </w:t>
      </w:r>
      <w:bookmarkStart w:name="_Int_o0wV7bsR" w:id="2015157005"/>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recent trends</w:t>
      </w:r>
      <w:bookmarkEnd w:id="2015157005"/>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since the pandemic lockdown in 2020 (Cline, 2021). Alongside the 12 pedagogical principles outlined in the revised Welsh curriculum supporting these breaks, it recognises pupils' overall well-being academically (</w:t>
      </w:r>
      <w:r w:rsidRPr="3FA7D6B2" w:rsidR="4ADA5A4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OECD</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2020).</w:t>
      </w:r>
    </w:p>
    <w:p w:rsidR="392BFD21" w:rsidP="3FA7D6B2" w:rsidRDefault="392BFD21" w14:paraId="7043A794" w14:textId="76E6B56C">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It is known that during my observation, the children had to engage in a brain break activity halfway through the one-hour lesson inside the classroom. The activity entailed the children singing and dancing to a YouTube video, supporting their physical development. Brain break activities enhance locomotor skills such as balance and coordination through locomotor movements and synchronised actions (Dougherty, 2021). </w:t>
      </w:r>
    </w:p>
    <w:p w:rsidR="392BFD21" w:rsidP="3FA7D6B2" w:rsidRDefault="392BFD21" w14:paraId="3193EA82" w14:textId="042EC388">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The discourse surrounding brain break activities has sparked various perspectives among authors. Morin's article implies that research shows that brain break activities refresh the mind by increasing blood flow to the brain, thus increasing pupil engagement (Morin, 2021). However, this is challenged by Hirsch, who argues that brain-break activities in school may pose a distraction in taking attention away from essential curriculum content and skills (Hirsch, 2010). While both Morin and Hirsch pose a solid argument, it is essential to note that empirical research on the lasting impacts of brain break activities on academic achievement, behaviour, and pupil well-being is scarce, which poses a knowledge gap in the literature. </w:t>
      </w:r>
    </w:p>
    <w:p w:rsidR="392BFD21" w:rsidP="3FA7D6B2" w:rsidRDefault="392BFD21" w14:paraId="72EB98A9" w14:textId="3B3757E6">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A blog written by Dr John Ratey suggests the relationship between physical activity and brain function is massively overlooked and is only now becoming more knowledgeable due to the recent widespread use of brain break activities in schools (Ratey, 2022). On the other hand, child psychologist Wingert implies that brain break activities should not involve physical activity as it can overstimulate children with special needs; Wingert believes that mindfulness activities are the way forward and are the only way a brain break can be utilised successfully for all pupils (Wingert, 2016).</w:t>
      </w:r>
    </w:p>
    <w:p w:rsidR="392BFD21" w:rsidP="3FA7D6B2" w:rsidRDefault="392BFD21" w14:paraId="4AF76341" w14:textId="24EBC33D">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While both perspectives offer valuable insights, Ratey's strong focus on the importance of activity </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fails to</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consider the possibility of causing overstimulation or unease in students, creating an ineffective learning environment, especially for those sensitive to sensory stimuli or facing motor skill difficulties. Conversely, Wingert's attention to mindfulness exercises might not fully recognise the advantages of engaging in movements for enhancing growth in typically developing children. It is also vital to note that the knowledge gap in studies comparing the effectiveness of various brain break activities, such as physical movement and mindfulness, is theoretical and could </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benefit</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from </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additional</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empirical research.</w:t>
      </w:r>
    </w:p>
    <w:p w:rsidR="392BFD21" w:rsidP="3FA7D6B2" w:rsidRDefault="392BFD21" w14:paraId="5140D08F" w14:textId="4CA698CC">
      <w:pPr>
        <w:pStyle w:val="Normal"/>
        <w:spacing w:after="160" w:line="259" w:lineRule="auto"/>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GB"/>
        </w:rPr>
      </w:pP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In conclusion, the research surrounding using brain break activities in education reveals various perspectives concerning benefits and drawbacks. Whilst some research found advocates for the vast potential in brain break activities in classrooms, others conflict with concern on potential distraction on academic content and harm to pupils with </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additional</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learning needs. </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Identifying</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gaps in the literature and research surrounding brain break activities underscores the need for further investigation of long-term effects and behaviour on pupils surrounding the activities. A recommendation is to research further and conduct studies comparing the </w:t>
      </w:r>
      <w:bookmarkStart w:name="_Int_kQHvvnJa" w:id="1997126820"/>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different types</w:t>
      </w:r>
      <w:bookmarkEnd w:id="1997126820"/>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of brain break activities. The outcome would be </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deemed</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essential in education as it informs teachers about more beneficial and effective evidence-based practices.</w:t>
      </w:r>
    </w:p>
    <w:p w:rsidR="392BFD21" w:rsidP="3FA7D6B2" w:rsidRDefault="392BFD21" w14:paraId="431977D6" w14:textId="783F072F">
      <w:pPr>
        <w:pStyle w:val="Normal"/>
        <w:spacing w:after="160" w:line="259" w:lineRule="auto"/>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GB"/>
        </w:rPr>
      </w:pPr>
      <w:r w:rsidRPr="3FA7D6B2" w:rsidR="392BFD21">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GB"/>
        </w:rPr>
        <w:t xml:space="preserve">Methodology </w:t>
      </w:r>
    </w:p>
    <w:p w:rsidR="392BFD21" w:rsidP="3FA7D6B2" w:rsidRDefault="392BFD21" w14:paraId="344FBD60" w14:textId="54438325">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In education today, engaging pupils is crucial for effective learning (Shelton &amp; Brownhill, 2008), which is why brain break activities have been thought to enrich the learning environment by enhancing pupil attention and participation (Kieran O'mahony, 2021).</w:t>
      </w:r>
      <w:r w:rsidRPr="3FA7D6B2" w:rsidR="3D53BC7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The Leuven scale is a valuable observation tool in educational research as it gives insight into the effectiveness of classroom management techniques, teaching methods and student engagement practices (Woods, 2016).</w:t>
      </w:r>
    </w:p>
    <w:p w:rsidR="392BFD21" w:rsidP="3FA7D6B2" w:rsidRDefault="392BFD21" w14:paraId="03B0D3C9" w14:textId="3517151C">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A notable advantage of the Leuven scale is its adaptability to various differential contexts and versatility for many age groups (Jackson, 2023). In addition, an advantage posed is the structure of the Leuven scale, as it provides researchers with positive and negative aspects of student behaviour, further </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facilitating</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the researchers as it poses a holistic scope inside the classroom (Early Years Staffroom, 2017). This holistic outlook would allow researchers to pinpoint areas needing enhancement and customise interventions to address the requirements of students and teachers alike. Nevertheless, the subjective aspect of gathering data could pose a limitation due to influences from observer bias or misinterpretation. The Leuven scale </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provides</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valuable insight into student engagement; however, the subjective nature of data collection invites bias. It should be used alongside other assessment methods to understand classroom interactions comprehensively (Twinkl, 2024).</w:t>
      </w:r>
    </w:p>
    <w:p w:rsidR="392BFD21" w:rsidP="3FA7D6B2" w:rsidRDefault="392BFD21" w14:paraId="1EBE4018" w14:textId="442910CC">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I created an observation schedule (See Appendix 1) with specific details to plan for the research days to ensure the data collection was organised and readable. The observation schedule held a framework designed to evaluate pupil involvement using the Leuven scale, which offered a way to measure their involvement levels ranging from one being low involvement to five being </w:t>
      </w:r>
      <w:r w:rsidRPr="3FA7D6B2" w:rsidR="3F03269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extremely high</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involvement (See Appendix 2), making data collection and analysis more consistent (Structural Learning, 2021). To ensure a fair representation, the observation plan specified that the three pupils (A, B and C) be chosen from each of the three tables in the classroom environment; this method minimised biases and ensured that observations reflected the class population. Additionally, I ensured that room was provided for comments, allowing insight into further detail beyond just the Leuven scale.</w:t>
      </w:r>
    </w:p>
    <w:p w:rsidR="392BFD21" w:rsidP="3FA7D6B2" w:rsidRDefault="392BFD21" w14:paraId="4765D36E" w14:textId="20514229">
      <w:pPr>
        <w:pStyle w:val="Normal"/>
        <w:spacing w:after="160" w:line="259" w:lineRule="auto"/>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GB"/>
        </w:rPr>
      </w:pP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3FA7D6B2" w:rsidR="392BFD21">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GB"/>
        </w:rPr>
        <w:t xml:space="preserve">Discussion and findings </w:t>
      </w:r>
    </w:p>
    <w:p w:rsidR="392BFD21" w:rsidP="3FA7D6B2" w:rsidRDefault="392BFD21" w14:paraId="273384DD" w14:textId="25EFFA12">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Ethics encompass all researchers as they must follow specific ethical guidelines and approval processes (World Health Organization, 2021). Ethics are in play to minimise harm and maximise benefits whilst ensuring respect, dignity, and privacy are given to all (Gregory, 2003); in applying this to my observation, I will give complete anonymity to the three participants by referring to them as pupil A, B and C throughout this observation. As this observation is based around children, it is vitally important that ethical considerations are understood, as the British Educational Research Association (BERA) document states that anonymity is to be given and that researchers must not </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disclose</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any private and personal information (BERA, 2018). The Data Protection Act has also been carefully considered as </w:t>
      </w:r>
      <w:bookmarkStart w:name="_Int_XQakiK8x" w:id="929161815"/>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this falls</w:t>
      </w:r>
      <w:bookmarkEnd w:id="929161815"/>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under a research project and thus applies to this observation (Data Protection Act 2018). As said previously, complete anonymity</w:t>
      </w:r>
      <w:r w:rsidRPr="3FA7D6B2" w:rsidR="334998D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has been given, and names, locations and schools have been kept hidden, ensuring no </w:t>
      </w:r>
      <w:bookmarkStart w:name="_Int_OuHmzZrr" w:id="417678391"/>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private information</w:t>
      </w:r>
      <w:bookmarkEnd w:id="417678391"/>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is </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disclosed</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During this observation, consent from parents will not be obtained as it is conducted during the children's regular learning experience. Before conducting my observation, the children will be informed of the purpose of the observation and will be able to ask questions freely; this way, I can ensure that assent from the child will be considered and applied during the observation process.</w:t>
      </w:r>
    </w:p>
    <w:p w:rsidR="392BFD21" w:rsidP="3FA7D6B2" w:rsidRDefault="392BFD21" w14:paraId="0B0E04AC" w14:textId="19C1BA81">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The observation revealed a pattern in involvement before and after the brain break activity. Initially, all three children displayed varying levels of involvement, with pupils A and C scoring a two on the Leuven scale, showing low involvement and little to no interest in the lesson by being visibly distracted with their peers. However, Pupil B scored a three on the Leuven scale, showing moderate involvement in pair discussions. Following the five-minute brain break activity, a significant improvement in involvement was </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observed</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across all three pupils as </w:t>
      </w:r>
      <w:bookmarkStart w:name="_Int_89xaqgSb" w:id="441607191"/>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high levels</w:t>
      </w:r>
      <w:bookmarkEnd w:id="441607191"/>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of involvement were displayed. Pupil A showed one of the highest increases in involvement in the lesson, scoring a five on the </w:t>
      </w:r>
      <w:r w:rsidRPr="3FA7D6B2" w:rsidR="114186F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Leuven</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scale and visibly showing passion and enthusiasm for answering questions.</w:t>
      </w:r>
    </w:p>
    <w:p w:rsidR="392BFD21" w:rsidP="3FA7D6B2" w:rsidRDefault="392BFD21" w14:paraId="0B41272C" w14:textId="7A47D4CD">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Additionally, pupil B scored a five with extremely high involvement in the lesson, improved posture, and </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observed</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positive interactions with peers and teachers. An improvement in pupil C was also noted in scoring a four on the Leuven scale, presenting </w:t>
      </w:r>
      <w:bookmarkStart w:name="_Int_wXifJRTr" w:id="646312368"/>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high levels</w:t>
      </w:r>
      <w:bookmarkEnd w:id="646312368"/>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of involvement, increased energy towards the lesson, and a positive attitude. However, during the observation, a critical incident may have skewed the results in a biased way with the potential for inaccurate outcomes due to a change in Pupil A's learning environment; Pupil A, who was previously disruptive at the beginning, was moved to another table after the brain break activity. Despite </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attempts</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to redirect the child's behaviour from the teacher, pupil A took no notice. As a result, the teacher made a different seating arrangement for pupil A to minimise further disruption; this positively affected not only pupil A but the whole class itself, as visible signs of increased involvement were shown throughout.</w:t>
      </w:r>
    </w:p>
    <w:p w:rsidR="392BFD21" w:rsidP="3FA7D6B2" w:rsidRDefault="392BFD21" w14:paraId="05EEE16F" w14:textId="39D8861A">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It is important to note that I ensured the use of mixed methods to gather data in the observation scale; this allowed for a collection of both qualitative and quantitative data, in the Leuven scale providing a quantitative measure of pupil involvement and the </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additional</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observations/comments providing a qualitative measure of involvement.</w:t>
      </w:r>
      <w:r w:rsidRPr="3FA7D6B2" w:rsidR="4EBEA60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I believe that brain</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break activities enhance pupil engagement by creating a more effective learning environment by increasing students' attention and enthusiasm for learning.</w:t>
      </w:r>
    </w:p>
    <w:p w:rsidR="392BFD21" w:rsidP="3FA7D6B2" w:rsidRDefault="392BFD21" w14:paraId="01B1F611" w14:textId="43B76F3E">
      <w:pPr>
        <w:pStyle w:val="Normal"/>
        <w:spacing w:after="160" w:line="259" w:lineRule="auto"/>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GB"/>
        </w:rPr>
      </w:pP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3FA7D6B2" w:rsidR="392BFD21">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GB"/>
        </w:rPr>
        <w:t xml:space="preserve">Conclusion and recommendations </w:t>
      </w:r>
    </w:p>
    <w:p w:rsidR="392BFD21" w:rsidP="3FA7D6B2" w:rsidRDefault="392BFD21" w14:paraId="1E9A7E8E" w14:textId="118DFD28">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My research assessed how brain break activities affect pupil involvement in a one-hour lesson. The research found that using brain break activities in a classroom setting does increase children's involvement, as my findings found notable improvements in all three pupils' involvement after the activity.</w:t>
      </w:r>
    </w:p>
    <w:p w:rsidR="392BFD21" w:rsidP="3FA7D6B2" w:rsidRDefault="392BFD21" w14:paraId="497A88F0" w14:textId="62A3B3C3">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Strengths of this research include utilising a mixed method approach towards gathering data while </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observing</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pupils. Combining quantitative data from the Leuven scale with qualitative observations made the data gathered comprehensive and detailed, opening a broader scope into the research question.</w:t>
      </w:r>
    </w:p>
    <w:p w:rsidR="392BFD21" w:rsidP="3FA7D6B2" w:rsidRDefault="392BFD21" w14:paraId="4BE20301" w14:textId="6EC1FE0A">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However, using the Leuven scale is limited as it does not specify or </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identify</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if the child </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observed</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has </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additional</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learning needs. This oversight could invalidate the data collected, presenting a significant limitation as children with </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additional</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learning needs may </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demonstrate</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varying levels of involvement that could be less noticeable by </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observing</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the Leuven scale.</w:t>
      </w:r>
    </w:p>
    <w:p w:rsidR="392BFD21" w:rsidP="3FA7D6B2" w:rsidRDefault="392BFD21" w14:paraId="24A33FDC" w14:textId="204F9EE9">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This research has hugely </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impacted</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my professional learning in becoming a teacher. It has </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provided</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insight into the efficiency of brain break activities in increasing pupil engagement and creating an effective learning environment. This insight will be applied during my professional learning to integrate these activities into lessons to ensure pupils stay focused and energised towards the task. Additionally, the critical incident that involved disruptive behaviour from one of the pupils has allowed me to recognise the importance of classroom management. This has inspired me to ensure that I leave adaptations in my professional learning lesson plans for supporting and managing children facing behavioural challenges. This study further supports student-focused teaching methods, leading me to create a nurturing educational setting in my practice.</w:t>
      </w:r>
    </w:p>
    <w:p w:rsidR="392BFD21" w:rsidP="3FA7D6B2" w:rsidRDefault="392BFD21" w14:paraId="27CE6803" w14:textId="6EA0B5B2">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To conclude, this research has inspired interest in further exploring the impact of the possibility of personalised brain break activities. A research question drawn from this I could use to aid in developing my practice in future would be: 'How does the use of personalised brain break activities tailored to students' interests and learning styles impact overall classroom engagement and academic performance in a diverse primary school setting?' This would </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facilitate</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my learning by </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providing</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 better insight that could be practised in my professional learning by building on </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previous</w:t>
      </w:r>
      <w:r w:rsidRPr="3FA7D6B2" w:rsidR="392BFD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knowledge.</w:t>
      </w:r>
    </w:p>
    <w:p w:rsidR="75920B41" w:rsidP="3FA7D6B2" w:rsidRDefault="75920B41" w14:paraId="5AE94153" w14:textId="36366B43">
      <w:pPr>
        <w:pStyle w:val="Normal"/>
        <w:spacing w:after="160" w:line="259" w:lineRule="auto"/>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GB"/>
        </w:rPr>
      </w:pPr>
      <w:r w:rsidRPr="3FA7D6B2" w:rsidR="75920B41">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GB"/>
        </w:rPr>
        <w:t>Word count – 2094 words</w:t>
      </w:r>
    </w:p>
    <w:p w:rsidR="7376BE6A" w:rsidP="3FA7D6B2" w:rsidRDefault="7376BE6A" w14:paraId="1934E4EC" w14:textId="3E41189E">
      <w:pPr>
        <w:rPr>
          <w:rFonts w:ascii="Calibri" w:hAnsi="Calibri" w:eastAsia="Calibri" w:cs="Calibri" w:asciiTheme="minorAscii" w:hAnsiTheme="minorAscii" w:eastAsiaTheme="minorAscii" w:cstheme="minorAscii"/>
          <w:sz w:val="24"/>
          <w:szCs w:val="24"/>
        </w:rPr>
      </w:pPr>
      <w:r w:rsidRPr="3FA7D6B2">
        <w:rPr>
          <w:rFonts w:ascii="Calibri" w:hAnsi="Calibri" w:eastAsia="Calibri" w:cs="Calibri" w:asciiTheme="minorAscii" w:hAnsiTheme="minorAscii" w:eastAsiaTheme="minorAscii" w:cstheme="minorAscii"/>
          <w:sz w:val="24"/>
          <w:szCs w:val="24"/>
        </w:rPr>
        <w:br w:type="page"/>
      </w:r>
    </w:p>
    <w:p w:rsidR="3436F073" w:rsidP="7376BE6A" w:rsidRDefault="3436F073" w14:paraId="45C0CC2C" w14:textId="3E9C4A5F">
      <w:pPr>
        <w:pStyle w:val="Normal"/>
        <w:rPr>
          <w:rFonts w:ascii="Calibri" w:hAnsi="Calibri" w:eastAsia="Calibri" w:cs="Calibri" w:asciiTheme="minorAscii" w:hAnsiTheme="minorAscii" w:eastAsiaTheme="minorAscii" w:cstheme="minorAscii"/>
          <w:b w:val="1"/>
          <w:bCs w:val="1"/>
          <w:sz w:val="24"/>
          <w:szCs w:val="24"/>
          <w:u w:val="single"/>
        </w:rPr>
      </w:pPr>
      <w:r w:rsidRPr="3FA7D6B2" w:rsidR="3436F073">
        <w:rPr>
          <w:rFonts w:ascii="Calibri" w:hAnsi="Calibri" w:eastAsia="Calibri" w:cs="Calibri" w:asciiTheme="minorAscii" w:hAnsiTheme="minorAscii" w:eastAsiaTheme="minorAscii" w:cstheme="minorAscii"/>
          <w:b w:val="1"/>
          <w:bCs w:val="1"/>
          <w:sz w:val="24"/>
          <w:szCs w:val="24"/>
          <w:u w:val="single"/>
        </w:rPr>
        <w:t>Reference List</w:t>
      </w:r>
    </w:p>
    <w:p w:rsidR="3436F073" w:rsidP="7376BE6A" w:rsidRDefault="3436F073" w14:paraId="3CFC026C" w14:textId="3081F5D2">
      <w:pPr>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3FA7D6B2" w:rsidR="3436F073">
        <w:rPr>
          <w:rFonts w:ascii="Calibri" w:hAnsi="Calibri" w:eastAsia="Calibri" w:cs="Calibri" w:asciiTheme="minorAscii" w:hAnsiTheme="minorAscii" w:eastAsiaTheme="minorAscii" w:cstheme="minorAscii"/>
          <w:noProof w:val="0"/>
          <w:sz w:val="24"/>
          <w:szCs w:val="24"/>
          <w:lang w:val="en-US"/>
        </w:rPr>
        <w:t xml:space="preserve">BERA (2018). </w:t>
      </w:r>
      <w:r w:rsidRPr="3FA7D6B2" w:rsidR="3436F073">
        <w:rPr>
          <w:rFonts w:ascii="Calibri" w:hAnsi="Calibri" w:eastAsia="Calibri" w:cs="Calibri" w:asciiTheme="minorAscii" w:hAnsiTheme="minorAscii" w:eastAsiaTheme="minorAscii" w:cstheme="minorAscii"/>
          <w:i w:val="1"/>
          <w:iCs w:val="1"/>
          <w:noProof w:val="0"/>
          <w:sz w:val="24"/>
          <w:szCs w:val="24"/>
          <w:lang w:val="en-US"/>
        </w:rPr>
        <w:t>Ethical Guidelines for Educational Research, Fourth Edition (2018)</w:t>
      </w:r>
      <w:r w:rsidRPr="3FA7D6B2" w:rsidR="3436F073">
        <w:rPr>
          <w:rFonts w:ascii="Calibri" w:hAnsi="Calibri" w:eastAsia="Calibri" w:cs="Calibri" w:asciiTheme="minorAscii" w:hAnsiTheme="minorAscii" w:eastAsiaTheme="minorAscii" w:cstheme="minorAscii"/>
          <w:noProof w:val="0"/>
          <w:sz w:val="24"/>
          <w:szCs w:val="24"/>
          <w:lang w:val="en-US"/>
        </w:rPr>
        <w:t xml:space="preserve">. [online] Bera.ac.uk. Available at: </w:t>
      </w:r>
      <w:hyperlink r:id="Rc6f98519564f4ef7">
        <w:r w:rsidRPr="3FA7D6B2" w:rsidR="3436F073">
          <w:rPr>
            <w:rStyle w:val="Hyperlink"/>
            <w:rFonts w:ascii="Calibri" w:hAnsi="Calibri" w:eastAsia="Calibri" w:cs="Calibri" w:asciiTheme="minorAscii" w:hAnsiTheme="minorAscii" w:eastAsiaTheme="minorAscii" w:cstheme="minorAscii"/>
            <w:noProof w:val="0"/>
            <w:sz w:val="24"/>
            <w:szCs w:val="24"/>
            <w:lang w:val="en-US"/>
          </w:rPr>
          <w:t>https://www.bera.ac.uk/publication/ethical-guidelines-for-educational-research-2018-online</w:t>
        </w:r>
      </w:hyperlink>
      <w:r w:rsidRPr="3FA7D6B2" w:rsidR="3436F073">
        <w:rPr>
          <w:rFonts w:ascii="Calibri" w:hAnsi="Calibri" w:eastAsia="Calibri" w:cs="Calibri" w:asciiTheme="minorAscii" w:hAnsiTheme="minorAscii" w:eastAsiaTheme="minorAscii" w:cstheme="minorAscii"/>
          <w:noProof w:val="0"/>
          <w:sz w:val="24"/>
          <w:szCs w:val="24"/>
          <w:lang w:val="en-US"/>
        </w:rPr>
        <w:t>.</w:t>
      </w:r>
    </w:p>
    <w:p w:rsidR="3436F073" w:rsidP="7376BE6A" w:rsidRDefault="3436F073" w14:paraId="4B0545AE" w14:textId="20411A3C">
      <w:pPr>
        <w:pStyle w:val="Normal"/>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7376BE6A" w:rsidR="3436F073">
        <w:rPr>
          <w:rFonts w:ascii="Calibri" w:hAnsi="Calibri" w:eastAsia="Calibri" w:cs="Calibri" w:asciiTheme="minorAscii" w:hAnsiTheme="minorAscii" w:eastAsiaTheme="minorAscii" w:cstheme="minorAscii"/>
          <w:noProof w:val="0"/>
          <w:sz w:val="24"/>
          <w:szCs w:val="24"/>
          <w:lang w:val="en-US"/>
        </w:rPr>
        <w:t xml:space="preserve">(Accessed 3 </w:t>
      </w:r>
      <w:r w:rsidRPr="7376BE6A" w:rsidR="3436F073">
        <w:rPr>
          <w:rFonts w:ascii="Calibri" w:hAnsi="Calibri" w:eastAsia="Calibri" w:cs="Calibri" w:asciiTheme="minorAscii" w:hAnsiTheme="minorAscii" w:eastAsiaTheme="minorAscii" w:cstheme="minorAscii"/>
          <w:noProof w:val="0"/>
          <w:sz w:val="24"/>
          <w:szCs w:val="24"/>
          <w:lang w:val="en-US"/>
        </w:rPr>
        <w:t>February</w:t>
      </w:r>
      <w:r w:rsidRPr="7376BE6A" w:rsidR="3436F073">
        <w:rPr>
          <w:rFonts w:ascii="Calibri" w:hAnsi="Calibri" w:eastAsia="Calibri" w:cs="Calibri" w:asciiTheme="minorAscii" w:hAnsiTheme="minorAscii" w:eastAsiaTheme="minorAscii" w:cstheme="minorAscii"/>
          <w:noProof w:val="0"/>
          <w:sz w:val="24"/>
          <w:szCs w:val="24"/>
          <w:lang w:val="en-US"/>
        </w:rPr>
        <w:t xml:space="preserve"> 2024).</w:t>
      </w:r>
    </w:p>
    <w:p w:rsidR="3436F073" w:rsidP="7376BE6A" w:rsidRDefault="3436F073" w14:paraId="77358B6F" w14:textId="0E526B04">
      <w:pPr>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3FA7D6B2" w:rsidR="3436F073">
        <w:rPr>
          <w:rFonts w:ascii="Calibri" w:hAnsi="Calibri" w:eastAsia="Calibri" w:cs="Calibri" w:asciiTheme="minorAscii" w:hAnsiTheme="minorAscii" w:eastAsiaTheme="minorAscii" w:cstheme="minorAscii"/>
          <w:noProof w:val="0"/>
          <w:sz w:val="24"/>
          <w:szCs w:val="24"/>
          <w:lang w:val="en-US"/>
        </w:rPr>
        <w:t xml:space="preserve">Cline, A. (2021). </w:t>
      </w:r>
      <w:r w:rsidRPr="3FA7D6B2" w:rsidR="3436F073">
        <w:rPr>
          <w:rFonts w:ascii="Calibri" w:hAnsi="Calibri" w:eastAsia="Calibri" w:cs="Calibri" w:asciiTheme="minorAscii" w:hAnsiTheme="minorAscii" w:eastAsiaTheme="minorAscii" w:cstheme="minorAscii"/>
          <w:i w:val="1"/>
          <w:iCs w:val="1"/>
          <w:noProof w:val="0"/>
          <w:sz w:val="24"/>
          <w:szCs w:val="24"/>
          <w:lang w:val="en-US"/>
        </w:rPr>
        <w:t>A Process Evaluation of a UK Classroom-Based Physical Activity Intervention</w:t>
      </w:r>
      <w:r w:rsidRPr="3FA7D6B2" w:rsidR="3436F073">
        <w:rPr>
          <w:rFonts w:ascii="Calibri" w:hAnsi="Calibri" w:eastAsia="Calibri" w:cs="Calibri" w:asciiTheme="minorAscii" w:hAnsiTheme="minorAscii" w:eastAsiaTheme="minorAscii" w:cstheme="minorAscii"/>
          <w:i w:val="1"/>
          <w:iCs w:val="1"/>
          <w:noProof w:val="0"/>
          <w:sz w:val="24"/>
          <w:szCs w:val="24"/>
          <w:lang w:val="en-US"/>
        </w:rPr>
        <w:t>—‘</w:t>
      </w:r>
      <w:r w:rsidRPr="3FA7D6B2" w:rsidR="3436F073">
        <w:rPr>
          <w:rFonts w:ascii="Calibri" w:hAnsi="Calibri" w:eastAsia="Calibri" w:cs="Calibri" w:asciiTheme="minorAscii" w:hAnsiTheme="minorAscii" w:eastAsiaTheme="minorAscii" w:cstheme="minorAscii"/>
          <w:i w:val="1"/>
          <w:iCs w:val="1"/>
          <w:noProof w:val="0"/>
          <w:sz w:val="24"/>
          <w:szCs w:val="24"/>
          <w:lang w:val="en-US"/>
        </w:rPr>
        <w:t>Busy Brain Breaks</w:t>
      </w:r>
      <w:r w:rsidRPr="3FA7D6B2" w:rsidR="3436F073">
        <w:rPr>
          <w:rFonts w:ascii="Calibri" w:hAnsi="Calibri" w:eastAsia="Calibri" w:cs="Calibri" w:asciiTheme="minorAscii" w:hAnsiTheme="minorAscii" w:eastAsiaTheme="minorAscii" w:cstheme="minorAscii"/>
          <w:i w:val="1"/>
          <w:iCs w:val="1"/>
          <w:noProof w:val="0"/>
          <w:sz w:val="24"/>
          <w:szCs w:val="24"/>
          <w:lang w:val="en-US"/>
        </w:rPr>
        <w:t xml:space="preserve">’ </w:t>
      </w:r>
      <w:r w:rsidRPr="3FA7D6B2" w:rsidR="3436F073">
        <w:rPr>
          <w:rFonts w:ascii="Calibri" w:hAnsi="Calibri" w:eastAsia="Calibri" w:cs="Calibri" w:asciiTheme="minorAscii" w:hAnsiTheme="minorAscii" w:eastAsiaTheme="minorAscii" w:cstheme="minorAscii"/>
          <w:noProof w:val="0"/>
          <w:sz w:val="24"/>
          <w:szCs w:val="24"/>
          <w:lang w:val="en-US"/>
        </w:rPr>
        <w:t>.</w:t>
      </w:r>
      <w:r w:rsidRPr="3FA7D6B2" w:rsidR="3436F073">
        <w:rPr>
          <w:rFonts w:ascii="Calibri" w:hAnsi="Calibri" w:eastAsia="Calibri" w:cs="Calibri" w:asciiTheme="minorAscii" w:hAnsiTheme="minorAscii" w:eastAsiaTheme="minorAscii" w:cstheme="minorAscii"/>
          <w:noProof w:val="0"/>
          <w:sz w:val="24"/>
          <w:szCs w:val="24"/>
          <w:lang w:val="en-US"/>
        </w:rPr>
        <w:t xml:space="preserve"> [Dissertation] Available at: </w:t>
      </w:r>
      <w:hyperlink r:id="R3348a4b6854240d7">
        <w:r w:rsidRPr="3FA7D6B2" w:rsidR="3436F073">
          <w:rPr>
            <w:rStyle w:val="Hyperlink"/>
            <w:rFonts w:ascii="Calibri" w:hAnsi="Calibri" w:eastAsia="Calibri" w:cs="Calibri" w:asciiTheme="minorAscii" w:hAnsiTheme="minorAscii" w:eastAsiaTheme="minorAscii" w:cstheme="minorAscii"/>
            <w:noProof w:val="0"/>
            <w:sz w:val="24"/>
            <w:szCs w:val="24"/>
            <w:lang w:val="en-US"/>
          </w:rPr>
          <w:t>https://pure.hartpury.ac.uk/ws/portalfiles/portal/27875618/A_Process_Evaluation_of_A_UK_Classroom_Based_Physical_Activity_Intervention.pdf</w:t>
        </w:r>
      </w:hyperlink>
      <w:r w:rsidRPr="3FA7D6B2" w:rsidR="3436F073">
        <w:rPr>
          <w:rFonts w:ascii="Calibri" w:hAnsi="Calibri" w:eastAsia="Calibri" w:cs="Calibri" w:asciiTheme="minorAscii" w:hAnsiTheme="minorAscii" w:eastAsiaTheme="minorAscii" w:cstheme="minorAscii"/>
          <w:noProof w:val="0"/>
          <w:sz w:val="24"/>
          <w:szCs w:val="24"/>
          <w:lang w:val="en-US"/>
        </w:rPr>
        <w:t xml:space="preserve"> </w:t>
      </w:r>
    </w:p>
    <w:p w:rsidR="3436F073" w:rsidP="7376BE6A" w:rsidRDefault="3436F073" w14:paraId="64012EC4" w14:textId="61C41266">
      <w:pPr>
        <w:pStyle w:val="Normal"/>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7376BE6A" w:rsidR="3436F073">
        <w:rPr>
          <w:rFonts w:ascii="Calibri" w:hAnsi="Calibri" w:eastAsia="Calibri" w:cs="Calibri" w:asciiTheme="minorAscii" w:hAnsiTheme="minorAscii" w:eastAsiaTheme="minorAscii" w:cstheme="minorAscii"/>
          <w:noProof w:val="0"/>
          <w:sz w:val="24"/>
          <w:szCs w:val="24"/>
          <w:lang w:val="en-US"/>
        </w:rPr>
        <w:t>(Accessed 8 February 2024).</w:t>
      </w:r>
    </w:p>
    <w:p w:rsidR="3436F073" w:rsidP="7376BE6A" w:rsidRDefault="3436F073" w14:paraId="37959648" w14:textId="3452EC9A">
      <w:pPr>
        <w:pStyle w:val="Normal"/>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3FA7D6B2" w:rsidR="3436F073">
        <w:rPr>
          <w:rFonts w:ascii="Calibri" w:hAnsi="Calibri" w:eastAsia="Calibri" w:cs="Calibri" w:asciiTheme="minorAscii" w:hAnsiTheme="minorAscii" w:eastAsiaTheme="minorAscii" w:cstheme="minorAscii"/>
          <w:i w:val="1"/>
          <w:iCs w:val="1"/>
          <w:noProof w:val="0"/>
          <w:sz w:val="24"/>
          <w:szCs w:val="24"/>
          <w:lang w:val="en-US"/>
        </w:rPr>
        <w:t>Data Protection Act 2018</w:t>
      </w:r>
      <w:r w:rsidRPr="3FA7D6B2" w:rsidR="3436F073">
        <w:rPr>
          <w:rFonts w:ascii="Calibri" w:hAnsi="Calibri" w:eastAsia="Calibri" w:cs="Calibri" w:asciiTheme="minorAscii" w:hAnsiTheme="minorAscii" w:eastAsiaTheme="minorAscii" w:cstheme="minorAscii"/>
          <w:noProof w:val="0"/>
          <w:sz w:val="24"/>
          <w:szCs w:val="24"/>
          <w:lang w:val="en-US"/>
        </w:rPr>
        <w:t xml:space="preserve">. Available at: </w:t>
      </w:r>
      <w:hyperlink r:id="Rb1318ce0e31c4e6f">
        <w:r w:rsidRPr="3FA7D6B2" w:rsidR="3436F073">
          <w:rPr>
            <w:rStyle w:val="Hyperlink"/>
            <w:rFonts w:ascii="Calibri" w:hAnsi="Calibri" w:eastAsia="Calibri" w:cs="Calibri" w:asciiTheme="minorAscii" w:hAnsiTheme="minorAscii" w:eastAsiaTheme="minorAscii" w:cstheme="minorAscii"/>
            <w:noProof w:val="0"/>
            <w:sz w:val="24"/>
            <w:szCs w:val="24"/>
            <w:lang w:val="en-US"/>
          </w:rPr>
          <w:t>https://www.legislation.gov.uk/ukpga/2018/12/contents/enacted</w:t>
        </w:r>
      </w:hyperlink>
      <w:r w:rsidRPr="3FA7D6B2" w:rsidR="3436F073">
        <w:rPr>
          <w:rFonts w:ascii="Calibri" w:hAnsi="Calibri" w:eastAsia="Calibri" w:cs="Calibri" w:asciiTheme="minorAscii" w:hAnsiTheme="minorAscii" w:eastAsiaTheme="minorAscii" w:cstheme="minorAscii"/>
          <w:noProof w:val="0"/>
          <w:sz w:val="24"/>
          <w:szCs w:val="24"/>
          <w:lang w:val="en-US"/>
        </w:rPr>
        <w:t xml:space="preserve"> [Accessed 14 Feb. 2024].</w:t>
      </w:r>
    </w:p>
    <w:p w:rsidR="3436F073" w:rsidP="7376BE6A" w:rsidRDefault="3436F073" w14:paraId="1F139306" w14:textId="4653F4C4">
      <w:pPr>
        <w:pStyle w:val="Normal"/>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7376BE6A" w:rsidR="3436F073">
        <w:rPr>
          <w:rFonts w:ascii="Calibri" w:hAnsi="Calibri" w:eastAsia="Calibri" w:cs="Calibri" w:asciiTheme="minorAscii" w:hAnsiTheme="minorAscii" w:eastAsiaTheme="minorAscii" w:cstheme="minorAscii"/>
          <w:noProof w:val="0"/>
          <w:sz w:val="24"/>
          <w:szCs w:val="24"/>
          <w:lang w:val="en-US"/>
        </w:rPr>
        <w:t>(Accessed 3 February 2024).</w:t>
      </w:r>
    </w:p>
    <w:p w:rsidR="3436F073" w:rsidP="7376BE6A" w:rsidRDefault="3436F073" w14:paraId="41A48A08" w14:textId="3DCC3B71">
      <w:pPr>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3FA7D6B2" w:rsidR="3436F073">
        <w:rPr>
          <w:rFonts w:ascii="Calibri" w:hAnsi="Calibri" w:eastAsia="Calibri" w:cs="Calibri" w:asciiTheme="minorAscii" w:hAnsiTheme="minorAscii" w:eastAsiaTheme="minorAscii" w:cstheme="minorAscii"/>
          <w:noProof w:val="0"/>
          <w:sz w:val="24"/>
          <w:szCs w:val="24"/>
          <w:lang w:val="en-US"/>
        </w:rPr>
        <w:t xml:space="preserve">Dirks, J. (2023). </w:t>
      </w:r>
      <w:r w:rsidRPr="3FA7D6B2" w:rsidR="3436F073">
        <w:rPr>
          <w:rFonts w:ascii="Calibri" w:hAnsi="Calibri" w:eastAsia="Calibri" w:cs="Calibri" w:asciiTheme="minorAscii" w:hAnsiTheme="minorAscii" w:eastAsiaTheme="minorAscii" w:cstheme="minorAscii"/>
          <w:i w:val="1"/>
          <w:iCs w:val="1"/>
          <w:noProof w:val="0"/>
          <w:sz w:val="24"/>
          <w:szCs w:val="24"/>
          <w:lang w:val="en-US"/>
        </w:rPr>
        <w:t>The Academic and Socioemotional Effects of Brain Breaks in a Title 1 Elementary Classroom AUTHOR: Jeremy Dirks DATE OF SUCCESSFUL DEFENSE</w:t>
      </w:r>
      <w:r w:rsidRPr="3FA7D6B2" w:rsidR="3436F073">
        <w:rPr>
          <w:rFonts w:ascii="Calibri" w:hAnsi="Calibri" w:eastAsia="Calibri" w:cs="Calibri" w:asciiTheme="minorAscii" w:hAnsiTheme="minorAscii" w:eastAsiaTheme="minorAscii" w:cstheme="minorAscii"/>
          <w:noProof w:val="0"/>
          <w:sz w:val="24"/>
          <w:szCs w:val="24"/>
          <w:lang w:val="en-US"/>
        </w:rPr>
        <w:t xml:space="preserve">. [online] Available at: </w:t>
      </w:r>
      <w:hyperlink r:id="Rc0191b64f5cf40e7">
        <w:r w:rsidRPr="3FA7D6B2" w:rsidR="3436F073">
          <w:rPr>
            <w:rStyle w:val="Hyperlink"/>
            <w:rFonts w:ascii="Calibri" w:hAnsi="Calibri" w:eastAsia="Calibri" w:cs="Calibri" w:asciiTheme="minorAscii" w:hAnsiTheme="minorAscii" w:eastAsiaTheme="minorAscii" w:cstheme="minorAscii"/>
            <w:noProof w:val="0"/>
            <w:sz w:val="24"/>
            <w:szCs w:val="24"/>
            <w:lang w:val="en-US"/>
          </w:rPr>
          <w:t>https://scholarworks.calstate.edu/downloads/r494vs75n</w:t>
        </w:r>
      </w:hyperlink>
      <w:r w:rsidRPr="3FA7D6B2" w:rsidR="3436F073">
        <w:rPr>
          <w:rFonts w:ascii="Calibri" w:hAnsi="Calibri" w:eastAsia="Calibri" w:cs="Calibri" w:asciiTheme="minorAscii" w:hAnsiTheme="minorAscii" w:eastAsiaTheme="minorAscii" w:cstheme="minorAscii"/>
          <w:noProof w:val="0"/>
          <w:sz w:val="24"/>
          <w:szCs w:val="24"/>
          <w:lang w:val="en-US"/>
        </w:rPr>
        <w:t>.</w:t>
      </w:r>
    </w:p>
    <w:p w:rsidR="3436F073" w:rsidP="7376BE6A" w:rsidRDefault="3436F073" w14:paraId="7596CBD0" w14:textId="45B0B46C">
      <w:pPr>
        <w:pStyle w:val="Normal"/>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7376BE6A" w:rsidR="3436F073">
        <w:rPr>
          <w:rFonts w:ascii="Calibri" w:hAnsi="Calibri" w:eastAsia="Calibri" w:cs="Calibri" w:asciiTheme="minorAscii" w:hAnsiTheme="minorAscii" w:eastAsiaTheme="minorAscii" w:cstheme="minorAscii"/>
          <w:noProof w:val="0"/>
          <w:sz w:val="24"/>
          <w:szCs w:val="24"/>
          <w:lang w:val="en-US"/>
        </w:rPr>
        <w:t>(Accessed 11 February 2024).</w:t>
      </w:r>
    </w:p>
    <w:p w:rsidR="3436F073" w:rsidP="7376BE6A" w:rsidRDefault="3436F073" w14:paraId="45E35DA7" w14:textId="6B4D68BC">
      <w:pPr>
        <w:pStyle w:val="Normal"/>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3FA7D6B2" w:rsidR="3436F073">
        <w:rPr>
          <w:rFonts w:ascii="Calibri" w:hAnsi="Calibri" w:eastAsia="Calibri" w:cs="Calibri" w:asciiTheme="minorAscii" w:hAnsiTheme="minorAscii" w:eastAsiaTheme="minorAscii" w:cstheme="minorAscii"/>
          <w:noProof w:val="0"/>
          <w:sz w:val="24"/>
          <w:szCs w:val="24"/>
          <w:lang w:val="en-US"/>
        </w:rPr>
        <w:t xml:space="preserve">Dougherty, S. (2021). </w:t>
      </w:r>
      <w:r w:rsidRPr="3FA7D6B2" w:rsidR="3436F073">
        <w:rPr>
          <w:rFonts w:ascii="Calibri" w:hAnsi="Calibri" w:eastAsia="Calibri" w:cs="Calibri" w:asciiTheme="minorAscii" w:hAnsiTheme="minorAscii" w:eastAsiaTheme="minorAscii" w:cstheme="minorAscii"/>
          <w:i w:val="1"/>
          <w:iCs w:val="1"/>
          <w:noProof w:val="0"/>
          <w:sz w:val="24"/>
          <w:szCs w:val="24"/>
          <w:lang w:val="en-US"/>
        </w:rPr>
        <w:t>Gross Motor Brain Break Activities</w:t>
      </w:r>
      <w:r w:rsidRPr="3FA7D6B2" w:rsidR="3436F073">
        <w:rPr>
          <w:rFonts w:ascii="Calibri" w:hAnsi="Calibri" w:eastAsia="Calibri" w:cs="Calibri" w:asciiTheme="minorAscii" w:hAnsiTheme="minorAscii" w:eastAsiaTheme="minorAscii" w:cstheme="minorAscii"/>
          <w:noProof w:val="0"/>
          <w:sz w:val="24"/>
          <w:szCs w:val="24"/>
          <w:lang w:val="en-US"/>
        </w:rPr>
        <w:t xml:space="preserve">. [online] Project Play Therapy. Available at: </w:t>
      </w:r>
      <w:hyperlink r:id="Re675e222d23b475b">
        <w:r w:rsidRPr="3FA7D6B2" w:rsidR="3436F073">
          <w:rPr>
            <w:rStyle w:val="Hyperlink"/>
            <w:rFonts w:ascii="Calibri" w:hAnsi="Calibri" w:eastAsia="Calibri" w:cs="Calibri" w:asciiTheme="minorAscii" w:hAnsiTheme="minorAscii" w:eastAsiaTheme="minorAscii" w:cstheme="minorAscii"/>
            <w:noProof w:val="0"/>
            <w:sz w:val="24"/>
            <w:szCs w:val="24"/>
            <w:lang w:val="en-US"/>
          </w:rPr>
          <w:t>https://www.projectplaytherapy.com/gross-motor-brain-break-activities/</w:t>
        </w:r>
      </w:hyperlink>
      <w:r w:rsidRPr="3FA7D6B2" w:rsidR="3436F073">
        <w:rPr>
          <w:rFonts w:ascii="Calibri" w:hAnsi="Calibri" w:eastAsia="Calibri" w:cs="Calibri" w:asciiTheme="minorAscii" w:hAnsiTheme="minorAscii" w:eastAsiaTheme="minorAscii" w:cstheme="minorAscii"/>
          <w:noProof w:val="0"/>
          <w:sz w:val="24"/>
          <w:szCs w:val="24"/>
          <w:lang w:val="en-US"/>
        </w:rPr>
        <w:t xml:space="preserve"> </w:t>
      </w:r>
    </w:p>
    <w:p w:rsidR="3436F073" w:rsidP="7376BE6A" w:rsidRDefault="3436F073" w14:paraId="3FAB127A" w14:textId="5C745109">
      <w:pPr>
        <w:pStyle w:val="Normal"/>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7376BE6A" w:rsidR="3436F073">
        <w:rPr>
          <w:rFonts w:ascii="Calibri" w:hAnsi="Calibri" w:eastAsia="Calibri" w:cs="Calibri" w:asciiTheme="minorAscii" w:hAnsiTheme="minorAscii" w:eastAsiaTheme="minorAscii" w:cstheme="minorAscii"/>
          <w:noProof w:val="0"/>
          <w:sz w:val="24"/>
          <w:szCs w:val="24"/>
          <w:lang w:val="en-US"/>
        </w:rPr>
        <w:t>(Accessed 14 February 2024).</w:t>
      </w:r>
    </w:p>
    <w:p w:rsidR="3436F073" w:rsidP="7376BE6A" w:rsidRDefault="3436F073" w14:paraId="434641AA" w14:textId="525CC287">
      <w:pPr>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3FA7D6B2" w:rsidR="3436F073">
        <w:rPr>
          <w:rFonts w:ascii="Calibri" w:hAnsi="Calibri" w:eastAsia="Calibri" w:cs="Calibri" w:asciiTheme="minorAscii" w:hAnsiTheme="minorAscii" w:eastAsiaTheme="minorAscii" w:cstheme="minorAscii"/>
          <w:noProof w:val="0"/>
          <w:sz w:val="24"/>
          <w:szCs w:val="24"/>
          <w:lang w:val="en-US"/>
        </w:rPr>
        <w:t xml:space="preserve">Early Years Staffroom (2017). </w:t>
      </w:r>
      <w:r w:rsidRPr="3FA7D6B2" w:rsidR="3436F073">
        <w:rPr>
          <w:rFonts w:ascii="Calibri" w:hAnsi="Calibri" w:eastAsia="Calibri" w:cs="Calibri" w:asciiTheme="minorAscii" w:hAnsiTheme="minorAscii" w:eastAsiaTheme="minorAscii" w:cstheme="minorAscii"/>
          <w:i w:val="1"/>
          <w:iCs w:val="1"/>
          <w:noProof w:val="0"/>
          <w:sz w:val="24"/>
          <w:szCs w:val="24"/>
          <w:lang w:val="en-US"/>
        </w:rPr>
        <w:t>Leuven Scales</w:t>
      </w:r>
      <w:r w:rsidRPr="3FA7D6B2" w:rsidR="3436F073">
        <w:rPr>
          <w:rFonts w:ascii="Calibri" w:hAnsi="Calibri" w:eastAsia="Calibri" w:cs="Calibri" w:asciiTheme="minorAscii" w:hAnsiTheme="minorAscii" w:eastAsiaTheme="minorAscii" w:cstheme="minorAscii"/>
          <w:noProof w:val="0"/>
          <w:sz w:val="24"/>
          <w:szCs w:val="24"/>
          <w:lang w:val="en-US"/>
        </w:rPr>
        <w:t xml:space="preserve">. [online] Early Years Staffroom. Available at: </w:t>
      </w:r>
      <w:hyperlink r:id="R952de8e6479c402b">
        <w:r w:rsidRPr="3FA7D6B2" w:rsidR="3436F073">
          <w:rPr>
            <w:rStyle w:val="Hyperlink"/>
            <w:rFonts w:ascii="Calibri" w:hAnsi="Calibri" w:eastAsia="Calibri" w:cs="Calibri" w:asciiTheme="minorAscii" w:hAnsiTheme="minorAscii" w:eastAsiaTheme="minorAscii" w:cstheme="minorAscii"/>
            <w:noProof w:val="0"/>
            <w:sz w:val="24"/>
            <w:szCs w:val="24"/>
            <w:lang w:val="en-US"/>
          </w:rPr>
          <w:t>https://www.earlyyearsstaffroom.com/eysresources/leuven-scales-download/</w:t>
        </w:r>
      </w:hyperlink>
      <w:r w:rsidRPr="3FA7D6B2" w:rsidR="3436F073">
        <w:rPr>
          <w:rFonts w:ascii="Calibri" w:hAnsi="Calibri" w:eastAsia="Calibri" w:cs="Calibri" w:asciiTheme="minorAscii" w:hAnsiTheme="minorAscii" w:eastAsiaTheme="minorAscii" w:cstheme="minorAscii"/>
          <w:noProof w:val="0"/>
          <w:sz w:val="24"/>
          <w:szCs w:val="24"/>
          <w:lang w:val="en-US"/>
        </w:rPr>
        <w:t xml:space="preserve"> </w:t>
      </w:r>
    </w:p>
    <w:p w:rsidR="3436F073" w:rsidP="7376BE6A" w:rsidRDefault="3436F073" w14:paraId="0759421B" w14:textId="3C1983CE">
      <w:pPr>
        <w:pStyle w:val="Normal"/>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7376BE6A" w:rsidR="3436F073">
        <w:rPr>
          <w:rFonts w:ascii="Calibri" w:hAnsi="Calibri" w:eastAsia="Calibri" w:cs="Calibri" w:asciiTheme="minorAscii" w:hAnsiTheme="minorAscii" w:eastAsiaTheme="minorAscii" w:cstheme="minorAscii"/>
          <w:noProof w:val="0"/>
          <w:sz w:val="24"/>
          <w:szCs w:val="24"/>
          <w:lang w:val="en-US"/>
        </w:rPr>
        <w:t>(Accessed 8 February 2024).</w:t>
      </w:r>
    </w:p>
    <w:p w:rsidR="3436F073" w:rsidP="7376BE6A" w:rsidRDefault="3436F073" w14:paraId="399280FC" w14:textId="33AD86AE">
      <w:pPr>
        <w:pStyle w:val="Normal"/>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3FA7D6B2" w:rsidR="3436F073">
        <w:rPr>
          <w:rFonts w:ascii="Calibri" w:hAnsi="Calibri" w:eastAsia="Calibri" w:cs="Calibri" w:asciiTheme="minorAscii" w:hAnsiTheme="minorAscii" w:eastAsiaTheme="minorAscii" w:cstheme="minorAscii"/>
          <w:noProof w:val="0"/>
          <w:sz w:val="24"/>
          <w:szCs w:val="24"/>
          <w:lang w:val="en-US"/>
        </w:rPr>
        <w:t xml:space="preserve">Government, W. (2020). </w:t>
      </w:r>
      <w:r w:rsidRPr="3FA7D6B2" w:rsidR="3436F073">
        <w:rPr>
          <w:rFonts w:ascii="Calibri" w:hAnsi="Calibri" w:eastAsia="Calibri" w:cs="Calibri" w:asciiTheme="minorAscii" w:hAnsiTheme="minorAscii" w:eastAsiaTheme="minorAscii" w:cstheme="minorAscii"/>
          <w:i w:val="1"/>
          <w:iCs w:val="1"/>
          <w:noProof w:val="0"/>
          <w:sz w:val="24"/>
          <w:szCs w:val="24"/>
          <w:lang w:val="en-US"/>
        </w:rPr>
        <w:t>The new Curriculum for Wales An easy read guide for young people</w:t>
      </w:r>
      <w:r w:rsidRPr="3FA7D6B2" w:rsidR="3436F073">
        <w:rPr>
          <w:rFonts w:ascii="Calibri" w:hAnsi="Calibri" w:eastAsia="Calibri" w:cs="Calibri" w:asciiTheme="minorAscii" w:hAnsiTheme="minorAscii" w:eastAsiaTheme="minorAscii" w:cstheme="minorAscii"/>
          <w:noProof w:val="0"/>
          <w:sz w:val="24"/>
          <w:szCs w:val="24"/>
          <w:lang w:val="en-US"/>
        </w:rPr>
        <w:t xml:space="preserve">. [online] Available at: </w:t>
      </w:r>
      <w:hyperlink r:id="R921c23ba90a54c9d">
        <w:r w:rsidRPr="3FA7D6B2" w:rsidR="3436F073">
          <w:rPr>
            <w:rStyle w:val="Hyperlink"/>
            <w:rFonts w:ascii="Calibri" w:hAnsi="Calibri" w:eastAsia="Calibri" w:cs="Calibri" w:asciiTheme="minorAscii" w:hAnsiTheme="minorAscii" w:eastAsiaTheme="minorAscii" w:cstheme="minorAscii"/>
            <w:noProof w:val="0"/>
            <w:sz w:val="24"/>
            <w:szCs w:val="24"/>
            <w:lang w:val="en-US"/>
          </w:rPr>
          <w:t>https://hwb.gov.wales/api/storage/e4dcdb2e-f87f-4f00-b110-488289cc02ca/220209-easy-read.pdf</w:t>
        </w:r>
      </w:hyperlink>
      <w:r w:rsidRPr="3FA7D6B2" w:rsidR="3436F073">
        <w:rPr>
          <w:rFonts w:ascii="Calibri" w:hAnsi="Calibri" w:eastAsia="Calibri" w:cs="Calibri" w:asciiTheme="minorAscii" w:hAnsiTheme="minorAscii" w:eastAsiaTheme="minorAscii" w:cstheme="minorAscii"/>
          <w:noProof w:val="0"/>
          <w:sz w:val="24"/>
          <w:szCs w:val="24"/>
          <w:lang w:val="en-US"/>
        </w:rPr>
        <w:t>.</w:t>
      </w:r>
    </w:p>
    <w:p w:rsidR="3436F073" w:rsidP="7376BE6A" w:rsidRDefault="3436F073" w14:paraId="054E29EB" w14:textId="5AAEDC5F">
      <w:pPr>
        <w:pStyle w:val="Normal"/>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7376BE6A" w:rsidR="3436F073">
        <w:rPr>
          <w:rFonts w:ascii="Calibri" w:hAnsi="Calibri" w:eastAsia="Calibri" w:cs="Calibri" w:asciiTheme="minorAscii" w:hAnsiTheme="minorAscii" w:eastAsiaTheme="minorAscii" w:cstheme="minorAscii"/>
          <w:noProof w:val="0"/>
          <w:sz w:val="24"/>
          <w:szCs w:val="24"/>
          <w:lang w:val="en-US"/>
        </w:rPr>
        <w:t>(Accessed 3 February 2024).</w:t>
      </w:r>
    </w:p>
    <w:p w:rsidR="3436F073" w:rsidP="7376BE6A" w:rsidRDefault="3436F073" w14:paraId="75DB953F" w14:textId="20EC3B41">
      <w:pPr>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7376BE6A" w:rsidR="3436F073">
        <w:rPr>
          <w:rFonts w:ascii="Calibri" w:hAnsi="Calibri" w:eastAsia="Calibri" w:cs="Calibri" w:asciiTheme="minorAscii" w:hAnsiTheme="minorAscii" w:eastAsiaTheme="minorAscii" w:cstheme="minorAscii"/>
          <w:noProof w:val="0"/>
          <w:sz w:val="24"/>
          <w:szCs w:val="24"/>
          <w:lang w:val="en-US"/>
        </w:rPr>
        <w:t xml:space="preserve">Gregory, I. (2003). </w:t>
      </w:r>
      <w:r w:rsidRPr="7376BE6A" w:rsidR="3436F073">
        <w:rPr>
          <w:rFonts w:ascii="Calibri" w:hAnsi="Calibri" w:eastAsia="Calibri" w:cs="Calibri" w:asciiTheme="minorAscii" w:hAnsiTheme="minorAscii" w:eastAsiaTheme="minorAscii" w:cstheme="minorAscii"/>
          <w:i w:val="1"/>
          <w:iCs w:val="1"/>
          <w:noProof w:val="0"/>
          <w:sz w:val="24"/>
          <w:szCs w:val="24"/>
          <w:lang w:val="en-US"/>
        </w:rPr>
        <w:t>Ethics in research</w:t>
      </w:r>
      <w:r w:rsidRPr="7376BE6A" w:rsidR="3436F073">
        <w:rPr>
          <w:rFonts w:ascii="Calibri" w:hAnsi="Calibri" w:eastAsia="Calibri" w:cs="Calibri" w:asciiTheme="minorAscii" w:hAnsiTheme="minorAscii" w:eastAsiaTheme="minorAscii" w:cstheme="minorAscii"/>
          <w:noProof w:val="0"/>
          <w:sz w:val="24"/>
          <w:szCs w:val="24"/>
          <w:lang w:val="en-US"/>
        </w:rPr>
        <w:t>. London: Continuum.</w:t>
      </w:r>
    </w:p>
    <w:p w:rsidR="3436F073" w:rsidP="7376BE6A" w:rsidRDefault="3436F073" w14:paraId="2D778CD9" w14:textId="38B1D4BD">
      <w:pPr>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7376BE6A" w:rsidR="3436F073">
        <w:rPr>
          <w:rFonts w:ascii="Calibri" w:hAnsi="Calibri" w:eastAsia="Calibri" w:cs="Calibri" w:asciiTheme="minorAscii" w:hAnsiTheme="minorAscii" w:eastAsiaTheme="minorAscii" w:cstheme="minorAscii"/>
          <w:noProof w:val="0"/>
          <w:sz w:val="24"/>
          <w:szCs w:val="24"/>
          <w:lang w:val="en-US"/>
        </w:rPr>
        <w:t xml:space="preserve">Hirsch, E.D. (2010). </w:t>
      </w:r>
      <w:r w:rsidRPr="7376BE6A" w:rsidR="3436F073">
        <w:rPr>
          <w:rFonts w:ascii="Calibri" w:hAnsi="Calibri" w:eastAsia="Calibri" w:cs="Calibri" w:asciiTheme="minorAscii" w:hAnsiTheme="minorAscii" w:eastAsiaTheme="minorAscii" w:cstheme="minorAscii"/>
          <w:i w:val="1"/>
          <w:iCs w:val="1"/>
          <w:noProof w:val="0"/>
          <w:sz w:val="24"/>
          <w:szCs w:val="24"/>
          <w:lang w:val="en-US"/>
        </w:rPr>
        <w:t>The Schools We Need</w:t>
      </w:r>
      <w:r w:rsidRPr="7376BE6A" w:rsidR="3436F073">
        <w:rPr>
          <w:rFonts w:ascii="Calibri" w:hAnsi="Calibri" w:eastAsia="Calibri" w:cs="Calibri" w:asciiTheme="minorAscii" w:hAnsiTheme="minorAscii" w:eastAsiaTheme="minorAscii" w:cstheme="minorAscii"/>
          <w:noProof w:val="0"/>
          <w:sz w:val="24"/>
          <w:szCs w:val="24"/>
          <w:lang w:val="en-US"/>
        </w:rPr>
        <w:t>. Anchor.</w:t>
      </w:r>
    </w:p>
    <w:p w:rsidR="3436F073" w:rsidP="7376BE6A" w:rsidRDefault="3436F073" w14:paraId="4B1D5C19" w14:textId="04A82B01">
      <w:pPr>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3FA7D6B2" w:rsidR="3436F073">
        <w:rPr>
          <w:rFonts w:ascii="Calibri" w:hAnsi="Calibri" w:eastAsia="Calibri" w:cs="Calibri" w:asciiTheme="minorAscii" w:hAnsiTheme="minorAscii" w:eastAsiaTheme="minorAscii" w:cstheme="minorAscii"/>
          <w:noProof w:val="0"/>
          <w:sz w:val="24"/>
          <w:szCs w:val="24"/>
          <w:lang w:val="en-US"/>
        </w:rPr>
        <w:t xml:space="preserve">Jackson, L. (2023). </w:t>
      </w:r>
      <w:r w:rsidRPr="3FA7D6B2" w:rsidR="3436F073">
        <w:rPr>
          <w:rFonts w:ascii="Calibri" w:hAnsi="Calibri" w:eastAsia="Calibri" w:cs="Calibri" w:asciiTheme="minorAscii" w:hAnsiTheme="minorAscii" w:eastAsiaTheme="minorAscii" w:cstheme="minorAscii"/>
          <w:i w:val="1"/>
          <w:iCs w:val="1"/>
          <w:noProof w:val="0"/>
          <w:sz w:val="24"/>
          <w:szCs w:val="24"/>
          <w:lang w:val="en-US"/>
        </w:rPr>
        <w:t>How to explain the Leuven Scale to your nursery parents</w:t>
      </w:r>
      <w:r w:rsidRPr="3FA7D6B2" w:rsidR="3436F073">
        <w:rPr>
          <w:rFonts w:ascii="Calibri" w:hAnsi="Calibri" w:eastAsia="Calibri" w:cs="Calibri" w:asciiTheme="minorAscii" w:hAnsiTheme="minorAscii" w:eastAsiaTheme="minorAscii" w:cstheme="minorAscii"/>
          <w:noProof w:val="0"/>
          <w:sz w:val="24"/>
          <w:szCs w:val="24"/>
          <w:lang w:val="en-US"/>
        </w:rPr>
        <w:t xml:space="preserve">. [online] Blossom Educational. Available at: </w:t>
      </w:r>
      <w:hyperlink r:id="R7320a79d028d4b20">
        <w:r w:rsidRPr="3FA7D6B2" w:rsidR="3436F073">
          <w:rPr>
            <w:rStyle w:val="Hyperlink"/>
            <w:rFonts w:ascii="Calibri" w:hAnsi="Calibri" w:eastAsia="Calibri" w:cs="Calibri" w:asciiTheme="minorAscii" w:hAnsiTheme="minorAscii" w:eastAsiaTheme="minorAscii" w:cstheme="minorAscii"/>
            <w:noProof w:val="0"/>
            <w:sz w:val="24"/>
            <w:szCs w:val="24"/>
            <w:lang w:val="en-US"/>
          </w:rPr>
          <w:t>https://blossomeducational.com/blog/how-to-explain-the-leuven-scale-to-your-nursery-parents/</w:t>
        </w:r>
      </w:hyperlink>
      <w:r w:rsidRPr="3FA7D6B2" w:rsidR="3436F073">
        <w:rPr>
          <w:rFonts w:ascii="Calibri" w:hAnsi="Calibri" w:eastAsia="Calibri" w:cs="Calibri" w:asciiTheme="minorAscii" w:hAnsiTheme="minorAscii" w:eastAsiaTheme="minorAscii" w:cstheme="minorAscii"/>
          <w:noProof w:val="0"/>
          <w:sz w:val="24"/>
          <w:szCs w:val="24"/>
          <w:lang w:val="en-US"/>
        </w:rPr>
        <w:t>.</w:t>
      </w:r>
    </w:p>
    <w:p w:rsidR="3436F073" w:rsidP="7376BE6A" w:rsidRDefault="3436F073" w14:paraId="364BC20E" w14:textId="4864D334">
      <w:pPr>
        <w:pStyle w:val="Normal"/>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7376BE6A" w:rsidR="3436F073">
        <w:rPr>
          <w:rFonts w:ascii="Calibri" w:hAnsi="Calibri" w:eastAsia="Calibri" w:cs="Calibri" w:asciiTheme="minorAscii" w:hAnsiTheme="minorAscii" w:eastAsiaTheme="minorAscii" w:cstheme="minorAscii"/>
          <w:noProof w:val="0"/>
          <w:sz w:val="24"/>
          <w:szCs w:val="24"/>
          <w:lang w:val="en-US"/>
        </w:rPr>
        <w:t>(Accessed 21 February 2024).</w:t>
      </w:r>
    </w:p>
    <w:p w:rsidR="3436F073" w:rsidP="7376BE6A" w:rsidRDefault="3436F073" w14:paraId="67A48485" w14:textId="6B1DE217">
      <w:pPr>
        <w:pStyle w:val="Normal"/>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7376BE6A" w:rsidR="3436F073">
        <w:rPr>
          <w:rFonts w:ascii="Calibri" w:hAnsi="Calibri" w:eastAsia="Calibri" w:cs="Calibri" w:asciiTheme="minorAscii" w:hAnsiTheme="minorAscii" w:eastAsiaTheme="minorAscii" w:cstheme="minorAscii"/>
          <w:noProof w:val="0"/>
          <w:sz w:val="24"/>
          <w:szCs w:val="24"/>
          <w:lang w:val="en-US"/>
        </w:rPr>
        <w:t xml:space="preserve">Kieran O'mahony (2021). </w:t>
      </w:r>
      <w:r w:rsidRPr="7376BE6A" w:rsidR="3436F073">
        <w:rPr>
          <w:rFonts w:ascii="Calibri" w:hAnsi="Calibri" w:eastAsia="Calibri" w:cs="Calibri" w:asciiTheme="minorAscii" w:hAnsiTheme="minorAscii" w:eastAsiaTheme="minorAscii" w:cstheme="minorAscii"/>
          <w:i w:val="1"/>
          <w:iCs w:val="1"/>
          <w:noProof w:val="0"/>
          <w:sz w:val="24"/>
          <w:szCs w:val="24"/>
          <w:lang w:val="en-US"/>
        </w:rPr>
        <w:t xml:space="preserve">The brain-based </w:t>
      </w:r>
      <w:r w:rsidRPr="7376BE6A" w:rsidR="3436F073">
        <w:rPr>
          <w:rFonts w:ascii="Calibri" w:hAnsi="Calibri" w:eastAsia="Calibri" w:cs="Calibri" w:asciiTheme="minorAscii" w:hAnsiTheme="minorAscii" w:eastAsiaTheme="minorAscii" w:cstheme="minorAscii"/>
          <w:i w:val="1"/>
          <w:iCs w:val="1"/>
          <w:noProof w:val="0"/>
          <w:sz w:val="24"/>
          <w:szCs w:val="24"/>
          <w:lang w:val="en-US"/>
        </w:rPr>
        <w:t>classroom :</w:t>
      </w:r>
      <w:r w:rsidRPr="7376BE6A" w:rsidR="3436F073">
        <w:rPr>
          <w:rFonts w:ascii="Calibri" w:hAnsi="Calibri" w:eastAsia="Calibri" w:cs="Calibri" w:asciiTheme="minorAscii" w:hAnsiTheme="minorAscii" w:eastAsiaTheme="minorAscii" w:cstheme="minorAscii"/>
          <w:i w:val="1"/>
          <w:iCs w:val="1"/>
          <w:noProof w:val="0"/>
          <w:sz w:val="24"/>
          <w:szCs w:val="24"/>
          <w:lang w:val="en-US"/>
        </w:rPr>
        <w:t xml:space="preserve"> accessing every child’s potential through educational neuroscience</w:t>
      </w:r>
      <w:r w:rsidRPr="7376BE6A" w:rsidR="3436F073">
        <w:rPr>
          <w:rFonts w:ascii="Calibri" w:hAnsi="Calibri" w:eastAsia="Calibri" w:cs="Calibri" w:asciiTheme="minorAscii" w:hAnsiTheme="minorAscii" w:eastAsiaTheme="minorAscii" w:cstheme="minorAscii"/>
          <w:noProof w:val="0"/>
          <w:sz w:val="24"/>
          <w:szCs w:val="24"/>
          <w:lang w:val="en-US"/>
        </w:rPr>
        <w:t>. New York, Ny: Routledge, Taylor &amp; Francis Group.</w:t>
      </w:r>
    </w:p>
    <w:p w:rsidR="3436F073" w:rsidP="7376BE6A" w:rsidRDefault="3436F073" w14:paraId="7A5C3026" w14:textId="4A19960B">
      <w:pPr>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3FA7D6B2" w:rsidR="3436F073">
        <w:rPr>
          <w:rFonts w:ascii="Calibri" w:hAnsi="Calibri" w:eastAsia="Calibri" w:cs="Calibri" w:asciiTheme="minorAscii" w:hAnsiTheme="minorAscii" w:eastAsiaTheme="minorAscii" w:cstheme="minorAscii"/>
          <w:noProof w:val="0"/>
          <w:sz w:val="24"/>
          <w:szCs w:val="24"/>
          <w:lang w:val="en-US"/>
        </w:rPr>
        <w:t xml:space="preserve">Morin, A. (2021). </w:t>
      </w:r>
      <w:r w:rsidRPr="3FA7D6B2" w:rsidR="3436F073">
        <w:rPr>
          <w:rFonts w:ascii="Calibri" w:hAnsi="Calibri" w:eastAsia="Calibri" w:cs="Calibri" w:asciiTheme="minorAscii" w:hAnsiTheme="minorAscii" w:eastAsiaTheme="minorAscii" w:cstheme="minorAscii"/>
          <w:i w:val="1"/>
          <w:iCs w:val="1"/>
          <w:noProof w:val="0"/>
          <w:sz w:val="24"/>
          <w:szCs w:val="24"/>
          <w:lang w:val="en-US"/>
        </w:rPr>
        <w:t>Behavior Strategy: How to Use Brain Breaks in the Classroom</w:t>
      </w:r>
      <w:r w:rsidRPr="3FA7D6B2" w:rsidR="3436F073">
        <w:rPr>
          <w:rFonts w:ascii="Calibri" w:hAnsi="Calibri" w:eastAsia="Calibri" w:cs="Calibri" w:asciiTheme="minorAscii" w:hAnsiTheme="minorAscii" w:eastAsiaTheme="minorAscii" w:cstheme="minorAscii"/>
          <w:noProof w:val="0"/>
          <w:sz w:val="24"/>
          <w:szCs w:val="24"/>
          <w:lang w:val="en-US"/>
        </w:rPr>
        <w:t xml:space="preserve">. [online] </w:t>
      </w:r>
      <w:r w:rsidRPr="3FA7D6B2" w:rsidR="3436F073">
        <w:rPr>
          <w:rStyle w:val="Hyperlink"/>
          <w:rFonts w:ascii="Calibri" w:hAnsi="Calibri" w:eastAsia="Calibri" w:cs="Calibri" w:asciiTheme="minorAscii" w:hAnsiTheme="minorAscii" w:eastAsiaTheme="minorAscii" w:cstheme="minorAscii"/>
          <w:noProof w:val="0"/>
          <w:sz w:val="24"/>
          <w:szCs w:val="24"/>
          <w:lang w:val="en-US"/>
        </w:rPr>
        <w:t>www.understood.org</w:t>
      </w:r>
      <w:r w:rsidRPr="3FA7D6B2" w:rsidR="3436F073">
        <w:rPr>
          <w:rFonts w:ascii="Calibri" w:hAnsi="Calibri" w:eastAsia="Calibri" w:cs="Calibri" w:asciiTheme="minorAscii" w:hAnsiTheme="minorAscii" w:eastAsiaTheme="minorAscii" w:cstheme="minorAscii"/>
          <w:noProof w:val="0"/>
          <w:sz w:val="24"/>
          <w:szCs w:val="24"/>
          <w:lang w:val="en-US"/>
        </w:rPr>
        <w:t xml:space="preserve">. Available at: </w:t>
      </w:r>
      <w:hyperlink r:id="R6ecc40f2f245438f">
        <w:r w:rsidRPr="3FA7D6B2" w:rsidR="3436F073">
          <w:rPr>
            <w:rStyle w:val="Hyperlink"/>
            <w:rFonts w:ascii="Calibri" w:hAnsi="Calibri" w:eastAsia="Calibri" w:cs="Calibri" w:asciiTheme="minorAscii" w:hAnsiTheme="minorAscii" w:eastAsiaTheme="minorAscii" w:cstheme="minorAscii"/>
            <w:noProof w:val="0"/>
            <w:sz w:val="24"/>
            <w:szCs w:val="24"/>
            <w:lang w:val="en-US"/>
          </w:rPr>
          <w:t>https://www.understood.org/en/articles/evidence-based-behavior-strategy-brain-breaks</w:t>
        </w:r>
      </w:hyperlink>
      <w:r w:rsidRPr="3FA7D6B2" w:rsidR="3436F073">
        <w:rPr>
          <w:rFonts w:ascii="Calibri" w:hAnsi="Calibri" w:eastAsia="Calibri" w:cs="Calibri" w:asciiTheme="minorAscii" w:hAnsiTheme="minorAscii" w:eastAsiaTheme="minorAscii" w:cstheme="minorAscii"/>
          <w:noProof w:val="0"/>
          <w:sz w:val="24"/>
          <w:szCs w:val="24"/>
          <w:lang w:val="en-US"/>
        </w:rPr>
        <w:t>.</w:t>
      </w:r>
    </w:p>
    <w:p w:rsidR="3436F073" w:rsidP="7376BE6A" w:rsidRDefault="3436F073" w14:paraId="1EE24F5D" w14:textId="4936820B">
      <w:pPr>
        <w:pStyle w:val="Normal"/>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7376BE6A" w:rsidR="3436F073">
        <w:rPr>
          <w:rFonts w:ascii="Calibri" w:hAnsi="Calibri" w:eastAsia="Calibri" w:cs="Calibri" w:asciiTheme="minorAscii" w:hAnsiTheme="minorAscii" w:eastAsiaTheme="minorAscii" w:cstheme="minorAscii"/>
          <w:noProof w:val="0"/>
          <w:sz w:val="24"/>
          <w:szCs w:val="24"/>
          <w:lang w:val="en-US"/>
        </w:rPr>
        <w:t>(Accessed 21 February 2024).</w:t>
      </w:r>
    </w:p>
    <w:p w:rsidR="3436F073" w:rsidP="7376BE6A" w:rsidRDefault="3436F073" w14:paraId="5F5DC4E0" w14:textId="101A75D7">
      <w:pPr>
        <w:pStyle w:val="Normal"/>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7376BE6A" w:rsidR="3436F073">
        <w:rPr>
          <w:rFonts w:ascii="Calibri" w:hAnsi="Calibri" w:eastAsia="Calibri" w:cs="Calibri" w:asciiTheme="minorAscii" w:hAnsiTheme="minorAscii" w:eastAsiaTheme="minorAscii" w:cstheme="minorAscii"/>
          <w:noProof w:val="0"/>
          <w:sz w:val="24"/>
          <w:szCs w:val="24"/>
          <w:lang w:val="en-US"/>
        </w:rPr>
        <w:t>Oecd</w:t>
      </w:r>
      <w:r w:rsidRPr="7376BE6A" w:rsidR="3436F073">
        <w:rPr>
          <w:rFonts w:ascii="Calibri" w:hAnsi="Calibri" w:eastAsia="Calibri" w:cs="Calibri" w:asciiTheme="minorAscii" w:hAnsiTheme="minorAscii" w:eastAsiaTheme="minorAscii" w:cstheme="minorAscii"/>
          <w:noProof w:val="0"/>
          <w:sz w:val="24"/>
          <w:szCs w:val="24"/>
          <w:lang w:val="en-US"/>
        </w:rPr>
        <w:t xml:space="preserve"> (2020). </w:t>
      </w:r>
      <w:r w:rsidRPr="7376BE6A" w:rsidR="3436F073">
        <w:rPr>
          <w:rFonts w:ascii="Calibri" w:hAnsi="Calibri" w:eastAsia="Calibri" w:cs="Calibri" w:asciiTheme="minorAscii" w:hAnsiTheme="minorAscii" w:eastAsiaTheme="minorAscii" w:cstheme="minorAscii"/>
          <w:i w:val="1"/>
          <w:iCs w:val="1"/>
          <w:noProof w:val="0"/>
          <w:sz w:val="24"/>
          <w:szCs w:val="24"/>
          <w:lang w:val="en-US"/>
        </w:rPr>
        <w:t xml:space="preserve">Implementing Education Policies Achieving </w:t>
      </w:r>
      <w:r w:rsidRPr="7376BE6A" w:rsidR="3436F073">
        <w:rPr>
          <w:rFonts w:ascii="Calibri" w:hAnsi="Calibri" w:eastAsia="Calibri" w:cs="Calibri" w:asciiTheme="minorAscii" w:hAnsiTheme="minorAscii" w:eastAsiaTheme="minorAscii" w:cstheme="minorAscii"/>
          <w:i w:val="1"/>
          <w:iCs w:val="1"/>
          <w:noProof w:val="0"/>
          <w:sz w:val="24"/>
          <w:szCs w:val="24"/>
          <w:lang w:val="en-US"/>
        </w:rPr>
        <w:t>The</w:t>
      </w:r>
      <w:r w:rsidRPr="7376BE6A" w:rsidR="3436F073">
        <w:rPr>
          <w:rFonts w:ascii="Calibri" w:hAnsi="Calibri" w:eastAsia="Calibri" w:cs="Calibri" w:asciiTheme="minorAscii" w:hAnsiTheme="minorAscii" w:eastAsiaTheme="minorAscii" w:cstheme="minorAscii"/>
          <w:i w:val="1"/>
          <w:iCs w:val="1"/>
          <w:noProof w:val="0"/>
          <w:sz w:val="24"/>
          <w:szCs w:val="24"/>
          <w:lang w:val="en-US"/>
        </w:rPr>
        <w:t xml:space="preserve"> New Curriculum </w:t>
      </w:r>
      <w:r w:rsidRPr="7376BE6A" w:rsidR="3436F073">
        <w:rPr>
          <w:rFonts w:ascii="Calibri" w:hAnsi="Calibri" w:eastAsia="Calibri" w:cs="Calibri" w:asciiTheme="minorAscii" w:hAnsiTheme="minorAscii" w:eastAsiaTheme="minorAscii" w:cstheme="minorAscii"/>
          <w:i w:val="1"/>
          <w:iCs w:val="1"/>
          <w:noProof w:val="0"/>
          <w:sz w:val="24"/>
          <w:szCs w:val="24"/>
          <w:lang w:val="en-US"/>
        </w:rPr>
        <w:t>For</w:t>
      </w:r>
      <w:r w:rsidRPr="7376BE6A" w:rsidR="3436F073">
        <w:rPr>
          <w:rFonts w:ascii="Calibri" w:hAnsi="Calibri" w:eastAsia="Calibri" w:cs="Calibri" w:asciiTheme="minorAscii" w:hAnsiTheme="minorAscii" w:eastAsiaTheme="minorAscii" w:cstheme="minorAscii"/>
          <w:i w:val="1"/>
          <w:iCs w:val="1"/>
          <w:noProof w:val="0"/>
          <w:sz w:val="24"/>
          <w:szCs w:val="24"/>
          <w:lang w:val="en-US"/>
        </w:rPr>
        <w:t xml:space="preserve"> Wales.</w:t>
      </w:r>
      <w:r w:rsidRPr="7376BE6A" w:rsidR="3436F073">
        <w:rPr>
          <w:rFonts w:ascii="Calibri" w:hAnsi="Calibri" w:eastAsia="Calibri" w:cs="Calibri" w:asciiTheme="minorAscii" w:hAnsiTheme="minorAscii" w:eastAsiaTheme="minorAscii" w:cstheme="minorAscii"/>
          <w:noProof w:val="0"/>
          <w:sz w:val="24"/>
          <w:szCs w:val="24"/>
          <w:lang w:val="en-US"/>
        </w:rPr>
        <w:t xml:space="preserve"> S.L.: </w:t>
      </w:r>
      <w:r w:rsidRPr="7376BE6A" w:rsidR="3436F073">
        <w:rPr>
          <w:rFonts w:ascii="Calibri" w:hAnsi="Calibri" w:eastAsia="Calibri" w:cs="Calibri" w:asciiTheme="minorAscii" w:hAnsiTheme="minorAscii" w:eastAsiaTheme="minorAscii" w:cstheme="minorAscii"/>
          <w:noProof w:val="0"/>
          <w:sz w:val="24"/>
          <w:szCs w:val="24"/>
          <w:lang w:val="en-US"/>
        </w:rPr>
        <w:t>Oecd</w:t>
      </w:r>
      <w:r w:rsidRPr="7376BE6A" w:rsidR="3436F073">
        <w:rPr>
          <w:rFonts w:ascii="Calibri" w:hAnsi="Calibri" w:eastAsia="Calibri" w:cs="Calibri" w:asciiTheme="minorAscii" w:hAnsiTheme="minorAscii" w:eastAsiaTheme="minorAscii" w:cstheme="minorAscii"/>
          <w:noProof w:val="0"/>
          <w:sz w:val="24"/>
          <w:szCs w:val="24"/>
          <w:lang w:val="en-US"/>
        </w:rPr>
        <w:t>.</w:t>
      </w:r>
    </w:p>
    <w:p w:rsidR="3436F073" w:rsidP="7376BE6A" w:rsidRDefault="3436F073" w14:paraId="185B1055" w14:textId="715DFDC7">
      <w:pPr>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3FA7D6B2" w:rsidR="3436F073">
        <w:rPr>
          <w:rFonts w:ascii="Calibri" w:hAnsi="Calibri" w:eastAsia="Calibri" w:cs="Calibri" w:asciiTheme="minorAscii" w:hAnsiTheme="minorAscii" w:eastAsiaTheme="minorAscii" w:cstheme="minorAscii"/>
          <w:noProof w:val="0"/>
          <w:sz w:val="24"/>
          <w:szCs w:val="24"/>
          <w:lang w:val="en-US"/>
        </w:rPr>
        <w:t xml:space="preserve">Ratey, D.J. (2022). Get Physical. </w:t>
      </w:r>
      <w:r w:rsidRPr="3FA7D6B2" w:rsidR="3436F073">
        <w:rPr>
          <w:rFonts w:ascii="Calibri" w:hAnsi="Calibri" w:eastAsia="Calibri" w:cs="Calibri" w:asciiTheme="minorAscii" w:hAnsiTheme="minorAscii" w:eastAsiaTheme="minorAscii" w:cstheme="minorAscii"/>
          <w:i w:val="1"/>
          <w:iCs w:val="1"/>
          <w:noProof w:val="0"/>
          <w:sz w:val="24"/>
          <w:szCs w:val="24"/>
          <w:lang w:val="en-US"/>
        </w:rPr>
        <w:t>Get Physical</w:t>
      </w:r>
      <w:r w:rsidRPr="3FA7D6B2" w:rsidR="3436F073">
        <w:rPr>
          <w:rFonts w:ascii="Calibri" w:hAnsi="Calibri" w:eastAsia="Calibri" w:cs="Calibri" w:asciiTheme="minorAscii" w:hAnsiTheme="minorAscii" w:eastAsiaTheme="minorAscii" w:cstheme="minorAscii"/>
          <w:noProof w:val="0"/>
          <w:sz w:val="24"/>
          <w:szCs w:val="24"/>
          <w:lang w:val="en-US"/>
        </w:rPr>
        <w:t xml:space="preserve">. Available at: </w:t>
      </w:r>
      <w:hyperlink r:id="Raaa7473d0d0c46ac">
        <w:r w:rsidRPr="3FA7D6B2" w:rsidR="3436F073">
          <w:rPr>
            <w:rStyle w:val="Hyperlink"/>
            <w:rFonts w:ascii="Calibri" w:hAnsi="Calibri" w:eastAsia="Calibri" w:cs="Calibri" w:asciiTheme="minorAscii" w:hAnsiTheme="minorAscii" w:eastAsiaTheme="minorAscii" w:cstheme="minorAscii"/>
            <w:noProof w:val="0"/>
            <w:sz w:val="24"/>
            <w:szCs w:val="24"/>
            <w:lang w:val="en-US"/>
          </w:rPr>
          <w:t>https://eu.ocala.com/story/news/2002/11/07/get-physical/31268911007/</w:t>
        </w:r>
      </w:hyperlink>
      <w:r w:rsidRPr="3FA7D6B2" w:rsidR="3436F073">
        <w:rPr>
          <w:rFonts w:ascii="Calibri" w:hAnsi="Calibri" w:eastAsia="Calibri" w:cs="Calibri" w:asciiTheme="minorAscii" w:hAnsiTheme="minorAscii" w:eastAsiaTheme="minorAscii" w:cstheme="minorAscii"/>
          <w:noProof w:val="0"/>
          <w:sz w:val="24"/>
          <w:szCs w:val="24"/>
          <w:lang w:val="en-US"/>
        </w:rPr>
        <w:t xml:space="preserve"> </w:t>
      </w:r>
    </w:p>
    <w:p w:rsidR="3436F073" w:rsidP="7376BE6A" w:rsidRDefault="3436F073" w14:paraId="1B7AD864" w14:textId="335A6A18">
      <w:pPr>
        <w:pStyle w:val="Normal"/>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7376BE6A" w:rsidR="3436F073">
        <w:rPr>
          <w:rFonts w:ascii="Calibri" w:hAnsi="Calibri" w:eastAsia="Calibri" w:cs="Calibri" w:asciiTheme="minorAscii" w:hAnsiTheme="minorAscii" w:eastAsiaTheme="minorAscii" w:cstheme="minorAscii"/>
          <w:noProof w:val="0"/>
          <w:sz w:val="24"/>
          <w:szCs w:val="24"/>
          <w:lang w:val="en-US"/>
        </w:rPr>
        <w:t>(Accessed 10 February 2024).</w:t>
      </w:r>
    </w:p>
    <w:p w:rsidR="3436F073" w:rsidP="7376BE6A" w:rsidRDefault="3436F073" w14:paraId="70327B52" w14:textId="29ED02A4">
      <w:pPr>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7376BE6A" w:rsidR="3436F073">
        <w:rPr>
          <w:rFonts w:ascii="Calibri" w:hAnsi="Calibri" w:eastAsia="Calibri" w:cs="Calibri" w:asciiTheme="minorAscii" w:hAnsiTheme="minorAscii" w:eastAsiaTheme="minorAscii" w:cstheme="minorAscii"/>
          <w:noProof w:val="0"/>
          <w:sz w:val="24"/>
          <w:szCs w:val="24"/>
          <w:lang w:val="en-US"/>
        </w:rPr>
        <w:t xml:space="preserve">Shelton, F. and Brownhill, S. (2008). </w:t>
      </w:r>
      <w:r w:rsidRPr="7376BE6A" w:rsidR="3436F073">
        <w:rPr>
          <w:rFonts w:ascii="Calibri" w:hAnsi="Calibri" w:eastAsia="Calibri" w:cs="Calibri" w:asciiTheme="minorAscii" w:hAnsiTheme="minorAscii" w:eastAsiaTheme="minorAscii" w:cstheme="minorAscii"/>
          <w:i w:val="1"/>
          <w:iCs w:val="1"/>
          <w:noProof w:val="0"/>
          <w:sz w:val="24"/>
          <w:szCs w:val="24"/>
          <w:lang w:val="en-US"/>
        </w:rPr>
        <w:t xml:space="preserve">Effective </w:t>
      </w:r>
      <w:r w:rsidRPr="7376BE6A" w:rsidR="3436F073">
        <w:rPr>
          <w:rFonts w:ascii="Calibri" w:hAnsi="Calibri" w:eastAsia="Calibri" w:cs="Calibri" w:asciiTheme="minorAscii" w:hAnsiTheme="minorAscii" w:eastAsiaTheme="minorAscii" w:cstheme="minorAscii"/>
          <w:i w:val="1"/>
          <w:iCs w:val="1"/>
          <w:noProof w:val="0"/>
          <w:sz w:val="24"/>
          <w:szCs w:val="24"/>
          <w:lang w:val="en-US"/>
        </w:rPr>
        <w:t>behaviour</w:t>
      </w:r>
      <w:r w:rsidRPr="7376BE6A" w:rsidR="3436F073">
        <w:rPr>
          <w:rFonts w:ascii="Calibri" w:hAnsi="Calibri" w:eastAsia="Calibri" w:cs="Calibri" w:asciiTheme="minorAscii" w:hAnsiTheme="minorAscii" w:eastAsiaTheme="minorAscii" w:cstheme="minorAscii"/>
          <w:i w:val="1"/>
          <w:iCs w:val="1"/>
          <w:noProof w:val="0"/>
          <w:sz w:val="24"/>
          <w:szCs w:val="24"/>
          <w:lang w:val="en-US"/>
        </w:rPr>
        <w:t xml:space="preserve"> management in the primary classroom</w:t>
      </w:r>
      <w:r w:rsidRPr="7376BE6A" w:rsidR="3436F073">
        <w:rPr>
          <w:rFonts w:ascii="Calibri" w:hAnsi="Calibri" w:eastAsia="Calibri" w:cs="Calibri" w:asciiTheme="minorAscii" w:hAnsiTheme="minorAscii" w:eastAsiaTheme="minorAscii" w:cstheme="minorAscii"/>
          <w:noProof w:val="0"/>
          <w:sz w:val="24"/>
          <w:szCs w:val="24"/>
          <w:lang w:val="en-US"/>
        </w:rPr>
        <w:t>. Maidenhead: Open University Press.</w:t>
      </w:r>
    </w:p>
    <w:p w:rsidR="3436F073" w:rsidP="7376BE6A" w:rsidRDefault="3436F073" w14:paraId="696B2D88" w14:textId="774B2BF9">
      <w:pPr>
        <w:pStyle w:val="Normal"/>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3FA7D6B2" w:rsidR="3436F073">
        <w:rPr>
          <w:rFonts w:ascii="Calibri" w:hAnsi="Calibri" w:eastAsia="Calibri" w:cs="Calibri" w:asciiTheme="minorAscii" w:hAnsiTheme="minorAscii" w:eastAsiaTheme="minorAscii" w:cstheme="minorAscii"/>
          <w:noProof w:val="0"/>
          <w:sz w:val="24"/>
          <w:szCs w:val="24"/>
          <w:lang w:val="en-US"/>
        </w:rPr>
        <w:t xml:space="preserve">Structural Learning (2021). </w:t>
      </w:r>
      <w:r w:rsidRPr="3FA7D6B2" w:rsidR="3436F073">
        <w:rPr>
          <w:rFonts w:ascii="Calibri" w:hAnsi="Calibri" w:eastAsia="Calibri" w:cs="Calibri" w:asciiTheme="minorAscii" w:hAnsiTheme="minorAscii" w:eastAsiaTheme="minorAscii" w:cstheme="minorAscii"/>
          <w:i w:val="1"/>
          <w:iCs w:val="1"/>
          <w:noProof w:val="0"/>
          <w:sz w:val="24"/>
          <w:szCs w:val="24"/>
          <w:lang w:val="en-US"/>
        </w:rPr>
        <w:t>Leuven Scale: A teacher’s guide</w:t>
      </w:r>
      <w:r w:rsidRPr="3FA7D6B2" w:rsidR="3436F073">
        <w:rPr>
          <w:rFonts w:ascii="Calibri" w:hAnsi="Calibri" w:eastAsia="Calibri" w:cs="Calibri" w:asciiTheme="minorAscii" w:hAnsiTheme="minorAscii" w:eastAsiaTheme="minorAscii" w:cstheme="minorAscii"/>
          <w:noProof w:val="0"/>
          <w:sz w:val="24"/>
          <w:szCs w:val="24"/>
          <w:lang w:val="en-US"/>
        </w:rPr>
        <w:t xml:space="preserve">. [online] </w:t>
      </w:r>
      <w:r w:rsidRPr="3FA7D6B2" w:rsidR="3436F073">
        <w:rPr>
          <w:rStyle w:val="Hyperlink"/>
          <w:rFonts w:ascii="Calibri" w:hAnsi="Calibri" w:eastAsia="Calibri" w:cs="Calibri" w:asciiTheme="minorAscii" w:hAnsiTheme="minorAscii" w:eastAsiaTheme="minorAscii" w:cstheme="minorAscii"/>
          <w:noProof w:val="0"/>
          <w:sz w:val="24"/>
          <w:szCs w:val="24"/>
          <w:lang w:val="en-US"/>
        </w:rPr>
        <w:t>www.structural-learning.com</w:t>
      </w:r>
      <w:r w:rsidRPr="3FA7D6B2" w:rsidR="3436F073">
        <w:rPr>
          <w:rFonts w:ascii="Calibri" w:hAnsi="Calibri" w:eastAsia="Calibri" w:cs="Calibri" w:asciiTheme="minorAscii" w:hAnsiTheme="minorAscii" w:eastAsiaTheme="minorAscii" w:cstheme="minorAscii"/>
          <w:noProof w:val="0"/>
          <w:sz w:val="24"/>
          <w:szCs w:val="24"/>
          <w:lang w:val="en-US"/>
        </w:rPr>
        <w:t xml:space="preserve">. Available at: </w:t>
      </w:r>
      <w:hyperlink w:anchor=":~:text=The%20Leuven%20Scale%20is%20a%20five%2Dpoint%20scale%20that%20allows" r:id="Ra23336d9b4934226">
        <w:r w:rsidRPr="3FA7D6B2" w:rsidR="3436F073">
          <w:rPr>
            <w:rStyle w:val="Hyperlink"/>
            <w:rFonts w:ascii="Calibri" w:hAnsi="Calibri" w:eastAsia="Calibri" w:cs="Calibri" w:asciiTheme="minorAscii" w:hAnsiTheme="minorAscii" w:eastAsiaTheme="minorAscii" w:cstheme="minorAscii"/>
            <w:noProof w:val="0"/>
            <w:sz w:val="24"/>
            <w:szCs w:val="24"/>
            <w:lang w:val="en-US"/>
          </w:rPr>
          <w:t>https://www.structural-learning.com/post/leuven-scale-a-teachers-guide#:~:text=The%20Leuven%20Scale%20is%20a%20five%2Dpoint%20scale%20that%20allows</w:t>
        </w:r>
      </w:hyperlink>
      <w:r w:rsidRPr="3FA7D6B2" w:rsidR="3436F073">
        <w:rPr>
          <w:rFonts w:ascii="Calibri" w:hAnsi="Calibri" w:eastAsia="Calibri" w:cs="Calibri" w:asciiTheme="minorAscii" w:hAnsiTheme="minorAscii" w:eastAsiaTheme="minorAscii" w:cstheme="minorAscii"/>
          <w:noProof w:val="0"/>
          <w:sz w:val="24"/>
          <w:szCs w:val="24"/>
          <w:lang w:val="en-US"/>
        </w:rPr>
        <w:t xml:space="preserve"> (Accessed 3 February 2024)</w:t>
      </w:r>
      <w:r w:rsidRPr="3FA7D6B2" w:rsidR="3436F073">
        <w:rPr>
          <w:rFonts w:ascii="Calibri" w:hAnsi="Calibri" w:eastAsia="Calibri" w:cs="Calibri" w:asciiTheme="minorAscii" w:hAnsiTheme="minorAscii" w:eastAsiaTheme="minorAscii" w:cstheme="minorAscii"/>
          <w:noProof w:val="0"/>
          <w:sz w:val="24"/>
          <w:szCs w:val="24"/>
          <w:lang w:val="en-US"/>
        </w:rPr>
        <w:t>.</w:t>
      </w:r>
    </w:p>
    <w:p w:rsidR="3436F073" w:rsidP="7376BE6A" w:rsidRDefault="3436F073" w14:paraId="1A807987" w14:textId="7825ED40">
      <w:pPr>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7376BE6A" w:rsidR="3436F073">
        <w:rPr>
          <w:rFonts w:ascii="Calibri" w:hAnsi="Calibri" w:eastAsia="Calibri" w:cs="Calibri" w:asciiTheme="minorAscii" w:hAnsiTheme="minorAscii" w:eastAsiaTheme="minorAscii" w:cstheme="minorAscii"/>
          <w:noProof w:val="0"/>
          <w:sz w:val="24"/>
          <w:szCs w:val="24"/>
          <w:lang w:val="en-US"/>
        </w:rPr>
        <w:t xml:space="preserve">Thomas, A. and Lewis, A. (2016). </w:t>
      </w:r>
      <w:r w:rsidRPr="7376BE6A" w:rsidR="3436F073">
        <w:rPr>
          <w:rFonts w:ascii="Calibri" w:hAnsi="Calibri" w:eastAsia="Calibri" w:cs="Calibri" w:asciiTheme="minorAscii" w:hAnsiTheme="minorAscii" w:eastAsiaTheme="minorAscii" w:cstheme="minorAscii"/>
          <w:i w:val="1"/>
          <w:iCs w:val="1"/>
          <w:noProof w:val="0"/>
          <w:sz w:val="24"/>
          <w:szCs w:val="24"/>
          <w:lang w:val="en-US"/>
        </w:rPr>
        <w:t>An Introduction to the Foundation Phase</w:t>
      </w:r>
      <w:r w:rsidRPr="7376BE6A" w:rsidR="3436F073">
        <w:rPr>
          <w:rFonts w:ascii="Calibri" w:hAnsi="Calibri" w:eastAsia="Calibri" w:cs="Calibri" w:asciiTheme="minorAscii" w:hAnsiTheme="minorAscii" w:eastAsiaTheme="minorAscii" w:cstheme="minorAscii"/>
          <w:noProof w:val="0"/>
          <w:sz w:val="24"/>
          <w:szCs w:val="24"/>
          <w:lang w:val="en-US"/>
        </w:rPr>
        <w:t>. Bloomsbury Publishing.</w:t>
      </w:r>
    </w:p>
    <w:p w:rsidR="3436F073" w:rsidP="7376BE6A" w:rsidRDefault="3436F073" w14:paraId="44FECCB0" w14:textId="281F67E2">
      <w:pPr>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3FA7D6B2" w:rsidR="3436F073">
        <w:rPr>
          <w:rFonts w:ascii="Calibri" w:hAnsi="Calibri" w:eastAsia="Calibri" w:cs="Calibri" w:asciiTheme="minorAscii" w:hAnsiTheme="minorAscii" w:eastAsiaTheme="minorAscii" w:cstheme="minorAscii"/>
          <w:noProof w:val="0"/>
          <w:sz w:val="24"/>
          <w:szCs w:val="24"/>
          <w:lang w:val="en-US"/>
        </w:rPr>
        <w:t xml:space="preserve">Twinkl (2024). </w:t>
      </w:r>
      <w:r w:rsidRPr="3FA7D6B2" w:rsidR="3436F073">
        <w:rPr>
          <w:rFonts w:ascii="Calibri" w:hAnsi="Calibri" w:eastAsia="Calibri" w:cs="Calibri" w:asciiTheme="minorAscii" w:hAnsiTheme="minorAscii" w:eastAsiaTheme="minorAscii" w:cstheme="minorAscii"/>
          <w:i w:val="1"/>
          <w:iCs w:val="1"/>
          <w:noProof w:val="0"/>
          <w:sz w:val="24"/>
          <w:szCs w:val="24"/>
          <w:lang w:val="en-US"/>
        </w:rPr>
        <w:t>Who Is Ferre Laevers and What Is He Known for?</w:t>
      </w:r>
      <w:r w:rsidRPr="3FA7D6B2" w:rsidR="3436F073">
        <w:rPr>
          <w:rFonts w:ascii="Calibri" w:hAnsi="Calibri" w:eastAsia="Calibri" w:cs="Calibri" w:asciiTheme="minorAscii" w:hAnsiTheme="minorAscii" w:eastAsiaTheme="minorAscii" w:cstheme="minorAscii"/>
          <w:noProof w:val="0"/>
          <w:sz w:val="24"/>
          <w:szCs w:val="24"/>
          <w:lang w:val="en-US"/>
        </w:rPr>
        <w:t xml:space="preserve"> [online] Twinkl.co.uk. Available at: </w:t>
      </w:r>
      <w:hyperlink w:anchor=":~:text=Each%20childcare%20setting%20has%20their" r:id="Raab6f7bceccd4a7f">
        <w:r w:rsidRPr="3FA7D6B2" w:rsidR="3436F073">
          <w:rPr>
            <w:rStyle w:val="Hyperlink"/>
            <w:rFonts w:ascii="Calibri" w:hAnsi="Calibri" w:eastAsia="Calibri" w:cs="Calibri" w:asciiTheme="minorAscii" w:hAnsiTheme="minorAscii" w:eastAsiaTheme="minorAscii" w:cstheme="minorAscii"/>
            <w:noProof w:val="0"/>
            <w:sz w:val="24"/>
            <w:szCs w:val="24"/>
            <w:lang w:val="en-US"/>
          </w:rPr>
          <w:t>https://www.twinkl.co.uk/teaching-wiki/ferre-laevers#:~:text=Each%20childcare%20setting%20has%20their</w:t>
        </w:r>
      </w:hyperlink>
      <w:r w:rsidRPr="3FA7D6B2" w:rsidR="3436F073">
        <w:rPr>
          <w:rFonts w:ascii="Calibri" w:hAnsi="Calibri" w:eastAsia="Calibri" w:cs="Calibri" w:asciiTheme="minorAscii" w:hAnsiTheme="minorAscii" w:eastAsiaTheme="minorAscii" w:cstheme="minorAscii"/>
          <w:noProof w:val="0"/>
          <w:sz w:val="24"/>
          <w:szCs w:val="24"/>
          <w:lang w:val="en-US"/>
        </w:rPr>
        <w:t xml:space="preserve"> </w:t>
      </w:r>
    </w:p>
    <w:p w:rsidR="3436F073" w:rsidP="7376BE6A" w:rsidRDefault="3436F073" w14:paraId="7833E7C7" w14:textId="5FD1A4E9">
      <w:pPr>
        <w:pStyle w:val="Normal"/>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7376BE6A" w:rsidR="3436F073">
        <w:rPr>
          <w:rFonts w:ascii="Calibri" w:hAnsi="Calibri" w:eastAsia="Calibri" w:cs="Calibri" w:asciiTheme="minorAscii" w:hAnsiTheme="minorAscii" w:eastAsiaTheme="minorAscii" w:cstheme="minorAscii"/>
          <w:noProof w:val="0"/>
          <w:sz w:val="24"/>
          <w:szCs w:val="24"/>
          <w:lang w:val="en-US"/>
        </w:rPr>
        <w:t>(Accessed 14 February 2024).</w:t>
      </w:r>
    </w:p>
    <w:p w:rsidR="3436F073" w:rsidP="7376BE6A" w:rsidRDefault="3436F073" w14:paraId="4F76D108" w14:textId="527BB1F9">
      <w:pPr>
        <w:pStyle w:val="Normal"/>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7376BE6A" w:rsidR="3436F073">
        <w:rPr>
          <w:rFonts w:ascii="Calibri" w:hAnsi="Calibri" w:eastAsia="Calibri" w:cs="Calibri" w:asciiTheme="minorAscii" w:hAnsiTheme="minorAscii" w:eastAsiaTheme="minorAscii" w:cstheme="minorAscii"/>
          <w:noProof w:val="0"/>
          <w:sz w:val="24"/>
          <w:szCs w:val="24"/>
          <w:lang w:val="en-US"/>
        </w:rPr>
        <w:t xml:space="preserve">Wingert, S. (2016). </w:t>
      </w:r>
      <w:r w:rsidRPr="7376BE6A" w:rsidR="3436F073">
        <w:rPr>
          <w:rFonts w:ascii="Calibri" w:hAnsi="Calibri" w:eastAsia="Calibri" w:cs="Calibri" w:asciiTheme="minorAscii" w:hAnsiTheme="minorAscii" w:eastAsiaTheme="minorAscii" w:cstheme="minorAscii"/>
          <w:i w:val="1"/>
          <w:iCs w:val="1"/>
          <w:noProof w:val="0"/>
          <w:sz w:val="24"/>
          <w:szCs w:val="24"/>
          <w:lang w:val="en-US"/>
        </w:rPr>
        <w:t>Special Education at Home</w:t>
      </w:r>
      <w:r w:rsidRPr="7376BE6A" w:rsidR="3436F073">
        <w:rPr>
          <w:rFonts w:ascii="Calibri" w:hAnsi="Calibri" w:eastAsia="Calibri" w:cs="Calibri" w:asciiTheme="minorAscii" w:hAnsiTheme="minorAscii" w:eastAsiaTheme="minorAscii" w:cstheme="minorAscii"/>
          <w:noProof w:val="0"/>
          <w:sz w:val="24"/>
          <w:szCs w:val="24"/>
          <w:lang w:val="en-US"/>
        </w:rPr>
        <w:t xml:space="preserve">. </w:t>
      </w:r>
      <w:r w:rsidRPr="7376BE6A" w:rsidR="3436F073">
        <w:rPr>
          <w:rFonts w:ascii="Calibri" w:hAnsi="Calibri" w:eastAsia="Calibri" w:cs="Calibri" w:asciiTheme="minorAscii" w:hAnsiTheme="minorAscii" w:eastAsiaTheme="minorAscii" w:cstheme="minorAscii"/>
          <w:noProof w:val="0"/>
          <w:sz w:val="24"/>
          <w:szCs w:val="24"/>
          <w:lang w:val="en-US"/>
        </w:rPr>
        <w:t>Createspace</w:t>
      </w:r>
      <w:r w:rsidRPr="7376BE6A" w:rsidR="3436F073">
        <w:rPr>
          <w:rFonts w:ascii="Calibri" w:hAnsi="Calibri" w:eastAsia="Calibri" w:cs="Calibri" w:asciiTheme="minorAscii" w:hAnsiTheme="minorAscii" w:eastAsiaTheme="minorAscii" w:cstheme="minorAscii"/>
          <w:noProof w:val="0"/>
          <w:sz w:val="24"/>
          <w:szCs w:val="24"/>
          <w:lang w:val="en-US"/>
        </w:rPr>
        <w:t xml:space="preserve"> Independent Publishing Platform.</w:t>
      </w:r>
    </w:p>
    <w:p w:rsidR="3436F073" w:rsidP="7376BE6A" w:rsidRDefault="3436F073" w14:paraId="0D369295" w14:textId="579BA588">
      <w:pPr>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7376BE6A" w:rsidR="3436F073">
        <w:rPr>
          <w:rFonts w:ascii="Calibri" w:hAnsi="Calibri" w:eastAsia="Calibri" w:cs="Calibri" w:asciiTheme="minorAscii" w:hAnsiTheme="minorAscii" w:eastAsiaTheme="minorAscii" w:cstheme="minorAscii"/>
          <w:noProof w:val="0"/>
          <w:sz w:val="24"/>
          <w:szCs w:val="24"/>
          <w:lang w:val="en-US"/>
        </w:rPr>
        <w:t xml:space="preserve">Woods, A. (2016). </w:t>
      </w:r>
      <w:r w:rsidRPr="7376BE6A" w:rsidR="3436F073">
        <w:rPr>
          <w:rFonts w:ascii="Calibri" w:hAnsi="Calibri" w:eastAsia="Calibri" w:cs="Calibri" w:asciiTheme="minorAscii" w:hAnsiTheme="minorAscii" w:eastAsiaTheme="minorAscii" w:cstheme="minorAscii"/>
          <w:i w:val="1"/>
          <w:iCs w:val="1"/>
          <w:noProof w:val="0"/>
          <w:sz w:val="24"/>
          <w:szCs w:val="24"/>
          <w:lang w:val="en-US"/>
        </w:rPr>
        <w:t xml:space="preserve">Examining levels of involvement in the early </w:t>
      </w:r>
      <w:r w:rsidRPr="7376BE6A" w:rsidR="3436F073">
        <w:rPr>
          <w:rFonts w:ascii="Calibri" w:hAnsi="Calibri" w:eastAsia="Calibri" w:cs="Calibri" w:asciiTheme="minorAscii" w:hAnsiTheme="minorAscii" w:eastAsiaTheme="minorAscii" w:cstheme="minorAscii"/>
          <w:i w:val="1"/>
          <w:iCs w:val="1"/>
          <w:noProof w:val="0"/>
          <w:sz w:val="24"/>
          <w:szCs w:val="24"/>
          <w:lang w:val="en-US"/>
        </w:rPr>
        <w:t>years :</w:t>
      </w:r>
      <w:r w:rsidRPr="7376BE6A" w:rsidR="3436F073">
        <w:rPr>
          <w:rFonts w:ascii="Calibri" w:hAnsi="Calibri" w:eastAsia="Calibri" w:cs="Calibri" w:asciiTheme="minorAscii" w:hAnsiTheme="minorAscii" w:eastAsiaTheme="minorAscii" w:cstheme="minorAscii"/>
          <w:i w:val="1"/>
          <w:iCs w:val="1"/>
          <w:noProof w:val="0"/>
          <w:sz w:val="24"/>
          <w:szCs w:val="24"/>
          <w:lang w:val="en-US"/>
        </w:rPr>
        <w:t xml:space="preserve"> engaging with children’s possibilities</w:t>
      </w:r>
      <w:r w:rsidRPr="7376BE6A" w:rsidR="3436F073">
        <w:rPr>
          <w:rFonts w:ascii="Calibri" w:hAnsi="Calibri" w:eastAsia="Calibri" w:cs="Calibri" w:asciiTheme="minorAscii" w:hAnsiTheme="minorAscii" w:eastAsiaTheme="minorAscii" w:cstheme="minorAscii"/>
          <w:noProof w:val="0"/>
          <w:sz w:val="24"/>
          <w:szCs w:val="24"/>
          <w:lang w:val="en-US"/>
        </w:rPr>
        <w:t xml:space="preserve">. </w:t>
      </w:r>
      <w:r w:rsidRPr="7376BE6A" w:rsidR="3436F073">
        <w:rPr>
          <w:rFonts w:ascii="Calibri" w:hAnsi="Calibri" w:eastAsia="Calibri" w:cs="Calibri" w:asciiTheme="minorAscii" w:hAnsiTheme="minorAscii" w:eastAsiaTheme="minorAscii" w:cstheme="minorAscii"/>
          <w:noProof w:val="0"/>
          <w:sz w:val="24"/>
          <w:szCs w:val="24"/>
          <w:lang w:val="en-US"/>
        </w:rPr>
        <w:t>London ;</w:t>
      </w:r>
      <w:r w:rsidRPr="7376BE6A" w:rsidR="3436F073">
        <w:rPr>
          <w:rFonts w:ascii="Calibri" w:hAnsi="Calibri" w:eastAsia="Calibri" w:cs="Calibri" w:asciiTheme="minorAscii" w:hAnsiTheme="minorAscii" w:eastAsiaTheme="minorAscii" w:cstheme="minorAscii"/>
          <w:noProof w:val="0"/>
          <w:sz w:val="24"/>
          <w:szCs w:val="24"/>
          <w:lang w:val="en-US"/>
        </w:rPr>
        <w:t xml:space="preserve"> New York: Routledge, Taylor &amp; Francis Group.</w:t>
      </w:r>
    </w:p>
    <w:p w:rsidR="3436F073" w:rsidP="7376BE6A" w:rsidRDefault="3436F073" w14:paraId="628D9409" w14:textId="657E20AB">
      <w:pPr>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3FA7D6B2" w:rsidR="3436F073">
        <w:rPr>
          <w:rFonts w:ascii="Calibri" w:hAnsi="Calibri" w:eastAsia="Calibri" w:cs="Calibri" w:asciiTheme="minorAscii" w:hAnsiTheme="minorAscii" w:eastAsiaTheme="minorAscii" w:cstheme="minorAscii"/>
          <w:noProof w:val="0"/>
          <w:sz w:val="24"/>
          <w:szCs w:val="24"/>
          <w:lang w:val="en-US"/>
        </w:rPr>
        <w:t xml:space="preserve">World Health Organization (2021). </w:t>
      </w:r>
      <w:r w:rsidRPr="3FA7D6B2" w:rsidR="3436F073">
        <w:rPr>
          <w:rFonts w:ascii="Calibri" w:hAnsi="Calibri" w:eastAsia="Calibri" w:cs="Calibri" w:asciiTheme="minorAscii" w:hAnsiTheme="minorAscii" w:eastAsiaTheme="minorAscii" w:cstheme="minorAscii"/>
          <w:i w:val="1"/>
          <w:iCs w:val="1"/>
          <w:noProof w:val="0"/>
          <w:sz w:val="24"/>
          <w:szCs w:val="24"/>
          <w:lang w:val="en-US"/>
        </w:rPr>
        <w:t>Ensuring Ethical Standards and Procedures for Research with Human Beings</w:t>
      </w:r>
      <w:r w:rsidRPr="3FA7D6B2" w:rsidR="3436F073">
        <w:rPr>
          <w:rFonts w:ascii="Calibri" w:hAnsi="Calibri" w:eastAsia="Calibri" w:cs="Calibri" w:asciiTheme="minorAscii" w:hAnsiTheme="minorAscii" w:eastAsiaTheme="minorAscii" w:cstheme="minorAscii"/>
          <w:noProof w:val="0"/>
          <w:sz w:val="24"/>
          <w:szCs w:val="24"/>
          <w:lang w:val="en-US"/>
        </w:rPr>
        <w:t xml:space="preserve">. [online] World Health Organization. Available at: </w:t>
      </w:r>
      <w:hyperlink r:id="R7b68672fb28b4395">
        <w:r w:rsidRPr="3FA7D6B2" w:rsidR="3436F073">
          <w:rPr>
            <w:rStyle w:val="Hyperlink"/>
            <w:rFonts w:ascii="Calibri" w:hAnsi="Calibri" w:eastAsia="Calibri" w:cs="Calibri" w:asciiTheme="minorAscii" w:hAnsiTheme="minorAscii" w:eastAsiaTheme="minorAscii" w:cstheme="minorAscii"/>
            <w:noProof w:val="0"/>
            <w:sz w:val="24"/>
            <w:szCs w:val="24"/>
            <w:lang w:val="en-US"/>
          </w:rPr>
          <w:t>https://www.who.int/activities/ensuring-ethical-standards-and-procedures-for-research-with-human-beings</w:t>
        </w:r>
      </w:hyperlink>
      <w:r w:rsidRPr="3FA7D6B2" w:rsidR="3436F073">
        <w:rPr>
          <w:rFonts w:ascii="Calibri" w:hAnsi="Calibri" w:eastAsia="Calibri" w:cs="Calibri" w:asciiTheme="minorAscii" w:hAnsiTheme="minorAscii" w:eastAsiaTheme="minorAscii" w:cstheme="minorAscii"/>
          <w:noProof w:val="0"/>
          <w:sz w:val="24"/>
          <w:szCs w:val="24"/>
          <w:lang w:val="en-US"/>
        </w:rPr>
        <w:t>.</w:t>
      </w:r>
    </w:p>
    <w:p w:rsidR="3436F073" w:rsidP="7376BE6A" w:rsidRDefault="3436F073" w14:paraId="38584C7B" w14:textId="2386AEE1">
      <w:pPr>
        <w:pStyle w:val="Normal"/>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7376BE6A" w:rsidR="3436F073">
        <w:rPr>
          <w:rFonts w:ascii="Calibri" w:hAnsi="Calibri" w:eastAsia="Calibri" w:cs="Calibri" w:asciiTheme="minorAscii" w:hAnsiTheme="minorAscii" w:eastAsiaTheme="minorAscii" w:cstheme="minorAscii"/>
          <w:noProof w:val="0"/>
          <w:sz w:val="24"/>
          <w:szCs w:val="24"/>
          <w:lang w:val="en-US"/>
        </w:rPr>
        <w:t>(Accessed 11 February 2024).</w:t>
      </w:r>
    </w:p>
    <w:p w:rsidR="7376BE6A" w:rsidP="3FA7D6B2" w:rsidRDefault="7376BE6A" w14:paraId="1CD9DBA8" w14:textId="6F45DDBB">
      <w:pPr>
        <w:rPr>
          <w:rFonts w:ascii="Calibri" w:hAnsi="Calibri" w:eastAsia="Calibri" w:cs="Calibri" w:asciiTheme="minorAscii" w:hAnsiTheme="minorAscii" w:eastAsiaTheme="minorAscii" w:cstheme="minorAscii"/>
          <w:sz w:val="24"/>
          <w:szCs w:val="24"/>
        </w:rPr>
      </w:pPr>
      <w:r w:rsidRPr="3FA7D6B2">
        <w:rPr>
          <w:rFonts w:ascii="Calibri" w:hAnsi="Calibri" w:eastAsia="Calibri" w:cs="Calibri" w:asciiTheme="minorAscii" w:hAnsiTheme="minorAscii" w:eastAsiaTheme="minorAscii" w:cstheme="minorAscii"/>
          <w:sz w:val="24"/>
          <w:szCs w:val="24"/>
        </w:rPr>
        <w:br w:type="page"/>
      </w:r>
    </w:p>
    <w:p w:rsidR="35311B9D" w:rsidP="3FA7D6B2" w:rsidRDefault="35311B9D" w14:paraId="60BCA35A" w14:textId="1656B360">
      <w:pPr>
        <w:pStyle w:val="Normal"/>
        <w:spacing w:before="0" w:beforeAutospacing="off" w:line="360" w:lineRule="auto"/>
        <w:ind w:left="-20" w:right="-20"/>
        <w:rPr>
          <w:rFonts w:ascii="Calibri" w:hAnsi="Calibri" w:eastAsia="Calibri" w:cs="Calibri" w:asciiTheme="minorAscii" w:hAnsiTheme="minorAscii" w:eastAsiaTheme="minorAscii" w:cstheme="minorAscii"/>
          <w:b w:val="1"/>
          <w:bCs w:val="1"/>
          <w:noProof w:val="0"/>
          <w:sz w:val="24"/>
          <w:szCs w:val="24"/>
          <w:u w:val="single"/>
          <w:lang w:val="en-US"/>
        </w:rPr>
      </w:pPr>
      <w:r w:rsidRPr="3FA7D6B2" w:rsidR="35311B9D">
        <w:rPr>
          <w:rFonts w:ascii="Calibri" w:hAnsi="Calibri" w:eastAsia="Calibri" w:cs="Calibri" w:asciiTheme="minorAscii" w:hAnsiTheme="minorAscii" w:eastAsiaTheme="minorAscii" w:cstheme="minorAscii"/>
          <w:b w:val="1"/>
          <w:bCs w:val="1"/>
          <w:noProof w:val="0"/>
          <w:sz w:val="24"/>
          <w:szCs w:val="24"/>
          <w:u w:val="single"/>
          <w:lang w:val="en-US"/>
        </w:rPr>
        <w:t>Appendix</w:t>
      </w:r>
    </w:p>
    <w:p w:rsidR="568D9A1B" w:rsidP="3FA7D6B2" w:rsidRDefault="568D9A1B" w14:paraId="32E2EBCE" w14:textId="5A271D80">
      <w:pPr>
        <w:pStyle w:val="Normal"/>
        <w:spacing w:before="0" w:beforeAutospacing="off" w:line="360" w:lineRule="auto"/>
        <w:ind w:left="-20" w:right="-20"/>
        <w:rPr>
          <w:rFonts w:ascii="Calibri" w:hAnsi="Calibri" w:eastAsia="Calibri" w:cs="Calibri" w:asciiTheme="minorAscii" w:hAnsiTheme="minorAscii" w:eastAsiaTheme="minorAscii" w:cstheme="minorAscii"/>
          <w:sz w:val="24"/>
          <w:szCs w:val="24"/>
        </w:rPr>
      </w:pPr>
      <w:r w:rsidRPr="3FA7D6B2" w:rsidR="568D9A1B">
        <w:rPr>
          <w:rFonts w:ascii="Calibri" w:hAnsi="Calibri" w:eastAsia="Calibri" w:cs="Calibri" w:asciiTheme="minorAscii" w:hAnsiTheme="minorAscii" w:eastAsiaTheme="minorAscii" w:cstheme="minorAscii"/>
          <w:sz w:val="24"/>
          <w:szCs w:val="24"/>
        </w:rPr>
        <w:t>Appendix 1 – Obs</w:t>
      </w:r>
      <w:r w:rsidRPr="3FA7D6B2" w:rsidR="568D9A1B">
        <w:rPr>
          <w:rFonts w:ascii="Calibri" w:hAnsi="Calibri" w:eastAsia="Calibri" w:cs="Calibri" w:asciiTheme="minorAscii" w:hAnsiTheme="minorAscii" w:eastAsiaTheme="minorAscii" w:cstheme="minorAscii"/>
          <w:sz w:val="24"/>
          <w:szCs w:val="24"/>
        </w:rPr>
        <w:t>e</w:t>
      </w:r>
      <w:r w:rsidRPr="3FA7D6B2" w:rsidR="568D9A1B">
        <w:rPr>
          <w:rFonts w:ascii="Calibri" w:hAnsi="Calibri" w:eastAsia="Calibri" w:cs="Calibri" w:asciiTheme="minorAscii" w:hAnsiTheme="minorAscii" w:eastAsiaTheme="minorAscii" w:cstheme="minorAscii"/>
          <w:sz w:val="24"/>
          <w:szCs w:val="24"/>
        </w:rPr>
        <w:t>r</w:t>
      </w:r>
      <w:r w:rsidRPr="3FA7D6B2" w:rsidR="568D9A1B">
        <w:rPr>
          <w:rFonts w:ascii="Calibri" w:hAnsi="Calibri" w:eastAsia="Calibri" w:cs="Calibri" w:asciiTheme="minorAscii" w:hAnsiTheme="minorAscii" w:eastAsiaTheme="minorAscii" w:cstheme="minorAscii"/>
          <w:sz w:val="24"/>
          <w:szCs w:val="24"/>
        </w:rPr>
        <w:t>v</w:t>
      </w:r>
      <w:r w:rsidRPr="3FA7D6B2" w:rsidR="568D9A1B">
        <w:rPr>
          <w:rFonts w:ascii="Calibri" w:hAnsi="Calibri" w:eastAsia="Calibri" w:cs="Calibri" w:asciiTheme="minorAscii" w:hAnsiTheme="minorAscii" w:eastAsiaTheme="minorAscii" w:cstheme="minorAscii"/>
          <w:sz w:val="24"/>
          <w:szCs w:val="24"/>
        </w:rPr>
        <w:t>ation schedule</w:t>
      </w:r>
      <w:r w:rsidR="7376BE6A">
        <w:drawing>
          <wp:anchor distT="0" distB="0" distL="114300" distR="114300" simplePos="0" relativeHeight="251658240" behindDoc="0" locked="0" layoutInCell="1" allowOverlap="1" wp14:editId="0ED72715" wp14:anchorId="2AB01063">
            <wp:simplePos x="0" y="0"/>
            <wp:positionH relativeFrom="column">
              <wp:align>left</wp:align>
            </wp:positionH>
            <wp:positionV relativeFrom="paragraph">
              <wp:posOffset>0</wp:posOffset>
            </wp:positionV>
            <wp:extent cx="6109723" cy="3307790"/>
            <wp:effectExtent l="0" t="0" r="0" b="0"/>
            <wp:wrapSquare wrapText="bothSides"/>
            <wp:docPr id="1090614895" name="" title=""/>
            <wp:cNvGraphicFramePr>
              <a:graphicFrameLocks noChangeAspect="1"/>
            </wp:cNvGraphicFramePr>
            <a:graphic>
              <a:graphicData uri="http://schemas.openxmlformats.org/drawingml/2006/picture">
                <pic:pic>
                  <pic:nvPicPr>
                    <pic:cNvPr id="0" name=""/>
                    <pic:cNvPicPr/>
                  </pic:nvPicPr>
                  <pic:blipFill>
                    <a:blip r:embed="R7752d4af1e4f4ecd">
                      <a:extLst>
                        <a:ext xmlns:a="http://schemas.openxmlformats.org/drawingml/2006/main" uri="{28A0092B-C50C-407E-A947-70E740481C1C}">
                          <a14:useLocalDpi val="0"/>
                        </a:ext>
                      </a:extLst>
                    </a:blip>
                    <a:srcRect l="22331" t="19307" r="1353" b="7240"/>
                    <a:stretch>
                      <a:fillRect/>
                    </a:stretch>
                  </pic:blipFill>
                  <pic:spPr>
                    <a:xfrm>
                      <a:off x="0" y="0"/>
                      <a:ext cx="6109723" cy="3307790"/>
                    </a:xfrm>
                    <a:prstGeom prst="rect">
                      <a:avLst/>
                    </a:prstGeom>
                  </pic:spPr>
                </pic:pic>
              </a:graphicData>
            </a:graphic>
            <wp14:sizeRelH relativeFrom="page">
              <wp14:pctWidth>0</wp14:pctWidth>
            </wp14:sizeRelH>
            <wp14:sizeRelV relativeFrom="page">
              <wp14:pctHeight>0</wp14:pctHeight>
            </wp14:sizeRelV>
          </wp:anchor>
        </w:drawing>
      </w:r>
    </w:p>
    <w:p w:rsidR="7EF6DC3B" w:rsidP="3FA7D6B2" w:rsidRDefault="7EF6DC3B" w14:paraId="38811618" w14:textId="5518704D">
      <w:pPr>
        <w:pStyle w:val="Normal"/>
        <w:spacing w:before="0" w:beforeAutospacing="off" w:line="360" w:lineRule="auto"/>
        <w:ind w:left="-20" w:right="-20"/>
        <w:rPr>
          <w:rFonts w:ascii="Calibri" w:hAnsi="Calibri" w:eastAsia="Calibri" w:cs="Calibri" w:asciiTheme="minorAscii" w:hAnsiTheme="minorAscii" w:eastAsiaTheme="minorAscii" w:cstheme="minorAscii"/>
          <w:i w:val="1"/>
          <w:iCs w:val="1"/>
          <w:sz w:val="24"/>
          <w:szCs w:val="24"/>
        </w:rPr>
      </w:pPr>
      <w:r w:rsidRPr="3FA7D6B2" w:rsidR="15327F4D">
        <w:rPr>
          <w:rFonts w:ascii="Calibri" w:hAnsi="Calibri" w:eastAsia="Calibri" w:cs="Calibri" w:asciiTheme="minorAscii" w:hAnsiTheme="minorAscii" w:eastAsiaTheme="minorAscii" w:cstheme="minorAscii"/>
          <w:sz w:val="24"/>
          <w:szCs w:val="24"/>
        </w:rPr>
        <w:t xml:space="preserve">Howell, C. (2024). </w:t>
      </w:r>
      <w:r w:rsidRPr="3FA7D6B2" w:rsidR="7D24BC22">
        <w:rPr>
          <w:rFonts w:ascii="Calibri" w:hAnsi="Calibri" w:eastAsia="Calibri" w:cs="Calibri" w:asciiTheme="minorAscii" w:hAnsiTheme="minorAscii" w:eastAsiaTheme="minorAscii" w:cstheme="minorAscii"/>
          <w:i w:val="1"/>
          <w:iCs w:val="1"/>
          <w:sz w:val="24"/>
          <w:szCs w:val="24"/>
        </w:rPr>
        <w:t>Observation Schedule</w:t>
      </w:r>
    </w:p>
    <w:p w:rsidR="7376BE6A" w:rsidP="3FA7D6B2" w:rsidRDefault="7376BE6A" w14:paraId="1DAD3225" w14:textId="0FDE6B36">
      <w:pPr>
        <w:pStyle w:val="Normal"/>
        <w:spacing w:before="0" w:beforeAutospacing="off" w:line="360" w:lineRule="auto"/>
        <w:ind w:left="-20" w:right="-20"/>
        <w:rPr>
          <w:rFonts w:ascii="Calibri" w:hAnsi="Calibri" w:eastAsia="Calibri" w:cs="Calibri" w:asciiTheme="minorAscii" w:hAnsiTheme="minorAscii" w:eastAsiaTheme="minorAscii" w:cstheme="minorAscii"/>
          <w:sz w:val="24"/>
          <w:szCs w:val="24"/>
        </w:rPr>
      </w:pPr>
      <w:r w:rsidR="6421D06B">
        <w:drawing>
          <wp:anchor distT="0" distB="0" distL="114300" distR="114300" simplePos="0" relativeHeight="251658240" behindDoc="0" locked="0" layoutInCell="1" allowOverlap="1" wp14:editId="06334F0A" wp14:anchorId="218BEE3A">
            <wp:simplePos x="0" y="0"/>
            <wp:positionH relativeFrom="column">
              <wp:align>left</wp:align>
            </wp:positionH>
            <wp:positionV relativeFrom="paragraph">
              <wp:posOffset>0</wp:posOffset>
            </wp:positionV>
            <wp:extent cx="3337436" cy="2190912"/>
            <wp:effectExtent l="0" t="0" r="0" b="0"/>
            <wp:wrapSquare wrapText="bothSides"/>
            <wp:docPr id="1679937643" name="" title=""/>
            <wp:cNvGraphicFramePr>
              <a:graphicFrameLocks noChangeAspect="1"/>
            </wp:cNvGraphicFramePr>
            <a:graphic>
              <a:graphicData uri="http://schemas.openxmlformats.org/drawingml/2006/picture">
                <pic:pic>
                  <pic:nvPicPr>
                    <pic:cNvPr id="0" name=""/>
                    <pic:cNvPicPr/>
                  </pic:nvPicPr>
                  <pic:blipFill>
                    <a:blip r:embed="R844aa1ace38846b8">
                      <a:extLst>
                        <a:ext xmlns:a="http://schemas.openxmlformats.org/drawingml/2006/main" uri="{28A0092B-C50C-407E-A947-70E740481C1C}">
                          <a14:useLocalDpi val="0"/>
                        </a:ext>
                      </a:extLst>
                    </a:blip>
                    <a:srcRect l="31733" t="20658" r="10057" b="11408"/>
                    <a:stretch>
                      <a:fillRect/>
                    </a:stretch>
                  </pic:blipFill>
                  <pic:spPr>
                    <a:xfrm>
                      <a:off x="0" y="0"/>
                      <a:ext cx="3337436" cy="2190912"/>
                    </a:xfrm>
                    <a:prstGeom prst="rect">
                      <a:avLst/>
                    </a:prstGeom>
                  </pic:spPr>
                </pic:pic>
              </a:graphicData>
            </a:graphic>
            <wp14:sizeRelH relativeFrom="page">
              <wp14:pctWidth>0</wp14:pctWidth>
            </wp14:sizeRelH>
            <wp14:sizeRelV relativeFrom="page">
              <wp14:pctHeight>0</wp14:pctHeight>
            </wp14:sizeRelV>
          </wp:anchor>
        </w:drawing>
      </w:r>
    </w:p>
    <w:p w:rsidR="7376BE6A" w:rsidP="3FA7D6B2" w:rsidRDefault="7376BE6A" w14:paraId="538125DC" w14:textId="533153ED">
      <w:pPr>
        <w:pStyle w:val="Normal"/>
        <w:spacing w:before="0" w:beforeAutospacing="off" w:line="360" w:lineRule="auto"/>
        <w:ind w:left="-20" w:right="-20"/>
        <w:rPr>
          <w:rFonts w:ascii="Calibri" w:hAnsi="Calibri" w:eastAsia="Calibri" w:cs="Calibri" w:asciiTheme="minorAscii" w:hAnsiTheme="minorAscii" w:eastAsiaTheme="minorAscii" w:cstheme="minorAscii"/>
          <w:sz w:val="24"/>
          <w:szCs w:val="24"/>
        </w:rPr>
      </w:pPr>
      <w:r w:rsidRPr="3FA7D6B2" w:rsidR="06334F0A">
        <w:rPr>
          <w:rFonts w:ascii="Calibri" w:hAnsi="Calibri" w:eastAsia="Calibri" w:cs="Calibri" w:asciiTheme="minorAscii" w:hAnsiTheme="minorAscii" w:eastAsiaTheme="minorAscii" w:cstheme="minorAscii"/>
          <w:sz w:val="24"/>
          <w:szCs w:val="24"/>
        </w:rPr>
        <w:t>Appendix 2 - The Leuven Scale for involve</w:t>
      </w:r>
      <w:r w:rsidRPr="3FA7D6B2" w:rsidR="00554173">
        <w:rPr>
          <w:rFonts w:ascii="Calibri" w:hAnsi="Calibri" w:eastAsia="Calibri" w:cs="Calibri" w:asciiTheme="minorAscii" w:hAnsiTheme="minorAscii" w:eastAsiaTheme="minorAscii" w:cstheme="minorAscii"/>
          <w:sz w:val="24"/>
          <w:szCs w:val="24"/>
        </w:rPr>
        <w:t>ment (in learning)</w:t>
      </w:r>
    </w:p>
    <w:p w:rsidR="0521A8B6" w:rsidP="3FA7D6B2" w:rsidRDefault="0521A8B6" w14:paraId="74CE29D5" w14:textId="4E60753E">
      <w:pPr>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3FA7D6B2" w:rsidR="0521A8B6">
        <w:rPr>
          <w:rFonts w:ascii="Calibri" w:hAnsi="Calibri" w:eastAsia="Calibri" w:cs="Calibri" w:asciiTheme="minorAscii" w:hAnsiTheme="minorAscii" w:eastAsiaTheme="minorAscii" w:cstheme="minorAscii"/>
          <w:noProof w:val="0"/>
          <w:sz w:val="24"/>
          <w:szCs w:val="24"/>
          <w:lang w:val="en-US"/>
        </w:rPr>
        <w:t xml:space="preserve">Wells, R. (2020). </w:t>
      </w:r>
      <w:r w:rsidRPr="3FA7D6B2" w:rsidR="0521A8B6">
        <w:rPr>
          <w:rFonts w:ascii="Calibri" w:hAnsi="Calibri" w:eastAsia="Calibri" w:cs="Calibri" w:asciiTheme="minorAscii" w:hAnsiTheme="minorAscii" w:eastAsiaTheme="minorAscii" w:cstheme="minorAscii"/>
          <w:i w:val="1"/>
          <w:iCs w:val="1"/>
          <w:noProof w:val="0"/>
          <w:sz w:val="24"/>
          <w:szCs w:val="24"/>
          <w:lang w:val="en-US"/>
        </w:rPr>
        <w:t>The Leuven Scale for involvement (in learning)</w:t>
      </w:r>
      <w:r w:rsidRPr="3FA7D6B2" w:rsidR="0521A8B6">
        <w:rPr>
          <w:rFonts w:ascii="Calibri" w:hAnsi="Calibri" w:eastAsia="Calibri" w:cs="Calibri" w:asciiTheme="minorAscii" w:hAnsiTheme="minorAscii" w:eastAsiaTheme="minorAscii" w:cstheme="minorAscii"/>
          <w:noProof w:val="0"/>
          <w:sz w:val="24"/>
          <w:szCs w:val="24"/>
          <w:lang w:val="en-US"/>
        </w:rPr>
        <w:t xml:space="preserve">. Available at: </w:t>
      </w:r>
      <w:hyperlink r:id="Ra516d8fa3e33456d">
        <w:r w:rsidRPr="3FA7D6B2" w:rsidR="0521A8B6">
          <w:rPr>
            <w:rStyle w:val="Hyperlink"/>
            <w:rFonts w:ascii="Calibri" w:hAnsi="Calibri" w:eastAsia="Calibri" w:cs="Calibri" w:asciiTheme="minorAscii" w:hAnsiTheme="minorAscii" w:eastAsiaTheme="minorAscii" w:cstheme="minorAscii"/>
            <w:noProof w:val="0"/>
            <w:sz w:val="24"/>
            <w:szCs w:val="24"/>
            <w:lang w:val="en-US"/>
          </w:rPr>
          <w:t>https://ncnltd.co.uk/wp-content/uploads/2020/04/The-Leuven-Scales-sheet.pdf</w:t>
        </w:r>
      </w:hyperlink>
      <w:r w:rsidRPr="3FA7D6B2" w:rsidR="0521A8B6">
        <w:rPr>
          <w:rFonts w:ascii="Calibri" w:hAnsi="Calibri" w:eastAsia="Calibri" w:cs="Calibri" w:asciiTheme="minorAscii" w:hAnsiTheme="minorAscii" w:eastAsiaTheme="minorAscii" w:cstheme="minorAscii"/>
          <w:noProof w:val="0"/>
          <w:sz w:val="24"/>
          <w:szCs w:val="24"/>
          <w:lang w:val="en-US"/>
        </w:rPr>
        <w:t>.</w:t>
      </w:r>
    </w:p>
    <w:p w:rsidR="0521A8B6" w:rsidP="3FA7D6B2" w:rsidRDefault="0521A8B6" w14:paraId="50B16E89" w14:textId="4F35EEB7">
      <w:pPr>
        <w:pStyle w:val="Normal"/>
        <w:spacing w:before="0" w:beforeAutospacing="off" w:line="360" w:lineRule="auto"/>
        <w:ind w:left="-20" w:right="-20"/>
        <w:rPr>
          <w:rFonts w:ascii="Calibri" w:hAnsi="Calibri" w:eastAsia="Calibri" w:cs="Calibri" w:asciiTheme="minorAscii" w:hAnsiTheme="minorAscii" w:eastAsiaTheme="minorAscii" w:cstheme="minorAscii"/>
          <w:sz w:val="24"/>
          <w:szCs w:val="24"/>
        </w:rPr>
      </w:pPr>
      <w:r w:rsidRPr="3FA7D6B2" w:rsidR="0521A8B6">
        <w:rPr>
          <w:rFonts w:ascii="Calibri" w:hAnsi="Calibri" w:eastAsia="Calibri" w:cs="Calibri" w:asciiTheme="minorAscii" w:hAnsiTheme="minorAscii" w:eastAsiaTheme="minorAscii" w:cstheme="minorAscii"/>
          <w:sz w:val="24"/>
          <w:szCs w:val="24"/>
        </w:rPr>
        <w:t>(Accessed 4</w:t>
      </w:r>
      <w:r w:rsidRPr="3FA7D6B2" w:rsidR="0521A8B6">
        <w:rPr>
          <w:rFonts w:ascii="Calibri" w:hAnsi="Calibri" w:eastAsia="Calibri" w:cs="Calibri" w:asciiTheme="minorAscii" w:hAnsiTheme="minorAscii" w:eastAsiaTheme="minorAscii" w:cstheme="minorAscii"/>
          <w:sz w:val="24"/>
          <w:szCs w:val="24"/>
          <w:vertAlign w:val="superscript"/>
        </w:rPr>
        <w:t>th</w:t>
      </w:r>
      <w:r w:rsidRPr="3FA7D6B2" w:rsidR="0521A8B6">
        <w:rPr>
          <w:rFonts w:ascii="Calibri" w:hAnsi="Calibri" w:eastAsia="Calibri" w:cs="Calibri" w:asciiTheme="minorAscii" w:hAnsiTheme="minorAscii" w:eastAsiaTheme="minorAscii" w:cstheme="minorAscii"/>
          <w:sz w:val="24"/>
          <w:szCs w:val="24"/>
        </w:rPr>
        <w:t xml:space="preserve"> </w:t>
      </w:r>
      <w:r w:rsidRPr="3FA7D6B2" w:rsidR="0521A8B6">
        <w:rPr>
          <w:rFonts w:ascii="Calibri" w:hAnsi="Calibri" w:eastAsia="Calibri" w:cs="Calibri" w:asciiTheme="minorAscii" w:hAnsiTheme="minorAscii" w:eastAsiaTheme="minorAscii" w:cstheme="minorAscii"/>
          <w:sz w:val="24"/>
          <w:szCs w:val="24"/>
        </w:rPr>
        <w:t>February</w:t>
      </w:r>
      <w:r w:rsidRPr="3FA7D6B2" w:rsidR="0521A8B6">
        <w:rPr>
          <w:rFonts w:ascii="Calibri" w:hAnsi="Calibri" w:eastAsia="Calibri" w:cs="Calibri" w:asciiTheme="minorAscii" w:hAnsiTheme="minorAscii" w:eastAsiaTheme="minorAscii" w:cstheme="minorAscii"/>
          <w:sz w:val="24"/>
          <w:szCs w:val="24"/>
        </w:rPr>
        <w:t xml:space="preserve"> 2024).</w:t>
      </w:r>
    </w:p>
    <w:p w:rsidR="1B26F04B" w:rsidP="3FA7D6B2" w:rsidRDefault="1B26F04B" w14:paraId="27E113F3" w14:textId="78708A02">
      <w:pPr>
        <w:pStyle w:val="Normal"/>
        <w:spacing w:before="0" w:beforeAutospacing="off" w:line="360" w:lineRule="auto"/>
        <w:ind w:left="-20" w:right="-20"/>
        <w:rPr>
          <w:rFonts w:ascii="Calibri" w:hAnsi="Calibri" w:eastAsia="Calibri" w:cs="Calibri" w:asciiTheme="minorAscii" w:hAnsiTheme="minorAscii" w:eastAsiaTheme="minorAscii" w:cstheme="minorAscii"/>
          <w:b w:val="1"/>
          <w:bCs w:val="1"/>
          <w:sz w:val="24"/>
          <w:szCs w:val="24"/>
          <w:u w:val="single"/>
        </w:rPr>
      </w:pPr>
      <w:r w:rsidRPr="3FA7D6B2" w:rsidR="1B26F04B">
        <w:rPr>
          <w:rFonts w:ascii="Calibri" w:hAnsi="Calibri" w:eastAsia="Calibri" w:cs="Calibri" w:asciiTheme="minorAscii" w:hAnsiTheme="minorAscii" w:eastAsiaTheme="minorAscii" w:cstheme="minorAscii"/>
          <w:b w:val="1"/>
          <w:bCs w:val="1"/>
          <w:sz w:val="24"/>
          <w:szCs w:val="24"/>
          <w:u w:val="single"/>
        </w:rPr>
        <w:t>Professional Reflection</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o0wV7bsR" int2:invalidationBookmarkName="" int2:hashCode="RPHfRQ8qAdOwFf" int2:id="BUIFSs1V">
      <int2:state int2:type="AugLoop_Text_Critique" int2:value="Rejected"/>
    </int2:bookmark>
    <int2:bookmark int2:bookmarkName="_Int_kQHvvnJa" int2:invalidationBookmarkName="" int2:hashCode="waH4Rjwlr2owYL" int2:id="pnsO2Dj4">
      <int2:state int2:type="AugLoop_Text_Critique" int2:value="Rejected"/>
    </int2:bookmark>
    <int2:bookmark int2:bookmarkName="_Int_OuHmzZrr" int2:invalidationBookmarkName="" int2:hashCode="1+kcVf/LaFNFHD" int2:id="KF12KBU4">
      <int2:state int2:type="AugLoop_Text_Critique" int2:value="Rejected"/>
    </int2:bookmark>
    <int2:bookmark int2:bookmarkName="_Int_89xaqgSb" int2:invalidationBookmarkName="" int2:hashCode="XfnPlw4VbdG38c" int2:id="QLZxTHk8">
      <int2:state int2:type="AugLoop_Text_Critique" int2:value="Rejected"/>
    </int2:bookmark>
    <int2:bookmark int2:bookmarkName="_Int_wXifJRTr" int2:invalidationBookmarkName="" int2:hashCode="XfnPlw4VbdG38c" int2:id="Ee0KXXrZ">
      <int2:state int2:type="AugLoop_Text_Critique" int2:value="Rejected"/>
    </int2:bookmark>
    <int2:bookmark int2:bookmarkName="_Int_XQakiK8x" int2:invalidationBookmarkName="" int2:hashCode="+PmlRcqJNAZ191" int2:id="4A6Fj8N8">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d51552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1D7C9B"/>
    <w:rsid w:val="00554173"/>
    <w:rsid w:val="0318A913"/>
    <w:rsid w:val="0521A8B6"/>
    <w:rsid w:val="0530A01C"/>
    <w:rsid w:val="06334F0A"/>
    <w:rsid w:val="06CC707D"/>
    <w:rsid w:val="0C8568B1"/>
    <w:rsid w:val="114186FB"/>
    <w:rsid w:val="12F4AA35"/>
    <w:rsid w:val="13AAF385"/>
    <w:rsid w:val="14907A96"/>
    <w:rsid w:val="15327F4D"/>
    <w:rsid w:val="18653C4B"/>
    <w:rsid w:val="18EF8ED0"/>
    <w:rsid w:val="1A8B5F31"/>
    <w:rsid w:val="1B26F04B"/>
    <w:rsid w:val="1B9CDD0D"/>
    <w:rsid w:val="27BA2A4A"/>
    <w:rsid w:val="27F01171"/>
    <w:rsid w:val="28B8D9B8"/>
    <w:rsid w:val="2DAB34B4"/>
    <w:rsid w:val="2E296BCE"/>
    <w:rsid w:val="2F1505F6"/>
    <w:rsid w:val="334998DF"/>
    <w:rsid w:val="3436F073"/>
    <w:rsid w:val="35311B9D"/>
    <w:rsid w:val="392BFD21"/>
    <w:rsid w:val="3A89B7BC"/>
    <w:rsid w:val="3C0E8BCA"/>
    <w:rsid w:val="3C25881D"/>
    <w:rsid w:val="3D53BC74"/>
    <w:rsid w:val="3DC1587E"/>
    <w:rsid w:val="3F032696"/>
    <w:rsid w:val="3F7DD920"/>
    <w:rsid w:val="3FA7D6B2"/>
    <w:rsid w:val="40F8F940"/>
    <w:rsid w:val="4294C9A1"/>
    <w:rsid w:val="44199DAF"/>
    <w:rsid w:val="45D457E9"/>
    <w:rsid w:val="490BF8AB"/>
    <w:rsid w:val="4AA7C90C"/>
    <w:rsid w:val="4ADA5A45"/>
    <w:rsid w:val="4DDF69CE"/>
    <w:rsid w:val="4EBEA609"/>
    <w:rsid w:val="51212EE1"/>
    <w:rsid w:val="51D2BB4D"/>
    <w:rsid w:val="5317E9AE"/>
    <w:rsid w:val="53616B76"/>
    <w:rsid w:val="544EAB52"/>
    <w:rsid w:val="54E7A8F8"/>
    <w:rsid w:val="568D9A1B"/>
    <w:rsid w:val="59C4A4D5"/>
    <w:rsid w:val="5B607536"/>
    <w:rsid w:val="5D3457CD"/>
    <w:rsid w:val="606BF88F"/>
    <w:rsid w:val="61072144"/>
    <w:rsid w:val="636B871B"/>
    <w:rsid w:val="6421D06B"/>
    <w:rsid w:val="653F69B2"/>
    <w:rsid w:val="6B1D7C9B"/>
    <w:rsid w:val="6B4B6BED"/>
    <w:rsid w:val="6B87E7AC"/>
    <w:rsid w:val="6E3E1D49"/>
    <w:rsid w:val="7376BE6A"/>
    <w:rsid w:val="75920B41"/>
    <w:rsid w:val="76AE5F2C"/>
    <w:rsid w:val="775AE94A"/>
    <w:rsid w:val="7AEC9CE2"/>
    <w:rsid w:val="7D24BC22"/>
    <w:rsid w:val="7E182239"/>
    <w:rsid w:val="7EF6D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D7C9B"/>
  <w15:chartTrackingRefBased/>
  <w15:docId w15:val="{E0AA17E4-45DE-4DCC-A783-A830A6CBE03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7752d4af1e4f4ecd" /><Relationship Type="http://schemas.microsoft.com/office/2020/10/relationships/intelligence" Target="intelligence2.xml" Id="R4552133ecab24d08" /><Relationship Type="http://schemas.openxmlformats.org/officeDocument/2006/relationships/numbering" Target="numbering.xml" Id="Rc64f361f5c2a49e4" /><Relationship Type="http://schemas.openxmlformats.org/officeDocument/2006/relationships/image" Target="/media/image3.png" Id="R844aa1ace38846b8" /><Relationship Type="http://schemas.openxmlformats.org/officeDocument/2006/relationships/hyperlink" Target="https://www.bera.ac.uk/publication/ethical-guidelines-for-educational-research-2018-online" TargetMode="External" Id="Rc6f98519564f4ef7" /><Relationship Type="http://schemas.openxmlformats.org/officeDocument/2006/relationships/hyperlink" Target="https://pure.hartpury.ac.uk/ws/portalfiles/portal/27875618/A_Process_Evaluation_of_A_UK_Classroom_Based_Physical_Activity_Intervention.pdf" TargetMode="External" Id="R3348a4b6854240d7" /><Relationship Type="http://schemas.openxmlformats.org/officeDocument/2006/relationships/hyperlink" Target="https://www.legislation.gov.uk/ukpga/2018/12/contents/enacted" TargetMode="External" Id="Rb1318ce0e31c4e6f" /><Relationship Type="http://schemas.openxmlformats.org/officeDocument/2006/relationships/hyperlink" Target="https://scholarworks.calstate.edu/downloads/r494vs75n" TargetMode="External" Id="Rc0191b64f5cf40e7" /><Relationship Type="http://schemas.openxmlformats.org/officeDocument/2006/relationships/hyperlink" Target="https://www.projectplaytherapy.com/gross-motor-brain-break-activities/" TargetMode="External" Id="Re675e222d23b475b" /><Relationship Type="http://schemas.openxmlformats.org/officeDocument/2006/relationships/hyperlink" Target="https://www.earlyyearsstaffroom.com/eysresources/leuven-scales-download/" TargetMode="External" Id="R952de8e6479c402b" /><Relationship Type="http://schemas.openxmlformats.org/officeDocument/2006/relationships/hyperlink" Target="https://hwb.gov.wales/api/storage/e4dcdb2e-f87f-4f00-b110-488289cc02ca/220209-easy-read.pdf" TargetMode="External" Id="R921c23ba90a54c9d" /><Relationship Type="http://schemas.openxmlformats.org/officeDocument/2006/relationships/hyperlink" Target="https://blossomeducational.com/blog/how-to-explain-the-leuven-scale-to-your-nursery-parents/" TargetMode="External" Id="R7320a79d028d4b20" /><Relationship Type="http://schemas.openxmlformats.org/officeDocument/2006/relationships/hyperlink" Target="https://www.understood.org/en/articles/evidence-based-behavior-strategy-brain-breaks" TargetMode="External" Id="R6ecc40f2f245438f" /><Relationship Type="http://schemas.openxmlformats.org/officeDocument/2006/relationships/hyperlink" Target="https://eu.ocala.com/story/news/2002/11/07/get-physical/31268911007/" TargetMode="External" Id="Raaa7473d0d0c46ac" /><Relationship Type="http://schemas.openxmlformats.org/officeDocument/2006/relationships/hyperlink" Target="https://www.structural-learning.com/post/leuven-scale-a-teachers-guide" TargetMode="External" Id="Ra23336d9b4934226" /><Relationship Type="http://schemas.openxmlformats.org/officeDocument/2006/relationships/hyperlink" Target="https://www.twinkl.co.uk/teaching-wiki/ferre-laevers" TargetMode="External" Id="Raab6f7bceccd4a7f" /><Relationship Type="http://schemas.openxmlformats.org/officeDocument/2006/relationships/hyperlink" Target="https://www.who.int/activities/ensuring-ethical-standards-and-procedures-for-research-with-human-beings" TargetMode="External" Id="R7b68672fb28b4395" /><Relationship Type="http://schemas.openxmlformats.org/officeDocument/2006/relationships/hyperlink" Target="https://ncnltd.co.uk/wp-content/uploads/2020/04/The-Leuven-Scales-sheet.pdf" TargetMode="External" Id="Ra516d8fa3e33456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2024-02-25T22:17:45.8637058Z</dcterms:created>
  <dcterms:modified xsi:type="dcterms:W3CDTF">2024-02-25T23:09:31.7556673Z</dcterms:modified>
  <dc:creator>Charlotte Howell (2308966)</dc:creator>
  <lastModifiedBy>Charlotte Howell (2308966)</lastModifiedBy>
</coreProperties>
</file>