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2B4" w:rsidRPr="00741C4D" w:rsidRDefault="005402B4" w:rsidP="005402B4">
      <w:pPr>
        <w:rPr>
          <w:b/>
          <w:sz w:val="28"/>
          <w:u w:val="single"/>
        </w:rPr>
      </w:pPr>
      <w:bookmarkStart w:id="0" w:name="_GoBack"/>
      <w:bookmarkEnd w:id="0"/>
      <w:r w:rsidRPr="00741C4D">
        <w:rPr>
          <w:b/>
          <w:sz w:val="28"/>
          <w:u w:val="single"/>
        </w:rPr>
        <w:t xml:space="preserve">References 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Bell, J. (2010) Doing Your Research Project. London: Saffron House.  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Bell, J. and Opie, C. (2002) </w:t>
      </w:r>
      <w:r w:rsidRPr="00BE7D3F"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  <w:t>Learning from research: Getting More from Your Data</w:t>
      </w:r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Buckingham: Open University Press.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E7D3F">
        <w:rPr>
          <w:rFonts w:ascii="Arial" w:hAnsi="Arial" w:cs="Arial"/>
          <w:color w:val="000000" w:themeColor="text1"/>
          <w:sz w:val="24"/>
          <w:szCs w:val="24"/>
        </w:rPr>
        <w:t>Cassen</w:t>
      </w:r>
      <w:proofErr w:type="spellEnd"/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, R. and </w:t>
      </w:r>
      <w:proofErr w:type="spellStart"/>
      <w:r w:rsidRPr="00BE7D3F">
        <w:rPr>
          <w:rFonts w:ascii="Arial" w:hAnsi="Arial" w:cs="Arial"/>
          <w:color w:val="000000" w:themeColor="text1"/>
          <w:sz w:val="24"/>
          <w:szCs w:val="24"/>
        </w:rPr>
        <w:t>Kingdon</w:t>
      </w:r>
      <w:proofErr w:type="spellEnd"/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, G. (2007) </w:t>
      </w:r>
      <w:r w:rsidRPr="00BE7D3F">
        <w:rPr>
          <w:rFonts w:ascii="Arial" w:hAnsi="Arial" w:cs="Arial"/>
          <w:i/>
          <w:color w:val="000000" w:themeColor="text1"/>
          <w:sz w:val="24"/>
          <w:szCs w:val="24"/>
        </w:rPr>
        <w:t>Tackling Low Educational Disadvantage</w:t>
      </w:r>
      <w:r w:rsidRPr="00BE7D3F">
        <w:rPr>
          <w:rFonts w:ascii="Arial" w:hAnsi="Arial" w:cs="Arial"/>
          <w:color w:val="000000" w:themeColor="text1"/>
          <w:sz w:val="24"/>
          <w:szCs w:val="24"/>
        </w:rPr>
        <w:t>. York: Joseph Rowntree Foundation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Clark, A. (2011) </w:t>
      </w:r>
      <w:r w:rsidRPr="00BE7D3F">
        <w:rPr>
          <w:rFonts w:ascii="Arial" w:hAnsi="Arial" w:cs="Arial"/>
          <w:i/>
          <w:color w:val="000000" w:themeColor="text1"/>
          <w:sz w:val="24"/>
          <w:szCs w:val="24"/>
        </w:rPr>
        <w:t xml:space="preserve">Listening to Young Children: The Mosaic Approach. </w:t>
      </w:r>
      <w:r w:rsidRPr="00BE7D3F">
        <w:rPr>
          <w:rFonts w:ascii="Arial" w:hAnsi="Arial" w:cs="Arial"/>
          <w:color w:val="000000" w:themeColor="text1"/>
          <w:sz w:val="24"/>
          <w:szCs w:val="24"/>
        </w:rPr>
        <w:t>London: NCB.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7D3F">
        <w:rPr>
          <w:rFonts w:ascii="Arial" w:hAnsi="Arial" w:cs="Arial"/>
          <w:color w:val="000000" w:themeColor="text1"/>
          <w:sz w:val="24"/>
          <w:szCs w:val="24"/>
        </w:rPr>
        <w:t>Denzin, N. K. (1989) Interpretive Biography. London: Sage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Hartley, J. and </w:t>
      </w:r>
      <w:proofErr w:type="spellStart"/>
      <w:r w:rsidRPr="00BE7D3F">
        <w:rPr>
          <w:rFonts w:ascii="Arial" w:hAnsi="Arial" w:cs="Arial"/>
          <w:color w:val="000000" w:themeColor="text1"/>
          <w:sz w:val="24"/>
          <w:szCs w:val="24"/>
        </w:rPr>
        <w:t>Sydes</w:t>
      </w:r>
      <w:proofErr w:type="spellEnd"/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, M. (2011) Which layout do you prefer: </w:t>
      </w:r>
      <w:r w:rsidRPr="00BE7D3F">
        <w:rPr>
          <w:rFonts w:ascii="Arial" w:hAnsi="Arial" w:cs="Arial"/>
          <w:i/>
          <w:color w:val="000000" w:themeColor="text1"/>
          <w:sz w:val="24"/>
          <w:szCs w:val="24"/>
        </w:rPr>
        <w:t xml:space="preserve">An analysis of reader preferences for different typographic layouts of structured abstracts. </w:t>
      </w: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London: Sage. 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Haywood, P. and Wragg, E.D. (1982) </w:t>
      </w:r>
      <w:r w:rsidRPr="00BE7D3F">
        <w:rPr>
          <w:rFonts w:ascii="Arial" w:hAnsi="Arial" w:cs="Arial"/>
          <w:i/>
          <w:color w:val="000000" w:themeColor="text1"/>
          <w:sz w:val="24"/>
          <w:szCs w:val="24"/>
        </w:rPr>
        <w:t xml:space="preserve">Evaluating the Literature. </w:t>
      </w: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E7D3F">
        <w:rPr>
          <w:rFonts w:ascii="Arial" w:hAnsi="Arial" w:cs="Arial"/>
          <w:color w:val="000000" w:themeColor="text1"/>
          <w:sz w:val="24"/>
          <w:szCs w:val="24"/>
        </w:rPr>
        <w:t>Readguide</w:t>
      </w:r>
      <w:proofErr w:type="spellEnd"/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 2, University of Nottingham School of Education. 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Laws, S., with Harper C. and Marcus, R. (2003) </w:t>
      </w:r>
      <w:r w:rsidRPr="00BE7D3F">
        <w:rPr>
          <w:rFonts w:ascii="Arial" w:hAnsi="Arial" w:cs="Arial"/>
          <w:i/>
          <w:color w:val="000000" w:themeColor="text1"/>
          <w:sz w:val="24"/>
          <w:szCs w:val="24"/>
        </w:rPr>
        <w:t>Research for Development: A Practical Guide</w:t>
      </w: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. London: Sage Publications. 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Marsh, J. (2004). The Techno-Literacy Practices of Young Children. </w:t>
      </w:r>
      <w:r w:rsidRPr="00BE7D3F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Journal of Early Childhood Research</w:t>
      </w:r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2(1), pp.51-66.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Milas-Bracovic</w:t>
      </w:r>
      <w:proofErr w:type="spellEnd"/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M. (1989) Author Abstracts of Research Articles Published in Scholarly Journals in Croatia (Yugoslavia): An Evaluation. </w:t>
      </w:r>
      <w:proofErr w:type="spellStart"/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Libri</w:t>
      </w:r>
      <w:proofErr w:type="spellEnd"/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39(4)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Potter, C., Walker, G. and Keen, B. (2013) </w:t>
      </w:r>
      <w:r w:rsidRPr="00BE7D3F"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  <w:t>I am reading to her and she loves it: benefits of engaging fathers from disadvantaged areas in their children’s early learning transitions.</w:t>
      </w:r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Early Years: An International Research Journal, 33:1, 74-89. 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Punch, K.F. (2005) </w:t>
      </w:r>
      <w:r w:rsidRPr="00BE7D3F">
        <w:rPr>
          <w:rFonts w:ascii="Arial" w:hAnsi="Arial" w:cs="Arial"/>
          <w:i/>
          <w:color w:val="000000" w:themeColor="text1"/>
          <w:sz w:val="24"/>
          <w:szCs w:val="24"/>
        </w:rPr>
        <w:t>Introduction to Social Research: Quantitative and Qualitative Approaches</w:t>
      </w:r>
      <w:r w:rsidRPr="00BE7D3F">
        <w:rPr>
          <w:rFonts w:ascii="Arial" w:hAnsi="Arial" w:cs="Arial"/>
          <w:color w:val="000000" w:themeColor="text1"/>
          <w:sz w:val="24"/>
          <w:szCs w:val="24"/>
        </w:rPr>
        <w:t>, 2</w:t>
      </w:r>
      <w:r w:rsidRPr="00BE7D3F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 Edition. London: Sage. 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Robson, C. (2002) </w:t>
      </w:r>
      <w:r w:rsidRPr="00BE7D3F">
        <w:rPr>
          <w:rFonts w:ascii="Arial" w:hAnsi="Arial" w:cs="Arial"/>
          <w:i/>
          <w:color w:val="000000" w:themeColor="text1"/>
          <w:sz w:val="24"/>
          <w:szCs w:val="24"/>
        </w:rPr>
        <w:t>Real World Research</w:t>
      </w: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. Oxford: Blackwell. 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Royal Literary Fund (2010) ‘How do I Write an Abstract? </w:t>
      </w:r>
      <w:hyperlink r:id="rId4" w:history="1">
        <w:r w:rsidRPr="00BE7D3F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https://www.rlf.org.uk/resources/how-do-i-write-an-abstract/</w:t>
        </w:r>
      </w:hyperlink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 [Accessed: 16</w:t>
      </w:r>
      <w:r w:rsidRPr="00BE7D3F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 October 2017]. </w:t>
      </w:r>
    </w:p>
    <w:p w:rsidR="005402B4" w:rsidRDefault="005402B4"/>
    <w:sectPr w:rsidR="005402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2B4"/>
    <w:rsid w:val="005402B4"/>
    <w:rsid w:val="00BD4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4F7A9"/>
  <w15:chartTrackingRefBased/>
  <w15:docId w15:val="{05EB03E6-1428-43D2-8C4C-CF153E5A2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02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rlf.org.uk/resources/how-do-i-write-an-abstrac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Liah Evans</dc:creator>
  <cp:keywords/>
  <dc:description/>
  <cp:lastModifiedBy>Liah Evans</cp:lastModifiedBy>
  <cp:revision>1</cp:revision>
  <dcterms:created xsi:type="dcterms:W3CDTF">2017-10-25T16:08:00Z</dcterms:created>
  <dcterms:modified xsi:type="dcterms:W3CDTF">2017-10-25T16:08:00Z</dcterms:modified>
</cp:coreProperties>
</file>