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45233"/>
        <w:docPartObj>
          <w:docPartGallery w:val="Cover Pages"/>
          <w:docPartUnique/>
        </w:docPartObj>
      </w:sdtPr>
      <w:sdtEndPr>
        <w:rPr>
          <w:rStyle w:val="Strong"/>
          <w:rFonts w:ascii="Segoe UI" w:hAnsi="Segoe UI" w:cs="Segoe UI"/>
          <w:b/>
          <w:bCs/>
          <w:color w:val="424242"/>
          <w:spacing w:val="-4"/>
        </w:rPr>
      </w:sdtEndPr>
      <w:sdtContent>
        <w:p w14:paraId="0FE39ED0" w14:textId="2A43FDB1" w:rsidR="008A5126" w:rsidRPr="002F156E" w:rsidRDefault="008A5126" w:rsidP="001250E1">
          <w:pPr>
            <w:spacing w:line="360" w:lineRule="auto"/>
          </w:pPr>
          <w:r w:rsidRPr="002F156E">
            <w:rPr>
              <w:noProof/>
            </w:rPr>
            <mc:AlternateContent>
              <mc:Choice Requires="wpg">
                <w:drawing>
                  <wp:anchor distT="0" distB="0" distL="114300" distR="114300" simplePos="0" relativeHeight="251662336" behindDoc="0" locked="0" layoutInCell="1" allowOverlap="1" wp14:anchorId="2A505154" wp14:editId="664CCD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B60908B"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7"/>
                    </v:rect>
                    <w10:wrap anchorx="page" anchory="page"/>
                  </v:group>
                </w:pict>
              </mc:Fallback>
            </mc:AlternateContent>
          </w:r>
          <w:r w:rsidRPr="002F156E">
            <w:rPr>
              <w:noProof/>
            </w:rPr>
            <mc:AlternateContent>
              <mc:Choice Requires="wps">
                <w:drawing>
                  <wp:anchor distT="0" distB="0" distL="114300" distR="114300" simplePos="0" relativeHeight="251660288" behindDoc="0" locked="0" layoutInCell="1" allowOverlap="1" wp14:anchorId="2B64F9CC" wp14:editId="5BCFC6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4F9C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v:textbox>
                    <w10:wrap type="square" anchorx="page" anchory="page"/>
                  </v:shape>
                </w:pict>
              </mc:Fallback>
            </mc:AlternateContent>
          </w:r>
        </w:p>
        <w:p w14:paraId="3E96AC8F" w14:textId="3C1E3CD6" w:rsidR="008A5126" w:rsidRPr="002F156E" w:rsidRDefault="00137C96" w:rsidP="001250E1">
          <w:pPr>
            <w:spacing w:line="360" w:lineRule="auto"/>
            <w:rPr>
              <w:rStyle w:val="Strong"/>
              <w:rFonts w:ascii="Segoe UI" w:eastAsiaTheme="majorEastAsia" w:hAnsi="Segoe UI" w:cs="Segoe UI"/>
              <w:b w:val="0"/>
              <w:bCs w:val="0"/>
              <w:color w:val="424242"/>
              <w:spacing w:val="-4"/>
              <w:sz w:val="32"/>
              <w:szCs w:val="32"/>
            </w:rPr>
          </w:pPr>
          <w:r w:rsidRPr="002F156E">
            <w:rPr>
              <w:rFonts w:ascii="Arial" w:hAnsi="Arial" w:cs="Arial"/>
              <w:noProof/>
              <w:sz w:val="22"/>
              <w:szCs w:val="22"/>
            </w:rPr>
            <mc:AlternateContent>
              <mc:Choice Requires="wps">
                <w:drawing>
                  <wp:anchor distT="0" distB="0" distL="114300" distR="114300" simplePos="0" relativeHeight="251664384" behindDoc="0" locked="0" layoutInCell="1" allowOverlap="1" wp14:anchorId="6F10A898" wp14:editId="2019FAEC">
                    <wp:simplePos x="0" y="0"/>
                    <wp:positionH relativeFrom="page">
                      <wp:posOffset>420481</wp:posOffset>
                    </wp:positionH>
                    <wp:positionV relativeFrom="page">
                      <wp:posOffset>8274518</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439FA558"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sidR="00F369ED">
                                  <w:rPr>
                                    <w:rFonts w:ascii="Arial" w:hAnsi="Arial" w:cs="Arial"/>
                                    <w:color w:val="595959" w:themeColor="text1" w:themeTint="A6"/>
                                    <w:sz w:val="20"/>
                                    <w:szCs w:val="20"/>
                                  </w:rPr>
                                  <w:t xml:space="preserve">research proposal aims to establish </w:t>
                                </w:r>
                                <w:r w:rsidR="00F369ED" w:rsidRPr="00F369ED">
                                  <w:rPr>
                                    <w:rFonts w:ascii="Arial" w:hAnsi="Arial" w:cs="Arial"/>
                                    <w:color w:val="595959" w:themeColor="text1" w:themeTint="A6"/>
                                    <w:sz w:val="20"/>
                                    <w:szCs w:val="20"/>
                                    <w:lang w:val="en-GB"/>
                                  </w:rPr>
                                  <w:t xml:space="preserve">why this research is </w:t>
                                </w:r>
                                <w:r w:rsidR="00F369ED">
                                  <w:rPr>
                                    <w:rFonts w:ascii="Arial" w:hAnsi="Arial" w:cs="Arial"/>
                                    <w:color w:val="595959" w:themeColor="text1" w:themeTint="A6"/>
                                    <w:sz w:val="20"/>
                                    <w:szCs w:val="20"/>
                                    <w:lang w:val="en-GB"/>
                                  </w:rPr>
                                  <w:t>important and the</w:t>
                                </w:r>
                                <w:r w:rsidR="00F369ED" w:rsidRPr="00F369ED">
                                  <w:rPr>
                                    <w:rFonts w:ascii="Arial" w:hAnsi="Arial" w:cs="Arial"/>
                                    <w:color w:val="595959" w:themeColor="text1" w:themeTint="A6"/>
                                    <w:sz w:val="20"/>
                                    <w:szCs w:val="20"/>
                                    <w:lang w:val="en-GB"/>
                                  </w:rPr>
                                  <w:t xml:space="preserve"> knowledge it adds</w:t>
                                </w:r>
                                <w:r>
                                  <w:rPr>
                                    <w:rFonts w:ascii="Arial" w:hAnsi="Arial" w:cs="Arial"/>
                                    <w:color w:val="595959" w:themeColor="text1" w:themeTint="A6"/>
                                    <w:sz w:val="20"/>
                                    <w:szCs w:val="20"/>
                                  </w:rPr>
                                  <w:t xml:space="preserve"> </w:t>
                                </w:r>
                                <w:r w:rsidR="00F369ED">
                                  <w:rPr>
                                    <w:rFonts w:ascii="Arial" w:hAnsi="Arial" w:cs="Arial"/>
                                    <w:color w:val="595959" w:themeColor="text1" w:themeTint="A6"/>
                                    <w:sz w:val="20"/>
                                    <w:szCs w:val="20"/>
                                  </w:rPr>
                                  <w:t xml:space="preserve">to the existing literature on the value that </w:t>
                                </w:r>
                                <w:r>
                                  <w:rPr>
                                    <w:rFonts w:ascii="Arial" w:hAnsi="Arial" w:cs="Arial"/>
                                    <w:color w:val="595959" w:themeColor="text1" w:themeTint="A6"/>
                                    <w:sz w:val="20"/>
                                    <w:szCs w:val="20"/>
                                  </w:rPr>
                                  <w:t>coach-trained change managers bring when facilitating organisational change.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10A898" id="Text Box 23" o:spid="_x0000_s1027" type="#_x0000_t202" style="position:absolute;margin-left:33.1pt;margin-top:651.5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" filled="f" stroked="f" strokeweight=".5pt">
                    <v:textbox style="mso-fit-shape-to-text:t" inset="126pt,0,54pt,0">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439FA558"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sidR="00F369ED">
                            <w:rPr>
                              <w:rFonts w:ascii="Arial" w:hAnsi="Arial" w:cs="Arial"/>
                              <w:color w:val="595959" w:themeColor="text1" w:themeTint="A6"/>
                              <w:sz w:val="20"/>
                              <w:szCs w:val="20"/>
                            </w:rPr>
                            <w:t xml:space="preserve">research proposal aims to establish </w:t>
                          </w:r>
                          <w:r w:rsidR="00F369ED" w:rsidRPr="00F369ED">
                            <w:rPr>
                              <w:rFonts w:ascii="Arial" w:hAnsi="Arial" w:cs="Arial"/>
                              <w:color w:val="595959" w:themeColor="text1" w:themeTint="A6"/>
                              <w:sz w:val="20"/>
                              <w:szCs w:val="20"/>
                              <w:lang w:val="en-GB"/>
                            </w:rPr>
                            <w:t xml:space="preserve">why this research is </w:t>
                          </w:r>
                          <w:r w:rsidR="00F369ED">
                            <w:rPr>
                              <w:rFonts w:ascii="Arial" w:hAnsi="Arial" w:cs="Arial"/>
                              <w:color w:val="595959" w:themeColor="text1" w:themeTint="A6"/>
                              <w:sz w:val="20"/>
                              <w:szCs w:val="20"/>
                              <w:lang w:val="en-GB"/>
                            </w:rPr>
                            <w:t>important and the</w:t>
                          </w:r>
                          <w:r w:rsidR="00F369ED" w:rsidRPr="00F369ED">
                            <w:rPr>
                              <w:rFonts w:ascii="Arial" w:hAnsi="Arial" w:cs="Arial"/>
                              <w:color w:val="595959" w:themeColor="text1" w:themeTint="A6"/>
                              <w:sz w:val="20"/>
                              <w:szCs w:val="20"/>
                              <w:lang w:val="en-GB"/>
                            </w:rPr>
                            <w:t xml:space="preserve"> knowledge it adds</w:t>
                          </w:r>
                          <w:r>
                            <w:rPr>
                              <w:rFonts w:ascii="Arial" w:hAnsi="Arial" w:cs="Arial"/>
                              <w:color w:val="595959" w:themeColor="text1" w:themeTint="A6"/>
                              <w:sz w:val="20"/>
                              <w:szCs w:val="20"/>
                            </w:rPr>
                            <w:t xml:space="preserve"> </w:t>
                          </w:r>
                          <w:r w:rsidR="00F369ED">
                            <w:rPr>
                              <w:rFonts w:ascii="Arial" w:hAnsi="Arial" w:cs="Arial"/>
                              <w:color w:val="595959" w:themeColor="text1" w:themeTint="A6"/>
                              <w:sz w:val="20"/>
                              <w:szCs w:val="20"/>
                            </w:rPr>
                            <w:t xml:space="preserve">to the existing literature on the value that </w:t>
                          </w:r>
                          <w:r>
                            <w:rPr>
                              <w:rFonts w:ascii="Arial" w:hAnsi="Arial" w:cs="Arial"/>
                              <w:color w:val="595959" w:themeColor="text1" w:themeTint="A6"/>
                              <w:sz w:val="20"/>
                              <w:szCs w:val="20"/>
                            </w:rPr>
                            <w:t>coach-trained change managers bring when facilitating organisational change.</w:t>
                          </w:r>
                        </w:p>
                      </w:txbxContent>
                    </v:textbox>
                    <w10:wrap type="square" anchorx="page" anchory="page"/>
                  </v:shape>
                </w:pict>
              </mc:Fallback>
            </mc:AlternateContent>
          </w:r>
          <w:r w:rsidRPr="002F156E">
            <w:rPr>
              <w:noProof/>
            </w:rPr>
            <mc:AlternateContent>
              <mc:Choice Requires="wps">
                <w:drawing>
                  <wp:anchor distT="0" distB="0" distL="114300" distR="114300" simplePos="0" relativeHeight="251659264" behindDoc="0" locked="0" layoutInCell="1" allowOverlap="1" wp14:anchorId="353EFF8E" wp14:editId="6B484246">
                    <wp:simplePos x="0" y="0"/>
                    <wp:positionH relativeFrom="page">
                      <wp:posOffset>269606</wp:posOffset>
                    </wp:positionH>
                    <wp:positionV relativeFrom="page">
                      <wp:posOffset>1812425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3F960" w14:textId="61E11FC3" w:rsidR="008A5126" w:rsidRDefault="008F3597">
                                <w:pPr>
                                  <w:jc w:val="right"/>
                                  <w:rPr>
                                    <w:smallCaps/>
                                    <w:color w:val="404040" w:themeColor="text1" w:themeTint="BF"/>
                                    <w:sz w:val="36"/>
                                    <w:szCs w:val="36"/>
                                  </w:rPr>
                                </w:pPr>
                                <w:r w:rsidRPr="008F3597">
                                  <w:rPr>
                                    <w:rFonts w:ascii="Arial" w:hAnsi="Arial" w:cs="Arial"/>
                                    <w:color w:val="156082" w:themeColor="accent1"/>
                                    <w:sz w:val="56"/>
                                    <w:szCs w:val="56"/>
                                  </w:rPr>
                                  <w:t>The Lived Experience Of Coach-Trained Change Managers</w:t>
                                </w:r>
                                <w:r w:rsidRPr="008F3597">
                                  <w:rPr>
                                    <w:rFonts w:ascii="Arial" w:hAnsi="Arial" w:cs="Arial"/>
                                    <w:color w:val="156082" w:themeColor="accent1"/>
                                    <w:sz w:val="56"/>
                                    <w:szCs w:val="56"/>
                                  </w:rPr>
                                  <w:br/>
                                </w:r>
                                <w:r w:rsidRPr="008F3597">
                                  <w:rPr>
                                    <w:rFonts w:ascii="Arial" w:hAnsi="Arial" w:cs="Arial"/>
                                    <w:color w:val="156082" w:themeColor="accent1"/>
                                    <w:sz w:val="28"/>
                                    <w:szCs w:val="28"/>
                                  </w:rPr>
                                  <w:t>Integrating Coaching And Organisational Change Practice</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C0362E">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3EFF8E" id="Text Box 25" o:spid="_x0000_s1028" type="#_x0000_t202" style="position:absolute;margin-left:21.25pt;margin-top:142.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" filled="f" stroked="f" strokeweight=".5pt">
                    <v:textbox inset="126pt,0,54pt,0">
                      <w:txbxContent>
                        <w:p w14:paraId="2433F960" w14:textId="61E11FC3" w:rsidR="008A5126" w:rsidRDefault="008F3597">
                          <w:pPr>
                            <w:jc w:val="right"/>
                            <w:rPr>
                              <w:smallCaps/>
                              <w:color w:val="404040" w:themeColor="text1" w:themeTint="BF"/>
                              <w:sz w:val="36"/>
                              <w:szCs w:val="36"/>
                            </w:rPr>
                          </w:pPr>
                          <w:r w:rsidRPr="008F3597">
                            <w:rPr>
                              <w:rFonts w:ascii="Arial" w:hAnsi="Arial" w:cs="Arial"/>
                              <w:color w:val="156082" w:themeColor="accent1"/>
                              <w:sz w:val="56"/>
                              <w:szCs w:val="56"/>
                            </w:rPr>
                            <w:t>The Lived Experience Of Coach-Trained Change Managers</w:t>
                          </w:r>
                          <w:r w:rsidRPr="008F3597">
                            <w:rPr>
                              <w:rFonts w:ascii="Arial" w:hAnsi="Arial" w:cs="Arial"/>
                              <w:color w:val="156082" w:themeColor="accent1"/>
                              <w:sz w:val="56"/>
                              <w:szCs w:val="56"/>
                            </w:rPr>
                            <w:br/>
                          </w:r>
                          <w:r w:rsidRPr="008F3597">
                            <w:rPr>
                              <w:rFonts w:ascii="Arial" w:hAnsi="Arial" w:cs="Arial"/>
                              <w:color w:val="156082" w:themeColor="accent1"/>
                              <w:sz w:val="28"/>
                              <w:szCs w:val="28"/>
                            </w:rPr>
                            <w:t>Integrating Coaching And Organisational Change Practice</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C0362E">
                                <w:rPr>
                                  <w:color w:val="404040" w:themeColor="text1" w:themeTint="BF"/>
                                  <w:sz w:val="36"/>
                                  <w:szCs w:val="36"/>
                                </w:rPr>
                                <w:t xml:space="preserve">     </w:t>
                              </w:r>
                            </w:sdtContent>
                          </w:sdt>
                        </w:p>
                      </w:txbxContent>
                    </v:textbox>
                    <w10:wrap type="square" anchorx="page" anchory="page"/>
                  </v:shape>
                </w:pict>
              </mc:Fallback>
            </mc:AlternateContent>
          </w:r>
          <w:r w:rsidR="008A5126" w:rsidRPr="002F156E">
            <w:rPr>
              <w:rStyle w:val="Strong"/>
              <w:rFonts w:ascii="Segoe UI" w:hAnsi="Segoe UI" w:cs="Segoe UI"/>
              <w:b w:val="0"/>
              <w:bCs w:val="0"/>
              <w:color w:val="424242"/>
              <w:spacing w:val="-4"/>
            </w:rPr>
            <w:br w:type="page"/>
          </w:r>
        </w:p>
      </w:sdtContent>
    </w:sdt>
    <w:sdt>
      <w:sdtPr>
        <w:rPr>
          <w:rFonts w:asciiTheme="minorHAnsi" w:eastAsiaTheme="minorEastAsia" w:hAnsiTheme="minorHAnsi" w:cstheme="minorBidi"/>
          <w:b w:val="0"/>
          <w:bCs w:val="0"/>
          <w:color w:val="auto"/>
          <w:sz w:val="24"/>
          <w:szCs w:val="24"/>
          <w:lang w:val="en-GB" w:eastAsia="ja-JP"/>
        </w:rPr>
        <w:id w:val="1545717630"/>
        <w:docPartObj>
          <w:docPartGallery w:val="Table of Contents"/>
          <w:docPartUnique/>
        </w:docPartObj>
      </w:sdtPr>
      <w:sdtEndPr>
        <w:rPr>
          <w:noProof/>
          <w:lang w:eastAsia="en-GB"/>
        </w:rPr>
      </w:sdtEndPr>
      <w:sdtContent>
        <w:p w14:paraId="410F2F3F" w14:textId="09B2DE92" w:rsidR="001934EA" w:rsidRPr="002F156E" w:rsidRDefault="001934EA" w:rsidP="001250E1">
          <w:pPr>
            <w:pStyle w:val="TOCHeading"/>
            <w:spacing w:line="360" w:lineRule="auto"/>
            <w:rPr>
              <w:rFonts w:ascii="Arial" w:hAnsi="Arial" w:cs="Arial"/>
            </w:rPr>
          </w:pPr>
          <w:r w:rsidRPr="002F156E">
            <w:t xml:space="preserve">Table </w:t>
          </w:r>
          <w:r w:rsidRPr="002F156E">
            <w:rPr>
              <w:rFonts w:ascii="Arial" w:hAnsi="Arial" w:cs="Arial"/>
            </w:rPr>
            <w:t>of Contents</w:t>
          </w:r>
        </w:p>
        <w:p w14:paraId="115CDAF3" w14:textId="30138DFB" w:rsidR="003331EF" w:rsidRPr="003331EF" w:rsidRDefault="001934EA">
          <w:pPr>
            <w:pStyle w:val="TOC1"/>
            <w:rPr>
              <w:rFonts w:ascii="Arial" w:eastAsiaTheme="minorEastAsia" w:hAnsi="Arial" w:cs="Arial"/>
              <w:b w:val="0"/>
              <w:bCs w:val="0"/>
              <w:i w:val="0"/>
              <w:iCs w:val="0"/>
              <w:noProof/>
              <w:kern w:val="2"/>
              <w14:ligatures w14:val="standardContextual"/>
            </w:rPr>
          </w:pPr>
          <w:r w:rsidRPr="003331EF">
            <w:rPr>
              <w:rFonts w:ascii="Arial" w:hAnsi="Arial" w:cs="Arial"/>
            </w:rPr>
            <w:fldChar w:fldCharType="begin"/>
          </w:r>
          <w:r w:rsidRPr="003331EF">
            <w:rPr>
              <w:rFonts w:ascii="Arial" w:hAnsi="Arial" w:cs="Arial"/>
            </w:rPr>
            <w:instrText xml:space="preserve"> TOC \o "1-3" \h \z \u </w:instrText>
          </w:r>
          <w:r w:rsidRPr="003331EF">
            <w:rPr>
              <w:rFonts w:ascii="Arial" w:hAnsi="Arial" w:cs="Arial"/>
            </w:rPr>
            <w:fldChar w:fldCharType="separate"/>
          </w:r>
          <w:hyperlink w:anchor="_Toc229993912" w:history="1">
            <w:r w:rsidR="003331EF" w:rsidRPr="003331EF">
              <w:rPr>
                <w:rStyle w:val="Hyperlink"/>
                <w:rFonts w:ascii="Arial" w:eastAsia="Arial Narrow" w:hAnsi="Arial" w:cs="Arial"/>
                <w:noProof/>
              </w:rPr>
              <w:t>1.</w:t>
            </w:r>
            <w:r w:rsidR="003331EF" w:rsidRPr="003331EF">
              <w:rPr>
                <w:rFonts w:ascii="Arial" w:eastAsiaTheme="minorEastAsia" w:hAnsi="Arial" w:cs="Arial"/>
                <w:b w:val="0"/>
                <w:bCs w:val="0"/>
                <w:i w:val="0"/>
                <w:iCs w:val="0"/>
                <w:noProof/>
                <w:kern w:val="2"/>
                <w14:ligatures w14:val="standardContextual"/>
              </w:rPr>
              <w:tab/>
            </w:r>
            <w:r w:rsidR="003331EF" w:rsidRPr="003331EF">
              <w:rPr>
                <w:rStyle w:val="Hyperlink"/>
                <w:rFonts w:ascii="Arial" w:hAnsi="Arial" w:cs="Arial"/>
                <w:noProof/>
              </w:rPr>
              <w:t>Background and Context</w:t>
            </w:r>
            <w:r w:rsidR="003331EF" w:rsidRPr="003331EF">
              <w:rPr>
                <w:rFonts w:ascii="Arial" w:hAnsi="Arial" w:cs="Arial"/>
                <w:noProof/>
                <w:webHidden/>
              </w:rPr>
              <w:tab/>
            </w:r>
            <w:r w:rsidR="003331EF" w:rsidRPr="003331EF">
              <w:rPr>
                <w:rFonts w:ascii="Arial" w:hAnsi="Arial" w:cs="Arial"/>
                <w:noProof/>
                <w:webHidden/>
              </w:rPr>
              <w:fldChar w:fldCharType="begin"/>
            </w:r>
            <w:r w:rsidR="003331EF" w:rsidRPr="003331EF">
              <w:rPr>
                <w:rFonts w:ascii="Arial" w:hAnsi="Arial" w:cs="Arial"/>
                <w:noProof/>
                <w:webHidden/>
              </w:rPr>
              <w:instrText xml:space="preserve"> PAGEREF _Toc229993912 \h </w:instrText>
            </w:r>
            <w:r w:rsidR="003331EF" w:rsidRPr="003331EF">
              <w:rPr>
                <w:rFonts w:ascii="Arial" w:hAnsi="Arial" w:cs="Arial"/>
                <w:noProof/>
                <w:webHidden/>
              </w:rPr>
            </w:r>
            <w:r w:rsidR="003331EF" w:rsidRPr="003331EF">
              <w:rPr>
                <w:rFonts w:ascii="Arial" w:hAnsi="Arial" w:cs="Arial"/>
                <w:noProof/>
                <w:webHidden/>
              </w:rPr>
              <w:fldChar w:fldCharType="separate"/>
            </w:r>
            <w:r w:rsidR="003331EF" w:rsidRPr="003331EF">
              <w:rPr>
                <w:rFonts w:ascii="Arial" w:hAnsi="Arial" w:cs="Arial"/>
                <w:noProof/>
                <w:webHidden/>
              </w:rPr>
              <w:t>2</w:t>
            </w:r>
            <w:r w:rsidR="003331EF" w:rsidRPr="003331EF">
              <w:rPr>
                <w:rFonts w:ascii="Arial" w:hAnsi="Arial" w:cs="Arial"/>
                <w:noProof/>
                <w:webHidden/>
              </w:rPr>
              <w:fldChar w:fldCharType="end"/>
            </w:r>
          </w:hyperlink>
        </w:p>
        <w:p w14:paraId="3248646F" w14:textId="59EA7117" w:rsidR="003331EF" w:rsidRPr="003331EF" w:rsidRDefault="003331EF">
          <w:pPr>
            <w:pStyle w:val="TOC1"/>
            <w:rPr>
              <w:rFonts w:ascii="Arial" w:eastAsiaTheme="minorEastAsia" w:hAnsi="Arial" w:cs="Arial"/>
              <w:b w:val="0"/>
              <w:bCs w:val="0"/>
              <w:i w:val="0"/>
              <w:iCs w:val="0"/>
              <w:noProof/>
              <w:kern w:val="2"/>
              <w14:ligatures w14:val="standardContextual"/>
            </w:rPr>
          </w:pPr>
          <w:hyperlink w:anchor="_Toc229993913" w:history="1">
            <w:r w:rsidRPr="003331EF">
              <w:rPr>
                <w:rStyle w:val="Hyperlink"/>
                <w:rFonts w:ascii="Arial" w:eastAsia="Arial Narrow" w:hAnsi="Arial" w:cs="Arial"/>
                <w:noProof/>
              </w:rPr>
              <w:t>2.</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Aims and Objectives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_Toc229993913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3</w:t>
            </w:r>
            <w:r w:rsidRPr="003331EF">
              <w:rPr>
                <w:rFonts w:ascii="Arial" w:hAnsi="Arial" w:cs="Arial"/>
                <w:noProof/>
                <w:webHidden/>
              </w:rPr>
              <w:fldChar w:fldCharType="end"/>
            </w:r>
          </w:hyperlink>
        </w:p>
        <w:p w14:paraId="1E41CD18" w14:textId="58322B8F" w:rsidR="003331EF" w:rsidRPr="003331EF" w:rsidRDefault="003331EF">
          <w:pPr>
            <w:pStyle w:val="TOC1"/>
            <w:rPr>
              <w:rFonts w:ascii="Arial" w:eastAsiaTheme="minorEastAsia" w:hAnsi="Arial" w:cs="Arial"/>
              <w:b w:val="0"/>
              <w:bCs w:val="0"/>
              <w:i w:val="0"/>
              <w:iCs w:val="0"/>
              <w:noProof/>
              <w:kern w:val="2"/>
              <w14:ligatures w14:val="standardContextual"/>
            </w:rPr>
          </w:pPr>
          <w:hyperlink w:anchor="_Toc229993914" w:history="1">
            <w:r w:rsidRPr="003331EF">
              <w:rPr>
                <w:rStyle w:val="Hyperlink"/>
                <w:rFonts w:ascii="Arial" w:eastAsia="Arial Narrow" w:hAnsi="Arial" w:cs="Arial"/>
                <w:noProof/>
              </w:rPr>
              <w:t>3.</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Indicative Review of Literature</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_Toc229993914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4</w:t>
            </w:r>
            <w:r w:rsidRPr="003331EF">
              <w:rPr>
                <w:rFonts w:ascii="Arial" w:hAnsi="Arial" w:cs="Arial"/>
                <w:noProof/>
                <w:webHidden/>
              </w:rPr>
              <w:fldChar w:fldCharType="end"/>
            </w:r>
          </w:hyperlink>
        </w:p>
        <w:p w14:paraId="5D65D23B" w14:textId="6E98BF08" w:rsidR="003331EF" w:rsidRPr="003331EF" w:rsidRDefault="003331EF">
          <w:pPr>
            <w:pStyle w:val="TOC1"/>
            <w:rPr>
              <w:rFonts w:ascii="Arial" w:eastAsiaTheme="minorEastAsia" w:hAnsi="Arial" w:cs="Arial"/>
              <w:b w:val="0"/>
              <w:bCs w:val="0"/>
              <w:i w:val="0"/>
              <w:iCs w:val="0"/>
              <w:noProof/>
              <w:kern w:val="2"/>
              <w14:ligatures w14:val="standardContextual"/>
            </w:rPr>
          </w:pPr>
          <w:hyperlink w:anchor="_Toc229993915" w:history="1">
            <w:r w:rsidRPr="003331EF">
              <w:rPr>
                <w:rStyle w:val="Hyperlink"/>
                <w:rFonts w:ascii="Arial" w:eastAsia="Arial Narrow" w:hAnsi="Arial" w:cs="Arial"/>
                <w:noProof/>
              </w:rPr>
              <w:t>4.</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Proposed Methodology</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_Toc229993915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10</w:t>
            </w:r>
            <w:r w:rsidRPr="003331EF">
              <w:rPr>
                <w:rFonts w:ascii="Arial" w:hAnsi="Arial" w:cs="Arial"/>
                <w:noProof/>
                <w:webHidden/>
              </w:rPr>
              <w:fldChar w:fldCharType="end"/>
            </w:r>
          </w:hyperlink>
        </w:p>
        <w:p w14:paraId="263F0A56" w14:textId="2352A93C" w:rsidR="003331EF" w:rsidRPr="003331EF" w:rsidRDefault="003331EF">
          <w:pPr>
            <w:pStyle w:val="TOC1"/>
            <w:rPr>
              <w:rFonts w:ascii="Arial" w:eastAsiaTheme="minorEastAsia" w:hAnsi="Arial" w:cs="Arial"/>
              <w:b w:val="0"/>
              <w:bCs w:val="0"/>
              <w:i w:val="0"/>
              <w:iCs w:val="0"/>
              <w:noProof/>
              <w:kern w:val="2"/>
              <w14:ligatures w14:val="standardContextual"/>
            </w:rPr>
          </w:pPr>
          <w:hyperlink w:anchor="_Toc229993916" w:history="1">
            <w:r w:rsidRPr="003331EF">
              <w:rPr>
                <w:rStyle w:val="Hyperlink"/>
                <w:rFonts w:ascii="Arial" w:eastAsia="Arial Narrow" w:hAnsi="Arial" w:cs="Arial"/>
                <w:noProof/>
              </w:rPr>
              <w:t>5.</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Ethical Considerations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_Toc229993916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13</w:t>
            </w:r>
            <w:r w:rsidRPr="003331EF">
              <w:rPr>
                <w:rFonts w:ascii="Arial" w:hAnsi="Arial" w:cs="Arial"/>
                <w:noProof/>
                <w:webHidden/>
              </w:rPr>
              <w:fldChar w:fldCharType="end"/>
            </w:r>
          </w:hyperlink>
        </w:p>
        <w:p w14:paraId="5B7C441B" w14:textId="08AD1645" w:rsidR="003331EF" w:rsidRPr="003331EF" w:rsidRDefault="003331EF">
          <w:pPr>
            <w:pStyle w:val="TOC1"/>
            <w:rPr>
              <w:rFonts w:ascii="Arial" w:eastAsiaTheme="minorEastAsia" w:hAnsi="Arial" w:cs="Arial"/>
              <w:b w:val="0"/>
              <w:bCs w:val="0"/>
              <w:i w:val="0"/>
              <w:iCs w:val="0"/>
              <w:noProof/>
              <w:kern w:val="2"/>
              <w14:ligatures w14:val="standardContextual"/>
            </w:rPr>
          </w:pPr>
          <w:hyperlink w:anchor="_Toc229993917" w:history="1">
            <w:r w:rsidRPr="003331EF">
              <w:rPr>
                <w:rStyle w:val="Hyperlink"/>
                <w:rFonts w:ascii="Arial" w:eastAsia="Arial Narrow" w:hAnsi="Arial" w:cs="Arial"/>
                <w:noProof/>
              </w:rPr>
              <w:t>6.</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References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_Toc229993917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15</w:t>
            </w:r>
            <w:r w:rsidRPr="003331EF">
              <w:rPr>
                <w:rFonts w:ascii="Arial" w:hAnsi="Arial" w:cs="Arial"/>
                <w:noProof/>
                <w:webHidden/>
              </w:rPr>
              <w:fldChar w:fldCharType="end"/>
            </w:r>
          </w:hyperlink>
        </w:p>
        <w:p w14:paraId="7E946BE2" w14:textId="494DA8DC" w:rsidR="001934EA" w:rsidRPr="002F156E" w:rsidRDefault="001934EA" w:rsidP="001250E1">
          <w:pPr>
            <w:spacing w:line="360" w:lineRule="auto"/>
          </w:pPr>
          <w:r w:rsidRPr="003331EF">
            <w:rPr>
              <w:rFonts w:ascii="Arial" w:hAnsi="Arial" w:cs="Arial"/>
              <w:b/>
              <w:bCs/>
              <w:noProof/>
            </w:rPr>
            <w:fldChar w:fldCharType="end"/>
          </w:r>
        </w:p>
      </w:sdtContent>
    </w:sdt>
    <w:p w14:paraId="4FE4102A" w14:textId="6EF76719" w:rsidR="005753F0" w:rsidRPr="002F156E" w:rsidRDefault="005753F0" w:rsidP="001250E1">
      <w:pPr>
        <w:spacing w:line="360" w:lineRule="auto"/>
        <w:rPr>
          <w:rStyle w:val="Strong"/>
          <w:rFonts w:ascii="Segoe UI" w:eastAsiaTheme="majorEastAsia" w:hAnsi="Segoe UI" w:cs="Segoe UI"/>
          <w:b w:val="0"/>
          <w:bCs w:val="0"/>
          <w:color w:val="424242"/>
          <w:spacing w:val="-4"/>
          <w:sz w:val="32"/>
          <w:szCs w:val="32"/>
        </w:rPr>
      </w:pPr>
      <w:r w:rsidRPr="002F156E">
        <w:rPr>
          <w:rStyle w:val="Strong"/>
          <w:rFonts w:ascii="Segoe UI" w:hAnsi="Segoe UI" w:cs="Segoe UI"/>
          <w:b w:val="0"/>
          <w:bCs w:val="0"/>
          <w:color w:val="424242"/>
          <w:spacing w:val="-4"/>
        </w:rPr>
        <w:br w:type="page"/>
      </w:r>
    </w:p>
    <w:p w14:paraId="7517AD01" w14:textId="33185175" w:rsidR="003876CE" w:rsidRPr="002F156E" w:rsidRDefault="003876CE" w:rsidP="003876CE">
      <w:pPr>
        <w:pStyle w:val="Heading1"/>
        <w:numPr>
          <w:ilvl w:val="0"/>
          <w:numId w:val="34"/>
        </w:numPr>
        <w:ind w:left="440"/>
        <w:rPr>
          <w:rFonts w:ascii="Arial" w:hAnsi="Arial" w:cs="Arial"/>
          <w:b/>
          <w:bCs/>
        </w:rPr>
      </w:pPr>
      <w:bookmarkStart w:id="0" w:name="_Toc229993912"/>
      <w:r w:rsidRPr="002F156E">
        <w:rPr>
          <w:rFonts w:ascii="Arial" w:hAnsi="Arial" w:cs="Arial"/>
          <w:b/>
          <w:bCs/>
        </w:rPr>
        <w:lastRenderedPageBreak/>
        <w:t>Background and Context</w:t>
      </w:r>
      <w:bookmarkEnd w:id="0"/>
      <w:r w:rsidRPr="002F156E">
        <w:rPr>
          <w:rFonts w:ascii="Arial" w:hAnsi="Arial" w:cs="Arial"/>
          <w:b/>
          <w:bCs/>
        </w:rPr>
        <w:t xml:space="preserve"> </w:t>
      </w:r>
    </w:p>
    <w:p w14:paraId="7929ADEA" w14:textId="77777777" w:rsidR="00B07363" w:rsidRPr="002F156E" w:rsidRDefault="00B07363" w:rsidP="00B07363"/>
    <w:p w14:paraId="57565DFE" w14:textId="6A6CA064" w:rsidR="00AF182F" w:rsidRPr="002F156E" w:rsidRDefault="00AF182F" w:rsidP="00AF182F">
      <w:pPr>
        <w:spacing w:line="360" w:lineRule="auto"/>
        <w:rPr>
          <w:rFonts w:ascii="Arial" w:hAnsi="Arial" w:cs="Arial"/>
        </w:rPr>
      </w:pPr>
      <w:r w:rsidRPr="002F156E">
        <w:rPr>
          <w:rFonts w:ascii="Arial" w:hAnsi="Arial" w:cs="Arial"/>
        </w:rPr>
        <w:t>Both the professions of organisational change management and coaching have existed for many years but have largely gained legitimacy within the last 30 years. The International Coaching Federation (ICF) celebrated its 30</w:t>
      </w:r>
      <w:r w:rsidRPr="002F156E">
        <w:rPr>
          <w:rFonts w:ascii="Arial" w:hAnsi="Arial" w:cs="Arial"/>
          <w:vertAlign w:val="superscript"/>
        </w:rPr>
        <w:t>th</w:t>
      </w:r>
      <w:r w:rsidRPr="002F156E">
        <w:rPr>
          <w:rFonts w:ascii="Arial" w:hAnsi="Arial" w:cs="Arial"/>
        </w:rPr>
        <w:t xml:space="preserve"> year in 2025, supporting this argument. Alongside that, Prosci, a global leader in change management methodology has further developed its ADKAR framework to focus on the human side of change (Prosci, 2026).  There are several academic publications supporting the case for how organisational change focusses on the human side of change and delivers better outcomes for the stakeholders involved along with the organisation the change is being delivered in (Grant, 2014; Stober, 2008; Sherlock-Storey</w:t>
      </w:r>
      <w:r w:rsidR="00DD3BB5" w:rsidRPr="002F156E">
        <w:rPr>
          <w:rFonts w:ascii="Arial" w:hAnsi="Arial" w:cs="Arial"/>
        </w:rPr>
        <w:t>, 2013</w:t>
      </w:r>
      <w:r w:rsidRPr="002F156E">
        <w:rPr>
          <w:rFonts w:ascii="Arial" w:hAnsi="Arial" w:cs="Arial"/>
        </w:rPr>
        <w:t xml:space="preserve">).  </w:t>
      </w:r>
      <w:r w:rsidR="00811761" w:rsidRPr="002F156E">
        <w:rPr>
          <w:rFonts w:ascii="Arial" w:hAnsi="Arial" w:cs="Arial"/>
        </w:rPr>
        <w:t xml:space="preserve">In addition, </w:t>
      </w:r>
      <w:r w:rsidRPr="002F156E">
        <w:rPr>
          <w:rFonts w:ascii="Arial" w:hAnsi="Arial" w:cs="Arial"/>
        </w:rPr>
        <w:t xml:space="preserve">there are as many publications focussed on </w:t>
      </w:r>
      <w:r w:rsidR="00B07363" w:rsidRPr="002F156E">
        <w:rPr>
          <w:rFonts w:ascii="Arial" w:hAnsi="Arial" w:cs="Arial"/>
        </w:rPr>
        <w:t>several</w:t>
      </w:r>
      <w:r w:rsidRPr="002F156E">
        <w:rPr>
          <w:rFonts w:ascii="Arial" w:hAnsi="Arial" w:cs="Arial"/>
        </w:rPr>
        <w:t xml:space="preserve"> aspects of the coaching profession, for example, executive coaching, internal coaching, coaching for change to name a few</w:t>
      </w:r>
      <w:r w:rsidR="00811761" w:rsidRPr="002F156E">
        <w:rPr>
          <w:rFonts w:ascii="Arial" w:hAnsi="Arial" w:cs="Arial"/>
        </w:rPr>
        <w:t xml:space="preserve"> (Passmore, 2015; Bickerich, Michel and O'Shea, 2018; Maclean, 2024)</w:t>
      </w:r>
      <w:r w:rsidRPr="002F156E">
        <w:rPr>
          <w:rFonts w:ascii="Arial" w:hAnsi="Arial" w:cs="Arial"/>
        </w:rPr>
        <w:t xml:space="preserve">. However, there is very little documented about the </w:t>
      </w:r>
      <w:r w:rsidR="00811761" w:rsidRPr="002F156E">
        <w:rPr>
          <w:rFonts w:ascii="Arial" w:hAnsi="Arial" w:cs="Arial"/>
        </w:rPr>
        <w:t xml:space="preserve">lived experience of the </w:t>
      </w:r>
      <w:r w:rsidRPr="002F156E">
        <w:rPr>
          <w:rFonts w:ascii="Arial" w:hAnsi="Arial" w:cs="Arial"/>
        </w:rPr>
        <w:t xml:space="preserve">coach-trained practitioners who deliver organisational change. </w:t>
      </w:r>
    </w:p>
    <w:p w14:paraId="2760BBCE" w14:textId="77777777" w:rsidR="00AF182F" w:rsidRPr="002F156E" w:rsidRDefault="00AF182F" w:rsidP="00AF182F">
      <w:pPr>
        <w:spacing w:line="360" w:lineRule="auto"/>
        <w:rPr>
          <w:rFonts w:ascii="Arial" w:hAnsi="Arial" w:cs="Arial"/>
        </w:rPr>
      </w:pPr>
    </w:p>
    <w:p w14:paraId="3A8291F5" w14:textId="410F6436" w:rsidR="00811761" w:rsidRPr="002F156E" w:rsidRDefault="00811761" w:rsidP="00AF182F">
      <w:pPr>
        <w:spacing w:line="360" w:lineRule="auto"/>
        <w:rPr>
          <w:rFonts w:ascii="Arial" w:hAnsi="Arial" w:cs="Arial"/>
        </w:rPr>
      </w:pPr>
      <w:r w:rsidRPr="002F156E">
        <w:rPr>
          <w:rFonts w:ascii="Arial" w:hAnsi="Arial" w:cs="Arial"/>
        </w:rPr>
        <w:t xml:space="preserve">The ICF and Association for Change Management Professionals (ACMP) recently acknowledged the synergies between their respective disciplines and formed a joint task force (ACMP, 2026) to explore the synergies further. Through this process, they developed practitioner toolkits for change managers accredited through the ACMP. However, they neglected to explore the lived experience of the dual practitioners. </w:t>
      </w:r>
    </w:p>
    <w:p w14:paraId="5F46E602" w14:textId="77777777" w:rsidR="00811761" w:rsidRPr="002F156E" w:rsidRDefault="00811761" w:rsidP="00AF182F">
      <w:pPr>
        <w:spacing w:line="360" w:lineRule="auto"/>
        <w:rPr>
          <w:rFonts w:ascii="Arial" w:hAnsi="Arial" w:cs="Arial"/>
        </w:rPr>
      </w:pPr>
    </w:p>
    <w:p w14:paraId="7263AA3F" w14:textId="41442DEA" w:rsidR="00AF182F" w:rsidRPr="002F156E" w:rsidRDefault="00B359AB" w:rsidP="00AF182F">
      <w:pPr>
        <w:spacing w:line="360" w:lineRule="auto"/>
        <w:rPr>
          <w:rFonts w:ascii="Arial" w:hAnsi="Arial" w:cs="Arial"/>
        </w:rPr>
      </w:pPr>
      <w:r w:rsidRPr="002F156E">
        <w:rPr>
          <w:rFonts w:ascii="Arial" w:hAnsi="Arial" w:cs="Arial"/>
        </w:rPr>
        <w:t xml:space="preserve">As a Prosci-trained change manager and an ICF-accredited coach, I hold a unique position delivering change internally in my organisation. I am consciously aware of the ways in which the following coaching competencies influence how I deliver change: presence, active listening, powerful questioning and psychological safety. </w:t>
      </w:r>
      <w:r w:rsidR="00D055C5" w:rsidRPr="002F156E">
        <w:rPr>
          <w:rFonts w:ascii="Arial" w:hAnsi="Arial" w:cs="Arial"/>
        </w:rPr>
        <w:t>This dual identity has driven a curiosity to understand this phenomenon more deeply and to engage with it reflexively (Foote and Bartell, 2011).</w:t>
      </w:r>
    </w:p>
    <w:p w14:paraId="198D7273" w14:textId="135205BB" w:rsidR="00D055C5" w:rsidRPr="002F156E" w:rsidRDefault="00D055C5" w:rsidP="00AF182F">
      <w:pPr>
        <w:spacing w:line="360" w:lineRule="auto"/>
        <w:rPr>
          <w:rFonts w:ascii="Arial" w:hAnsi="Arial" w:cs="Arial"/>
        </w:rPr>
      </w:pPr>
      <w:r w:rsidRPr="002F156E">
        <w:rPr>
          <w:rFonts w:ascii="Arial" w:hAnsi="Arial" w:cs="Arial"/>
        </w:rPr>
        <w:t>With my ontological position being largely subjectivist (Crotty, 1998) and my epistemology being interpretivist, I understand that to make sense of this phenomenon, the meaning making happens between myself and the participants (Hitchcock and Hughes, 1995).</w:t>
      </w:r>
    </w:p>
    <w:p w14:paraId="160724F8" w14:textId="77777777" w:rsidR="00D055C5" w:rsidRPr="002F156E" w:rsidRDefault="00D055C5" w:rsidP="00AF182F">
      <w:pPr>
        <w:spacing w:line="360" w:lineRule="auto"/>
        <w:rPr>
          <w:rFonts w:ascii="Arial" w:hAnsi="Arial" w:cs="Arial"/>
        </w:rPr>
      </w:pPr>
    </w:p>
    <w:p w14:paraId="51AD2F28" w14:textId="0146F702" w:rsidR="00D055C5" w:rsidRPr="002F156E" w:rsidRDefault="00D055C5" w:rsidP="00AF182F">
      <w:pPr>
        <w:spacing w:line="360" w:lineRule="auto"/>
        <w:rPr>
          <w:rFonts w:ascii="Arial" w:hAnsi="Arial" w:cs="Arial"/>
        </w:rPr>
      </w:pPr>
      <w:r w:rsidRPr="002F156E">
        <w:rPr>
          <w:rFonts w:ascii="Arial" w:hAnsi="Arial" w:cs="Arial"/>
        </w:rPr>
        <w:t>Having done a pilot study for the Qualitative Research Methods module, I have begun to surface key the complexity of this phenomenon. Through four in-depth interviews with coach-trained change managers, navigating change from different perspectives, five themes emerged</w:t>
      </w:r>
      <w:r w:rsidR="00D16298" w:rsidRPr="002F156E">
        <w:rPr>
          <w:rFonts w:ascii="Arial" w:hAnsi="Arial" w:cs="Arial"/>
        </w:rPr>
        <w:t xml:space="preserve">: the shift from transactional to transformational practice; the significance of presence, reflexivity and ‘being’; the use of </w:t>
      </w:r>
      <w:r w:rsidR="0082119F" w:rsidRPr="002F156E">
        <w:rPr>
          <w:rFonts w:ascii="Arial" w:hAnsi="Arial" w:cs="Arial"/>
        </w:rPr>
        <w:t>neuroscience and</w:t>
      </w:r>
      <w:r w:rsidR="00D16298" w:rsidRPr="002F156E">
        <w:rPr>
          <w:rFonts w:ascii="Arial" w:hAnsi="Arial" w:cs="Arial"/>
        </w:rPr>
        <w:t xml:space="preserve"> the tension between transformational depth and organisations requirement for speed</w:t>
      </w:r>
      <w:r w:rsidRPr="002F156E">
        <w:rPr>
          <w:rFonts w:ascii="Arial" w:hAnsi="Arial" w:cs="Arial"/>
        </w:rPr>
        <w:t xml:space="preserve">. These findings highlight the potential significance of this research and expose the limitations of the </w:t>
      </w:r>
      <w:r w:rsidR="00D16298" w:rsidRPr="002F156E">
        <w:rPr>
          <w:rFonts w:ascii="Arial" w:hAnsi="Arial" w:cs="Arial"/>
        </w:rPr>
        <w:t>pilot and</w:t>
      </w:r>
      <w:r w:rsidRPr="002F156E">
        <w:rPr>
          <w:rFonts w:ascii="Arial" w:hAnsi="Arial" w:cs="Arial"/>
        </w:rPr>
        <w:t xml:space="preserve"> subsequently inform the design of the research proposal. </w:t>
      </w:r>
    </w:p>
    <w:p w14:paraId="42A4E031" w14:textId="503EEDF3" w:rsidR="00D055C5" w:rsidRPr="002F156E" w:rsidRDefault="00D055C5" w:rsidP="00AF182F">
      <w:pPr>
        <w:spacing w:line="360" w:lineRule="auto"/>
        <w:rPr>
          <w:rFonts w:ascii="Arial" w:hAnsi="Arial" w:cs="Arial"/>
        </w:rPr>
      </w:pPr>
    </w:p>
    <w:p w14:paraId="189228DE" w14:textId="627B6681" w:rsidR="00D055C5" w:rsidRPr="002F156E" w:rsidRDefault="00D055C5" w:rsidP="00AF182F">
      <w:pPr>
        <w:spacing w:line="360" w:lineRule="auto"/>
        <w:rPr>
          <w:rFonts w:ascii="Arial" w:hAnsi="Arial" w:cs="Arial"/>
        </w:rPr>
      </w:pPr>
      <w:r w:rsidRPr="002F156E">
        <w:rPr>
          <w:rFonts w:ascii="Arial" w:hAnsi="Arial" w:cs="Arial"/>
        </w:rPr>
        <w:t xml:space="preserve">This research is important for </w:t>
      </w:r>
      <w:r w:rsidR="00B07363" w:rsidRPr="002F156E">
        <w:rPr>
          <w:rFonts w:ascii="Arial" w:hAnsi="Arial" w:cs="Arial"/>
        </w:rPr>
        <w:t>many</w:t>
      </w:r>
      <w:r w:rsidRPr="002F156E">
        <w:rPr>
          <w:rFonts w:ascii="Arial" w:hAnsi="Arial" w:cs="Arial"/>
        </w:rPr>
        <w:t xml:space="preserve"> reasons. It fills the gap in the literature by recognising coach-trained change managers as distinct practitioners. It contributes to professional practice by articulating what the ‘coach approach’ means in the practice of delivering organisational change. It also increases my understanding of </w:t>
      </w:r>
      <w:r w:rsidR="00FF2557" w:rsidRPr="002F156E">
        <w:rPr>
          <w:rFonts w:ascii="Arial" w:hAnsi="Arial" w:cs="Arial"/>
        </w:rPr>
        <w:t xml:space="preserve">how coach-trained change managers are </w:t>
      </w:r>
      <w:r w:rsidR="00B07363" w:rsidRPr="002F156E">
        <w:rPr>
          <w:rFonts w:ascii="Arial" w:hAnsi="Arial" w:cs="Arial"/>
        </w:rPr>
        <w:t>utilised</w:t>
      </w:r>
      <w:r w:rsidR="00FF2557" w:rsidRPr="002F156E">
        <w:rPr>
          <w:rFonts w:ascii="Arial" w:hAnsi="Arial" w:cs="Arial"/>
        </w:rPr>
        <w:t xml:space="preserve"> within organisations. </w:t>
      </w:r>
    </w:p>
    <w:p w14:paraId="5FEB8EB3" w14:textId="77777777" w:rsidR="003876CE" w:rsidRPr="002F156E" w:rsidRDefault="003876CE" w:rsidP="003876CE">
      <w:pPr>
        <w:pStyle w:val="ListParagraph"/>
        <w:ind w:left="76"/>
        <w:rPr>
          <w:rFonts w:ascii="Arial" w:hAnsi="Arial" w:cs="Arial"/>
        </w:rPr>
      </w:pPr>
    </w:p>
    <w:p w14:paraId="6ACE542C" w14:textId="047DEDC0" w:rsidR="003876CE" w:rsidRPr="002F156E" w:rsidRDefault="003876CE" w:rsidP="003876CE">
      <w:pPr>
        <w:pStyle w:val="Heading1"/>
        <w:numPr>
          <w:ilvl w:val="0"/>
          <w:numId w:val="34"/>
        </w:numPr>
        <w:ind w:left="440"/>
        <w:rPr>
          <w:rFonts w:ascii="Arial" w:eastAsia="Arial Narrow" w:hAnsi="Arial" w:cs="Arial"/>
          <w:b/>
          <w:bCs/>
          <w:kern w:val="2"/>
          <w14:ligatures w14:val="standardContextual"/>
        </w:rPr>
      </w:pPr>
      <w:bookmarkStart w:id="1" w:name="_Toc229993913"/>
      <w:r w:rsidRPr="002F156E">
        <w:rPr>
          <w:rFonts w:ascii="Arial" w:eastAsia="Arial Narrow" w:hAnsi="Arial" w:cs="Arial"/>
          <w:b/>
          <w:bCs/>
          <w:kern w:val="2"/>
          <w14:ligatures w14:val="standardContextual"/>
        </w:rPr>
        <w:t>Aims and Objectives</w:t>
      </w:r>
      <w:bookmarkEnd w:id="1"/>
      <w:r w:rsidRPr="002F156E">
        <w:rPr>
          <w:rFonts w:ascii="Arial" w:eastAsia="Arial Narrow" w:hAnsi="Arial" w:cs="Arial"/>
          <w:b/>
          <w:bCs/>
          <w:kern w:val="2"/>
          <w14:ligatures w14:val="standardContextual"/>
        </w:rPr>
        <w:t xml:space="preserve"> </w:t>
      </w:r>
    </w:p>
    <w:p w14:paraId="01B466C2" w14:textId="77777777" w:rsidR="00D16298" w:rsidRPr="002F156E" w:rsidRDefault="00D16298" w:rsidP="00D16298">
      <w:pPr>
        <w:spacing w:line="360" w:lineRule="auto"/>
        <w:rPr>
          <w:rFonts w:ascii="Arial" w:hAnsi="Arial" w:cs="Arial"/>
        </w:rPr>
      </w:pPr>
    </w:p>
    <w:p w14:paraId="621077E6" w14:textId="2FFCFF3B" w:rsidR="0000023D" w:rsidRPr="002F156E" w:rsidRDefault="0000023D" w:rsidP="00D16298">
      <w:pPr>
        <w:spacing w:line="360" w:lineRule="auto"/>
        <w:rPr>
          <w:rFonts w:ascii="Arial" w:hAnsi="Arial" w:cs="Arial"/>
        </w:rPr>
      </w:pPr>
      <w:r w:rsidRPr="002F156E">
        <w:rPr>
          <w:rFonts w:ascii="Arial" w:hAnsi="Arial" w:cs="Arial"/>
        </w:rPr>
        <w:t>The research question is: ‘How do coach-trained change managers experience the integration of coaching and organisational change practices?’</w:t>
      </w:r>
    </w:p>
    <w:p w14:paraId="753CA0C5" w14:textId="77777777" w:rsidR="0000023D" w:rsidRPr="002F156E" w:rsidRDefault="0000023D" w:rsidP="00D16298">
      <w:pPr>
        <w:spacing w:line="360" w:lineRule="auto"/>
        <w:rPr>
          <w:rFonts w:ascii="Arial" w:hAnsi="Arial" w:cs="Arial"/>
        </w:rPr>
      </w:pPr>
    </w:p>
    <w:p w14:paraId="26964665" w14:textId="2CD4A7F8" w:rsidR="00D16298" w:rsidRPr="002F156E" w:rsidRDefault="00D16298" w:rsidP="00D16298">
      <w:pPr>
        <w:spacing w:line="360" w:lineRule="auto"/>
        <w:rPr>
          <w:rFonts w:ascii="Arial" w:hAnsi="Arial" w:cs="Arial"/>
        </w:rPr>
      </w:pPr>
      <w:r w:rsidRPr="002F156E">
        <w:rPr>
          <w:rFonts w:ascii="Arial" w:hAnsi="Arial" w:cs="Arial"/>
        </w:rPr>
        <w:t>The overarching aim of this research is to explore and interpret the lived experiences of coach-trained change managers as they facilitate organisational change and to develop a phenomenologically grounded understanding of how coaching training shapes, informs, and transforms the practice and professional identity of change management practitioners.</w:t>
      </w:r>
    </w:p>
    <w:p w14:paraId="49778CE1" w14:textId="77777777" w:rsidR="00D16298" w:rsidRPr="002F156E" w:rsidRDefault="00D16298" w:rsidP="00D16298">
      <w:pPr>
        <w:spacing w:line="360" w:lineRule="auto"/>
        <w:rPr>
          <w:rFonts w:ascii="Arial" w:hAnsi="Arial" w:cs="Arial"/>
        </w:rPr>
      </w:pPr>
    </w:p>
    <w:p w14:paraId="4A8A166F" w14:textId="5923B30F" w:rsidR="00D16298" w:rsidRPr="002F156E" w:rsidRDefault="00D16298" w:rsidP="00D16298">
      <w:pPr>
        <w:spacing w:line="360" w:lineRule="auto"/>
        <w:rPr>
          <w:rFonts w:ascii="Arial" w:hAnsi="Arial" w:cs="Arial"/>
        </w:rPr>
      </w:pPr>
      <w:r w:rsidRPr="002F156E">
        <w:rPr>
          <w:rFonts w:ascii="Arial" w:hAnsi="Arial" w:cs="Arial"/>
        </w:rPr>
        <w:t>The research objectives are:</w:t>
      </w:r>
    </w:p>
    <w:p w14:paraId="025FE4B3" w14:textId="5435B0F7" w:rsidR="0000023D" w:rsidRPr="002F156E" w:rsidRDefault="0000023D" w:rsidP="0000023D">
      <w:pPr>
        <w:pStyle w:val="ListParagraph"/>
        <w:numPr>
          <w:ilvl w:val="0"/>
          <w:numId w:val="35"/>
        </w:numPr>
        <w:spacing w:line="360" w:lineRule="auto"/>
        <w:rPr>
          <w:rFonts w:ascii="Arial" w:hAnsi="Arial" w:cs="Arial"/>
        </w:rPr>
      </w:pPr>
      <w:r w:rsidRPr="002F156E">
        <w:rPr>
          <w:rFonts w:ascii="Arial" w:hAnsi="Arial" w:cs="Arial"/>
        </w:rPr>
        <w:t>To explore how coaching training specifically shapes, informs, or transforms change managers’ experiences of facilitation, including their relational approaches, self-awareness, use of questioning, handling of resistance, and sense of professional identity.</w:t>
      </w:r>
      <w:r w:rsidR="00684CB7" w:rsidRPr="002F156E">
        <w:rPr>
          <w:rFonts w:ascii="Arial" w:hAnsi="Arial" w:cs="Arial"/>
        </w:rPr>
        <w:t xml:space="preserve"> </w:t>
      </w:r>
    </w:p>
    <w:p w14:paraId="6E27E96D" w14:textId="77777777" w:rsidR="0000023D" w:rsidRPr="002F156E" w:rsidRDefault="0000023D" w:rsidP="0000023D">
      <w:pPr>
        <w:numPr>
          <w:ilvl w:val="0"/>
          <w:numId w:val="39"/>
        </w:numPr>
        <w:spacing w:line="360" w:lineRule="auto"/>
        <w:rPr>
          <w:rFonts w:ascii="Arial" w:hAnsi="Arial" w:cs="Arial"/>
        </w:rPr>
      </w:pPr>
      <w:r w:rsidRPr="002F156E">
        <w:rPr>
          <w:rFonts w:ascii="Arial" w:hAnsi="Arial" w:cs="Arial"/>
        </w:rPr>
        <w:lastRenderedPageBreak/>
        <w:t>To investigate the relational dynamics and emotional experiences inherent in change facilitation work, including how coach-trained change managers navigate relationships with sponsors, stakeholders, leaders, and employees during transformation.</w:t>
      </w:r>
    </w:p>
    <w:p w14:paraId="0C32F077" w14:textId="77777777" w:rsidR="0000023D" w:rsidRPr="002F156E" w:rsidRDefault="0000023D" w:rsidP="0000023D">
      <w:pPr>
        <w:numPr>
          <w:ilvl w:val="0"/>
          <w:numId w:val="39"/>
        </w:numPr>
        <w:spacing w:line="360" w:lineRule="auto"/>
        <w:rPr>
          <w:rFonts w:ascii="Arial" w:hAnsi="Arial" w:cs="Arial"/>
        </w:rPr>
      </w:pPr>
      <w:r w:rsidRPr="002F156E">
        <w:rPr>
          <w:rFonts w:ascii="Arial" w:hAnsi="Arial" w:cs="Arial"/>
        </w:rPr>
        <w:t>To identify and explore the contradictions, ethical dilemmas, role conflicts, and paradoxes that coach-trained change managers encounter in their practice, and to understand how they make sense of and navigate these complexities.</w:t>
      </w:r>
    </w:p>
    <w:p w14:paraId="0D999678" w14:textId="77777777" w:rsidR="0000023D" w:rsidRPr="002F156E" w:rsidRDefault="0000023D" w:rsidP="0000023D">
      <w:pPr>
        <w:numPr>
          <w:ilvl w:val="0"/>
          <w:numId w:val="39"/>
        </w:numPr>
        <w:spacing w:line="360" w:lineRule="auto"/>
        <w:rPr>
          <w:rFonts w:ascii="Arial" w:hAnsi="Arial" w:cs="Arial"/>
        </w:rPr>
      </w:pPr>
      <w:r w:rsidRPr="002F156E">
        <w:rPr>
          <w:rFonts w:ascii="Arial" w:hAnsi="Arial" w:cs="Arial"/>
        </w:rPr>
        <w:t xml:space="preserve">To contribute </w:t>
      </w:r>
      <w:proofErr w:type="gramStart"/>
      <w:r w:rsidRPr="002F156E">
        <w:rPr>
          <w:rFonts w:ascii="Arial" w:hAnsi="Arial" w:cs="Arial"/>
        </w:rPr>
        <w:t>phenomenologically-grounded</w:t>
      </w:r>
      <w:proofErr w:type="gramEnd"/>
      <w:r w:rsidRPr="002F156E">
        <w:rPr>
          <w:rFonts w:ascii="Arial" w:hAnsi="Arial" w:cs="Arial"/>
        </w:rPr>
        <w:t xml:space="preserve"> insights that can inform change management practice, coaching integration, and professional development in the field.</w:t>
      </w:r>
    </w:p>
    <w:p w14:paraId="0F4B38A6" w14:textId="0E75598C" w:rsidR="003876CE" w:rsidRPr="002F156E" w:rsidRDefault="008529C4" w:rsidP="008529C4">
      <w:pPr>
        <w:spacing w:line="360" w:lineRule="auto"/>
        <w:rPr>
          <w:rFonts w:ascii="Arial" w:hAnsi="Arial" w:cs="Arial"/>
        </w:rPr>
      </w:pPr>
      <w:r w:rsidRPr="002F156E">
        <w:rPr>
          <w:rFonts w:ascii="Arial" w:hAnsi="Arial" w:cs="Arial"/>
        </w:rPr>
        <w:t xml:space="preserve">The aim and objectives include how coach-trained change managers describe the influence of coaching training on their professional practice specifically aspects </w:t>
      </w:r>
      <w:proofErr w:type="gramStart"/>
      <w:r w:rsidRPr="002F156E">
        <w:rPr>
          <w:rFonts w:ascii="Arial" w:hAnsi="Arial" w:cs="Arial"/>
        </w:rPr>
        <w:t>like:</w:t>
      </w:r>
      <w:proofErr w:type="gramEnd"/>
      <w:r w:rsidRPr="002F156E">
        <w:rPr>
          <w:rFonts w:ascii="Arial" w:hAnsi="Arial" w:cs="Arial"/>
        </w:rPr>
        <w:t xml:space="preserve"> listening, </w:t>
      </w:r>
      <w:r w:rsidRPr="002F156E">
        <w:rPr>
          <w:rFonts w:ascii="Arial" w:hAnsi="Arial" w:cs="Arial"/>
        </w:rPr>
        <w:t>stakeholder engagement</w:t>
      </w:r>
      <w:r w:rsidRPr="002F156E">
        <w:rPr>
          <w:rFonts w:ascii="Arial" w:hAnsi="Arial" w:cs="Arial"/>
        </w:rPr>
        <w:t xml:space="preserve">, </w:t>
      </w:r>
      <w:r w:rsidRPr="002F156E">
        <w:rPr>
          <w:rFonts w:ascii="Arial" w:hAnsi="Arial" w:cs="Arial"/>
        </w:rPr>
        <w:t>facilitation style</w:t>
      </w:r>
      <w:r w:rsidRPr="002F156E">
        <w:rPr>
          <w:rFonts w:ascii="Arial" w:hAnsi="Arial" w:cs="Arial"/>
        </w:rPr>
        <w:t xml:space="preserve">, </w:t>
      </w:r>
      <w:r w:rsidRPr="002F156E">
        <w:rPr>
          <w:rFonts w:ascii="Arial" w:hAnsi="Arial" w:cs="Arial"/>
        </w:rPr>
        <w:t>leadership approach</w:t>
      </w:r>
      <w:r w:rsidRPr="002F156E">
        <w:rPr>
          <w:rFonts w:ascii="Arial" w:hAnsi="Arial" w:cs="Arial"/>
        </w:rPr>
        <w:t xml:space="preserve"> and </w:t>
      </w:r>
      <w:r w:rsidRPr="002F156E">
        <w:rPr>
          <w:rFonts w:ascii="Arial" w:hAnsi="Arial" w:cs="Arial"/>
        </w:rPr>
        <w:t>emotional awareness</w:t>
      </w:r>
      <w:r w:rsidRPr="002F156E">
        <w:rPr>
          <w:rFonts w:ascii="Arial" w:hAnsi="Arial" w:cs="Arial"/>
        </w:rPr>
        <w:t xml:space="preserve">. Along with navigating the identity of said practitioners, how and when do they shift from driving change to facilitating change. </w:t>
      </w:r>
    </w:p>
    <w:p w14:paraId="53C8F811" w14:textId="72192B83" w:rsidR="003876CE" w:rsidRPr="002F156E" w:rsidRDefault="003876CE" w:rsidP="003876CE">
      <w:pPr>
        <w:pStyle w:val="Heading1"/>
        <w:numPr>
          <w:ilvl w:val="0"/>
          <w:numId w:val="34"/>
        </w:numPr>
        <w:ind w:left="440"/>
        <w:rPr>
          <w:rFonts w:ascii="Arial" w:eastAsia="Arial Narrow" w:hAnsi="Arial" w:cs="Arial"/>
          <w:b/>
          <w:bCs/>
          <w:kern w:val="2"/>
          <w14:ligatures w14:val="standardContextual"/>
        </w:rPr>
      </w:pPr>
      <w:bookmarkStart w:id="2" w:name="_Toc229993914"/>
      <w:r w:rsidRPr="002F156E">
        <w:rPr>
          <w:rFonts w:ascii="Arial" w:eastAsia="Arial Narrow" w:hAnsi="Arial" w:cs="Arial"/>
          <w:b/>
          <w:bCs/>
          <w:kern w:val="2"/>
          <w14:ligatures w14:val="standardContextual"/>
        </w:rPr>
        <w:t>Indicative Review of Literature</w:t>
      </w:r>
      <w:bookmarkEnd w:id="2"/>
    </w:p>
    <w:p w14:paraId="2FCED9E6" w14:textId="77777777" w:rsidR="0082119F" w:rsidRPr="002F156E" w:rsidRDefault="0082119F" w:rsidP="0082119F">
      <w:pPr>
        <w:spacing w:line="360" w:lineRule="auto"/>
        <w:rPr>
          <w:rStyle w:val="Strong"/>
          <w:rFonts w:ascii="Arial" w:hAnsi="Arial" w:cs="Arial"/>
          <w:b w:val="0"/>
          <w:bCs w:val="0"/>
          <w:color w:val="000000"/>
        </w:rPr>
      </w:pPr>
    </w:p>
    <w:p w14:paraId="25D7AA7C" w14:textId="027367D8"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1. Introduction</w:t>
      </w:r>
    </w:p>
    <w:p w14:paraId="5DB41E90" w14:textId="34E0A7C8"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Both organisational change management and coaching have existed for many years but have largely gained legitimacy as professions within the last three decades, with the International Coaching Federation (ICF) celebrating its 30th year in 2025 as a marker of that growing recognition. In modern organisations, the people side of change has become a critical differentiator of successful transformation, and alongside formal change management methods such as Prosci's ADKAR model, many practitioners adopt or are trained in coaching, blending facilitative and non-directive dialogue with stakeholder engagement and leadership enablement (Prosci, 202</w:t>
      </w:r>
      <w:r w:rsidR="00B042E6" w:rsidRPr="002F156E">
        <w:rPr>
          <w:rStyle w:val="Strong"/>
          <w:rFonts w:ascii="Arial" w:hAnsi="Arial" w:cs="Arial"/>
          <w:b w:val="0"/>
          <w:bCs w:val="0"/>
          <w:color w:val="000000"/>
        </w:rPr>
        <w:t>6</w:t>
      </w:r>
      <w:r w:rsidRPr="002F156E">
        <w:rPr>
          <w:rStyle w:val="Strong"/>
          <w:rFonts w:ascii="Arial" w:hAnsi="Arial" w:cs="Arial"/>
          <w:b w:val="0"/>
          <w:bCs w:val="0"/>
          <w:color w:val="000000"/>
        </w:rPr>
        <w:t>). There are several academic publications supporting the case for how organisational change focuses on the human side of change and delivers better outcomes for the stakeholders involved, and there are as many publications focus</w:t>
      </w:r>
      <w:r w:rsidR="00B042E6" w:rsidRPr="002F156E">
        <w:rPr>
          <w:rStyle w:val="Strong"/>
          <w:rFonts w:ascii="Arial" w:hAnsi="Arial" w:cs="Arial"/>
          <w:b w:val="0"/>
          <w:bCs w:val="0"/>
          <w:color w:val="000000"/>
        </w:rPr>
        <w:t>s</w:t>
      </w:r>
      <w:r w:rsidRPr="002F156E">
        <w:rPr>
          <w:rStyle w:val="Strong"/>
          <w:rFonts w:ascii="Arial" w:hAnsi="Arial" w:cs="Arial"/>
          <w:b w:val="0"/>
          <w:bCs w:val="0"/>
          <w:color w:val="000000"/>
        </w:rPr>
        <w:t xml:space="preserve">ed on the </w:t>
      </w:r>
      <w:r w:rsidR="00421E52" w:rsidRPr="002F156E">
        <w:rPr>
          <w:rStyle w:val="Strong"/>
          <w:rFonts w:ascii="Arial" w:hAnsi="Arial" w:cs="Arial"/>
          <w:b w:val="0"/>
          <w:bCs w:val="0"/>
          <w:color w:val="000000"/>
        </w:rPr>
        <w:t>various</w:t>
      </w:r>
      <w:r w:rsidRPr="002F156E">
        <w:rPr>
          <w:rStyle w:val="Strong"/>
          <w:rFonts w:ascii="Arial" w:hAnsi="Arial" w:cs="Arial"/>
          <w:b w:val="0"/>
          <w:bCs w:val="0"/>
          <w:color w:val="000000"/>
        </w:rPr>
        <w:t xml:space="preserve"> aspects of the coaching profession, for example executive coaching, internal coaching and coaching for change. However, there is very little documented about the coach-trained practitioners who deliver organisational </w:t>
      </w:r>
      <w:r w:rsidRPr="002F156E">
        <w:rPr>
          <w:rStyle w:val="Strong"/>
          <w:rFonts w:ascii="Arial" w:hAnsi="Arial" w:cs="Arial"/>
          <w:b w:val="0"/>
          <w:bCs w:val="0"/>
          <w:color w:val="000000"/>
        </w:rPr>
        <w:lastRenderedPageBreak/>
        <w:t xml:space="preserve">change, and this raises a theoretically and practically important question about what </w:t>
      </w:r>
      <w:proofErr w:type="spellStart"/>
      <w:r w:rsidRPr="002F156E">
        <w:rPr>
          <w:rStyle w:val="Strong"/>
          <w:rFonts w:ascii="Arial" w:hAnsi="Arial" w:cs="Arial"/>
          <w:b w:val="0"/>
          <w:bCs w:val="0"/>
          <w:color w:val="000000"/>
        </w:rPr>
        <w:t>the</w:t>
      </w:r>
      <w:proofErr w:type="spellEnd"/>
      <w:r w:rsidRPr="002F156E">
        <w:rPr>
          <w:rStyle w:val="Strong"/>
          <w:rFonts w:ascii="Arial" w:hAnsi="Arial" w:cs="Arial"/>
          <w:b w:val="0"/>
          <w:bCs w:val="0"/>
          <w:color w:val="000000"/>
        </w:rPr>
        <w:t xml:space="preserve"> lived experience actually is for change managers who are also trained as coaches, professionals who must simultaneously deliver structured change and hold a coaching stance.</w:t>
      </w:r>
    </w:p>
    <w:p w14:paraId="620575C1"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068363CE" w14:textId="77777777"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Existing reviews show robust evidence that coaching benefits leaders and employees during change, yet the specific experience of coach-trained change managers remains under-examined. Early integration work such as Stober's application of Kotter and the Transtheoretical Model, and mixed-methods efficacy studies such as those by Grant, highlight outcomes and mechanisms largely through the lenses of executives and employees rather than the practitioner wearing both the coach and the change agent hat (Stober, 2008; Grant, 2014). This review therefore synthesises adjacent literature to explain the lived experience of coach-trained change managers, focusing on phenomenological approaches, identity work, internal versus external coaching and coaching-informed championing.</w:t>
      </w:r>
    </w:p>
    <w:p w14:paraId="79987E85"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670CDC94" w14:textId="71C670B5"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2. Conceptual Foundations: Coaching, Change Management and Lived Experience</w:t>
      </w:r>
    </w:p>
    <w:p w14:paraId="73770CB4" w14:textId="33C3C1A3"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The ICF defines coaching as a partnership that evokes clients' resourcefulness to maximise potential, which is distinct from mentoring or consulting, and in practice coaching is centred on learning and behaviour change (Skiffington and Zeus, 2003; Grant, 2014). Change management, by contrast, is a structured process that helps individuals adopt and sustain change, and Prosci's ADKAR model operationalises this through the sequential outcomes of Awareness, Desire, Knowledge, Ability and Reinforcement at the individual level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 xml:space="preserve">). The two </w:t>
      </w:r>
      <w:r w:rsidR="00B042E6" w:rsidRPr="002F156E">
        <w:rPr>
          <w:rStyle w:val="Strong"/>
          <w:rFonts w:ascii="Arial" w:hAnsi="Arial" w:cs="Arial"/>
          <w:b w:val="0"/>
          <w:bCs w:val="0"/>
          <w:color w:val="000000"/>
        </w:rPr>
        <w:t>professions</w:t>
      </w:r>
      <w:r w:rsidRPr="002F156E">
        <w:rPr>
          <w:rStyle w:val="Strong"/>
          <w:rFonts w:ascii="Arial" w:hAnsi="Arial" w:cs="Arial"/>
          <w:b w:val="0"/>
          <w:bCs w:val="0"/>
          <w:color w:val="000000"/>
        </w:rPr>
        <w:t xml:space="preserve"> are conceptually adjacent in that both treat change as a human and developmental process requiring sense-making, self-efficacy and practice (Stober, 2008; Grant, 2014).</w:t>
      </w:r>
    </w:p>
    <w:p w14:paraId="6371E96C" w14:textId="77777777" w:rsidR="0082119F" w:rsidRPr="002F156E" w:rsidRDefault="0082119F" w:rsidP="00421E52">
      <w:pPr>
        <w:spacing w:line="360" w:lineRule="auto"/>
        <w:rPr>
          <w:rStyle w:val="Strong"/>
          <w:rFonts w:ascii="Arial" w:hAnsi="Arial" w:cs="Arial"/>
          <w:b w:val="0"/>
          <w:bCs w:val="0"/>
          <w:color w:val="000000"/>
        </w:rPr>
      </w:pPr>
    </w:p>
    <w:p w14:paraId="4CD92D5C" w14:textId="22680580"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3. Coaching During Organisational Change: What Is Established</w:t>
      </w:r>
    </w:p>
    <w:p w14:paraId="42AE0D7F" w14:textId="77777777"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 xml:space="preserve">Multiple studies report clear benefits of coaching during change. Stober (2008) integrates Kotter's eight steps with Prochaska and DiClemente's stages of change to argue that organisational change only materialises when individuals progress through their own personal change journeys, a premise that was later </w:t>
      </w:r>
      <w:r w:rsidRPr="002F156E">
        <w:rPr>
          <w:rStyle w:val="Strong"/>
          <w:rFonts w:ascii="Arial" w:hAnsi="Arial" w:cs="Arial"/>
          <w:b w:val="0"/>
          <w:bCs w:val="0"/>
          <w:color w:val="000000"/>
        </w:rPr>
        <w:lastRenderedPageBreak/>
        <w:t>operationalised in ADKAR, and her account emphasises the importance of coaching beyond the C-suite alongside long-term reinforcement through internal capability. Grant (2014) found that coaching during organisational change increased goal attainment, solution-focused thinking, leadership self-efficacy and resilience while reducing depression, though with mixed effects on stress and job satisfaction, with outcomes triangulated through both quantitative scales and qualitative themes.</w:t>
      </w:r>
    </w:p>
    <w:p w14:paraId="2A488A45"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3BED3755" w14:textId="6BEDDE2C"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At the organisational level, Bickerich, Michel and O'Shea (2018) mapped the coaching-for-change process across pre-, during- and post-coaching phases and surfaced a recurring tension in that executives seek practical tools and visible outcomes whereas coaches emphasise reflective capacity and identity-level work. Brief and skills-focused interventions for managers can also shift hope, optimism and change efficacy, which suggests that coaching micro-practices embedded in change programmes may deliver meaningful psychological gains for middle managers (Sherlock-Storey, 2013; Grant, 2014).</w:t>
      </w:r>
    </w:p>
    <w:p w14:paraId="16708F8C"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6219CF83" w14:textId="52C803C4"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4. Phenomenological Perspectives on Managerial and Coaching Practice</w:t>
      </w:r>
    </w:p>
    <w:p w14:paraId="5E10680F" w14:textId="528615FC" w:rsidR="0082119F" w:rsidRPr="002F156E" w:rsidRDefault="0082119F" w:rsidP="00FB4C7D">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Phenomenological approaches contribute to understanding coach-trained change managers in two important ways. First, they legitimise subjectivity by acknowledging how practitioners experience tensions, agency and ethical dilemmas as real and meaningful data. Second, they offer methodology through IPA and existential hermeneutic phenomenology for systematically analysing those experiences in context. Jedlickova et al. (202</w:t>
      </w:r>
      <w:r w:rsidR="00846B49" w:rsidRPr="002F156E">
        <w:rPr>
          <w:rStyle w:val="Strong"/>
          <w:rFonts w:ascii="Arial" w:hAnsi="Arial" w:cs="Arial"/>
          <w:b w:val="0"/>
          <w:bCs w:val="0"/>
          <w:color w:val="000000"/>
        </w:rPr>
        <w:t>2</w:t>
      </w:r>
      <w:r w:rsidRPr="002F156E">
        <w:rPr>
          <w:rStyle w:val="Strong"/>
          <w:rFonts w:ascii="Arial" w:hAnsi="Arial" w:cs="Arial"/>
          <w:b w:val="0"/>
          <w:bCs w:val="0"/>
          <w:color w:val="000000"/>
        </w:rPr>
        <w:t>) propose a combined IPA and EHP method for capturing critical moments in managerial practice, which is a useful frame for coach-trained change managers facing ambiguous episodes such as sponsor misalignment or stakeholder resistance. Muller and Vasekova (2023) further illuminate how existential disruptions, authenticity and interactive learning shape managers' lived experience, and this resonates strongly with the reflective stance that coaching requires.</w:t>
      </w:r>
      <w:r w:rsidR="00FB4C7D" w:rsidRPr="002F156E">
        <w:rPr>
          <w:rStyle w:val="Strong"/>
          <w:rFonts w:ascii="Arial" w:hAnsi="Arial" w:cs="Arial"/>
          <w:b w:val="0"/>
          <w:bCs w:val="0"/>
          <w:color w:val="000000"/>
        </w:rPr>
        <w:t xml:space="preserve"> </w:t>
      </w:r>
      <w:r w:rsidRPr="002F156E">
        <w:rPr>
          <w:rStyle w:val="Strong"/>
          <w:rFonts w:ascii="Arial" w:hAnsi="Arial" w:cs="Arial"/>
          <w:b w:val="0"/>
          <w:bCs w:val="0"/>
          <w:color w:val="000000"/>
        </w:rPr>
        <w:t>Rajasinghe et al. (2024) show how IPA can be innovated at scale without losing individual richness, which strengthens its applicability to practice-based doctoral research in this area.</w:t>
      </w:r>
    </w:p>
    <w:p w14:paraId="3674FEBC"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343BA102" w14:textId="25EFB744"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5. Identity Work, Role Boundaries and Ethical Tensions</w:t>
      </w:r>
    </w:p>
    <w:p w14:paraId="6E9C91BB" w14:textId="77777777"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lastRenderedPageBreak/>
        <w:t>A central thread in the lived experience of coach-trained change managers is identity work, meaning how practitioners construct and navigate the dual identities of coach and change agent in their day-to-day practice. Butcher (2012) and contemporary qualitative work highlight that many coaching engagements involve renegotiations of professional self-concept, often without any explicit identity frameworks being in use, and coaches describe the challenge of balancing whole-person approaches with organisational performance demands while cautioning about the risks when deep identity work is attempted without adequate framing. For coach-trained change managers these insights map directly onto daily dilemmas, particularly around when a stakeholder conversation remains coaching and when it must become sponsorship escalation or resistance management (Bickerich, Michel and O'Shea, 2018).</w:t>
      </w:r>
    </w:p>
    <w:p w14:paraId="078FA222"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2C4B94BF" w14:textId="212BF312"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 xml:space="preserve">The internal versus external dimension compounds these identity tensions further. Maclean (2024) reframes internal coaches as change mediators who contain, clarify, create and catalyse, leveraging insider context to pose challenging questions while balancing client wellbeing with institutional goals. For coach-trained change managers, Maclean's coaching fulcrum metaphor captures a familiar felt sense of continuously re-equilibrating between individual needs such as psychological safety and agency on one side, and organisational imperatives such as delivery timelines and compliance on the other. Ethical challenges arise particularly around contracting and confidentiality, especially in situations where sponsors desire insight into coaching conversations, and Thomas and Passmore (2021) alongside Prosci </w:t>
      </w:r>
      <w:r w:rsidR="00421E52" w:rsidRPr="002F156E">
        <w:rPr>
          <w:rStyle w:val="Strong"/>
          <w:rFonts w:ascii="Arial" w:hAnsi="Arial" w:cs="Arial"/>
          <w:b w:val="0"/>
          <w:bCs w:val="0"/>
          <w:color w:val="000000"/>
        </w:rPr>
        <w:t xml:space="preserve">(2026) </w:t>
      </w:r>
      <w:r w:rsidRPr="002F156E">
        <w:rPr>
          <w:rStyle w:val="Strong"/>
          <w:rFonts w:ascii="Arial" w:hAnsi="Arial" w:cs="Arial"/>
          <w:b w:val="0"/>
          <w:bCs w:val="0"/>
          <w:color w:val="000000"/>
        </w:rPr>
        <w:t>guidance both underline the need for robust contracting and clear boundaries (Thomas and Passmore, 2021; Prosci, 202</w:t>
      </w:r>
      <w:r w:rsidR="00FB4C7D" w:rsidRPr="002F156E">
        <w:rPr>
          <w:rStyle w:val="Strong"/>
          <w:rFonts w:ascii="Arial" w:hAnsi="Arial" w:cs="Arial"/>
          <w:b w:val="0"/>
          <w:bCs w:val="0"/>
          <w:color w:val="000000"/>
        </w:rPr>
        <w:t>6</w:t>
      </w:r>
      <w:r w:rsidRPr="002F156E">
        <w:rPr>
          <w:rStyle w:val="Strong"/>
          <w:rFonts w:ascii="Arial" w:hAnsi="Arial" w:cs="Arial"/>
          <w:b w:val="0"/>
          <w:bCs w:val="0"/>
          <w:color w:val="000000"/>
        </w:rPr>
        <w:t>).</w:t>
      </w:r>
    </w:p>
    <w:p w14:paraId="6A96252C"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7AF9AA82" w14:textId="5ED8D58A"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6. Internal Capability, Sponsorship and Change Championing</w:t>
      </w:r>
    </w:p>
    <w:p w14:paraId="570F2CA5" w14:textId="5CFF7F16"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Coach-trained change managers often act as multipliers within organisations by enabling line managers and change champions to coach others through change rather than doing all of the coaching themselves. Prosci positions people managers as the primary coaches of their teams using the ADKAR lens and provides practical guidance for Desire conversations and barrier-point coaching (Prosci, 202</w:t>
      </w:r>
      <w:r w:rsidR="00421E52" w:rsidRPr="002F156E">
        <w:rPr>
          <w:rStyle w:val="Strong"/>
          <w:rFonts w:ascii="Arial" w:hAnsi="Arial" w:cs="Arial"/>
          <w:b w:val="0"/>
          <w:bCs w:val="0"/>
          <w:color w:val="000000"/>
        </w:rPr>
        <w:t>6</w:t>
      </w:r>
      <w:r w:rsidRPr="002F156E">
        <w:rPr>
          <w:rStyle w:val="Strong"/>
          <w:rFonts w:ascii="Arial" w:hAnsi="Arial" w:cs="Arial"/>
          <w:b w:val="0"/>
          <w:bCs w:val="0"/>
          <w:color w:val="000000"/>
        </w:rPr>
        <w:t xml:space="preserve">). The change champion literature adds important nuance here in that champion behaviours such as enthusiasm, persistence and involving the right people predict </w:t>
      </w:r>
      <w:r w:rsidRPr="002F156E">
        <w:rPr>
          <w:rStyle w:val="Strong"/>
          <w:rFonts w:ascii="Arial" w:hAnsi="Arial" w:cs="Arial"/>
          <w:b w:val="0"/>
          <w:bCs w:val="0"/>
          <w:color w:val="000000"/>
        </w:rPr>
        <w:lastRenderedPageBreak/>
        <w:t xml:space="preserve">team effectiveness and eventual </w:t>
      </w:r>
      <w:r w:rsidR="00421E52" w:rsidRPr="002F156E">
        <w:rPr>
          <w:rStyle w:val="Strong"/>
          <w:rFonts w:ascii="Arial" w:hAnsi="Arial" w:cs="Arial"/>
          <w:b w:val="0"/>
          <w:bCs w:val="0"/>
          <w:color w:val="000000"/>
        </w:rPr>
        <w:t>performance and</w:t>
      </w:r>
      <w:r w:rsidRPr="002F156E">
        <w:rPr>
          <w:rStyle w:val="Strong"/>
          <w:rFonts w:ascii="Arial" w:hAnsi="Arial" w:cs="Arial"/>
          <w:b w:val="0"/>
          <w:bCs w:val="0"/>
          <w:color w:val="000000"/>
        </w:rPr>
        <w:t xml:space="preserve"> can be both identified and deliberately developed (Howell and Shea, 2006). More recent multilevel work shows that championing asymmetry within groups weakens implementation effectiveness, and this is an insight coach-trained change managers can use to calibrate their intervention designs (Kanitz et al., 2023).</w:t>
      </w:r>
    </w:p>
    <w:p w14:paraId="7C3093AC"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46A19B5F" w14:textId="32FCC36A" w:rsidR="0082119F" w:rsidRPr="002F156E" w:rsidRDefault="0082119F" w:rsidP="0082119F">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7. What Coach-Trained Change Managers Report Doing and Feeling in Practice</w:t>
      </w:r>
    </w:p>
    <w:p w14:paraId="40D254DE" w14:textId="2D2D06A0"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 xml:space="preserve">Although few studies isolate coach-trained change managers as a discrete population, triangulating across adjacent literatures yields a consistent experiential portrait of what this work feels like from the inside. Practitioners hold dual logics simultaneously, an instrumental change management logic of plans, milestones and KPIs alongside a constructivist coaching logic of co-created meaning and identity </w:t>
      </w:r>
      <w:r w:rsidR="00E12217" w:rsidRPr="002F156E">
        <w:rPr>
          <w:rStyle w:val="Strong"/>
          <w:rFonts w:ascii="Arial" w:hAnsi="Arial" w:cs="Arial"/>
          <w:b w:val="0"/>
          <w:bCs w:val="0"/>
          <w:color w:val="000000"/>
        </w:rPr>
        <w:t>work and</w:t>
      </w:r>
      <w:r w:rsidRPr="002F156E">
        <w:rPr>
          <w:rStyle w:val="Strong"/>
          <w:rFonts w:ascii="Arial" w:hAnsi="Arial" w:cs="Arial"/>
          <w:b w:val="0"/>
          <w:bCs w:val="0"/>
          <w:color w:val="000000"/>
        </w:rPr>
        <w:t xml:space="preserve"> navigating between these requires deliberate bracketing and reflexivity to avoid unconsciously flipping into directive problem-solving (Dorfler and Stierand, 2020; Rajasinghe, 2020). They also translate expectations across very different stakeholder groups, from executives seeking tools, to employees seeking empathy, to coaches seeking process fidelity, which is work described well in the change-coaching phase model and the change mediator role (Bickerich, Michel and O'Shea, 2018; Maclean, 2024). Beyond this, they create reflective spaces even under significant delivery pressure, and qualitative work on executive group coaching shows these spaces enable perspective-taking and creativity in organisational settings (Gyllensten, Henschel and Jones, 2020). They support identity transitions in leaders, often without explicitly naming identity theory, while simultaneously modelling authenticity themselves, and recent studies link coaching to increases in authentic and change-oriented leadership behaviours that in turn facilitate leader effectiveness (Mosala and Bennett, 2024; Halliwell, Mitchell and Boyle, 2023). Finally, they design reinforcement and measure impact through a combination of qualitative narratives and quantitative indicators such as Goal Attainment Scaling, aligning coaching evidence with ADKAR's reinforcement stage (Grant, 2014;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w:t>
      </w:r>
    </w:p>
    <w:p w14:paraId="67DC61E8" w14:textId="77777777" w:rsidR="0082119F" w:rsidRPr="002F156E" w:rsidRDefault="0082119F" w:rsidP="00B042E6">
      <w:pPr>
        <w:spacing w:line="360" w:lineRule="auto"/>
        <w:rPr>
          <w:rStyle w:val="Strong"/>
          <w:rFonts w:ascii="Arial" w:hAnsi="Arial" w:cs="Arial"/>
          <w:b w:val="0"/>
          <w:bCs w:val="0"/>
          <w:color w:val="000000"/>
        </w:rPr>
      </w:pPr>
    </w:p>
    <w:p w14:paraId="2E00A8B5" w14:textId="4F59F96F" w:rsidR="0082119F" w:rsidRPr="002F156E" w:rsidRDefault="0082119F" w:rsidP="00B042E6">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9. A Provisional Model of Coach-Trained Change Manager Lived Experience</w:t>
      </w:r>
    </w:p>
    <w:p w14:paraId="6A54F680" w14:textId="5C189F29"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lastRenderedPageBreak/>
        <w:t>A provisional model can be articulated around five experiential domains. The first is wayfinding under dual logics, in which coach-trained change managers navigate continuously between delivery and emergence and Maclean's wayfinding cycles provide a useful sequential scaffold (Maclean, 2024). The second is contracting and containment, where ethical, psychological and political containment is achieved through explicit contracting and supervision, and both merger and acquisition coaching studies alongside ADKAR guidance reinforce the need for clear containers (Thomas and Passmore, 2021;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 The third is identity work as a continuous thread, with evidence linking coaching to authentic and change-oriented leadership and to broader leader effectiveness (Halliwell, Mitchell and Boyle, 2023; Mosala and Bennett, 2024). The fourth is distributed coaching capability, where coach-trained change managers upskill managers as coaches and develop champions, deliberately working to reduce championing asymmetry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 Kanitz et al., 2023). The fifth is reinforcement and evidence, recognising that sustaining change requires both designed reinforcement and mixed-method evaluation (Grant, 2014;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w:t>
      </w:r>
    </w:p>
    <w:p w14:paraId="58818908"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5B3EA58F" w14:textId="7B3FF915" w:rsidR="0082119F" w:rsidRPr="002F156E" w:rsidRDefault="0082119F" w:rsidP="00B042E6">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10. Implications and Future Research</w:t>
      </w:r>
    </w:p>
    <w:p w14:paraId="0D62412F" w14:textId="6554E319"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For organisations, internal coach capability should be designed and governed as a change mediation asset, with roles that include supervision, protected time allocation and clear confidentiality practices. Governance around internal coaching during change, particularly around contracting and data boundaries, should be made explicit rather than assumed. Manager-as-coach development tethered to ADKAR and championing frameworks can create a distributed and resilient change system across the organisation (Prosci, 202</w:t>
      </w:r>
      <w:r w:rsidR="00846B49" w:rsidRPr="002F156E">
        <w:rPr>
          <w:rStyle w:val="Strong"/>
          <w:rFonts w:ascii="Arial" w:hAnsi="Arial" w:cs="Arial"/>
          <w:b w:val="0"/>
          <w:bCs w:val="0"/>
          <w:color w:val="000000"/>
        </w:rPr>
        <w:t>6</w:t>
      </w:r>
      <w:r w:rsidRPr="002F156E">
        <w:rPr>
          <w:rStyle w:val="Strong"/>
          <w:rFonts w:ascii="Arial" w:hAnsi="Arial" w:cs="Arial"/>
          <w:b w:val="0"/>
          <w:bCs w:val="0"/>
          <w:color w:val="000000"/>
        </w:rPr>
        <w:t>; Howell and Shea, 2006). For practitioners, the priorities include cultivating reflexivity and bracketing as ongoing habits, contracting visibly with both sponsors and coachees including what is coach-confidential versus reportable, and designing reinforcement support structures such as peer coaching circles, after-action reviews and recognition rituals to make behaviour change stick (Dorfler and Stierand, 2020; Grant, 2014).</w:t>
      </w:r>
    </w:p>
    <w:p w14:paraId="0D6B6093"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6B64993A" w14:textId="77777777" w:rsidR="0082119F" w:rsidRPr="002F156E" w:rsidRDefault="0082119F" w:rsidP="0082119F">
      <w:pPr>
        <w:pStyle w:val="ListParagraph"/>
        <w:spacing w:line="360" w:lineRule="auto"/>
        <w:ind w:left="76"/>
        <w:rPr>
          <w:rStyle w:val="Strong"/>
          <w:rFonts w:ascii="Arial" w:hAnsi="Arial" w:cs="Arial"/>
          <w:b w:val="0"/>
          <w:bCs w:val="0"/>
          <w:color w:val="000000"/>
        </w:rPr>
      </w:pPr>
      <w:r w:rsidRPr="002F156E">
        <w:rPr>
          <w:rStyle w:val="Strong"/>
          <w:rFonts w:ascii="Arial" w:hAnsi="Arial" w:cs="Arial"/>
          <w:b w:val="0"/>
          <w:bCs w:val="0"/>
          <w:color w:val="000000"/>
        </w:rPr>
        <w:t xml:space="preserve">The literature still lacks direct and in-depth phenomenological studies of coach-trained change managers as a distinct group, and the priorities for future research include longitudinal IPA studies during major transformations with appropriate </w:t>
      </w:r>
      <w:r w:rsidRPr="002F156E">
        <w:rPr>
          <w:rStyle w:val="Strong"/>
          <w:rFonts w:ascii="Arial" w:hAnsi="Arial" w:cs="Arial"/>
          <w:b w:val="0"/>
          <w:bCs w:val="0"/>
          <w:color w:val="000000"/>
        </w:rPr>
        <w:lastRenderedPageBreak/>
        <w:t>safeguards for insider research, trials where practitioners use explicit identity frameworks during stakeholder coaching with outcomes linked to adoption and leader effectiveness, multilevel studies assessing how coaching-infused champion programmes affect asymmetry and implementation, and comparative case studies of internal versus external arrangements in sensitive change contexts (Rajasinghe, 2020; Kanitz et al., 2023; Howell and Shea, 2006; Thomas and Passmore, 2021).</w:t>
      </w:r>
    </w:p>
    <w:p w14:paraId="0D573E42" w14:textId="77777777" w:rsidR="0082119F" w:rsidRPr="002F156E" w:rsidRDefault="0082119F" w:rsidP="0082119F">
      <w:pPr>
        <w:pStyle w:val="ListParagraph"/>
        <w:spacing w:line="360" w:lineRule="auto"/>
        <w:ind w:left="76"/>
        <w:rPr>
          <w:rStyle w:val="Strong"/>
          <w:rFonts w:ascii="Arial" w:hAnsi="Arial" w:cs="Arial"/>
          <w:b w:val="0"/>
          <w:bCs w:val="0"/>
          <w:color w:val="000000"/>
        </w:rPr>
      </w:pPr>
    </w:p>
    <w:p w14:paraId="73082588" w14:textId="7BE23198" w:rsidR="0082119F" w:rsidRPr="002F156E" w:rsidRDefault="0082119F" w:rsidP="00B042E6">
      <w:pPr>
        <w:pStyle w:val="ListParagraph"/>
        <w:spacing w:line="360" w:lineRule="auto"/>
        <w:ind w:left="76"/>
        <w:rPr>
          <w:rStyle w:val="Strong"/>
          <w:rFonts w:ascii="Arial" w:hAnsi="Arial" w:cs="Arial"/>
          <w:color w:val="000000"/>
        </w:rPr>
      </w:pPr>
      <w:r w:rsidRPr="002F156E">
        <w:rPr>
          <w:rStyle w:val="Strong"/>
          <w:rFonts w:ascii="Arial" w:hAnsi="Arial" w:cs="Arial"/>
          <w:color w:val="000000"/>
        </w:rPr>
        <w:t>11. Conclusion</w:t>
      </w:r>
    </w:p>
    <w:p w14:paraId="6BFC2AF9" w14:textId="1A94C546" w:rsidR="003876CE" w:rsidRPr="002F156E" w:rsidRDefault="0082119F" w:rsidP="0082119F">
      <w:pPr>
        <w:pStyle w:val="ListParagraph"/>
        <w:spacing w:line="360" w:lineRule="auto"/>
        <w:ind w:left="76"/>
        <w:rPr>
          <w:rFonts w:ascii="Arial" w:hAnsi="Arial" w:cs="Arial"/>
        </w:rPr>
      </w:pPr>
      <w:r w:rsidRPr="002F156E">
        <w:rPr>
          <w:rStyle w:val="Strong"/>
          <w:rFonts w:ascii="Arial" w:hAnsi="Arial" w:cs="Arial"/>
          <w:b w:val="0"/>
          <w:bCs w:val="0"/>
          <w:color w:val="000000"/>
        </w:rPr>
        <w:t>Viewed phenomenologically, the lived experience of coach-trained change managers is an ongoing and exploratory practice of driving delivery while simultaneously cultivating human meaning-making. Evidence from efficacy studies, change-coaching process models, internal coaching as mediation, identity work and championing all point toward the image of the coach-trained change manager as mediator, translator and amplifier, mediating between personal and organisational change, translating across tool-driven and identity-driven logics, and amplifying change through distributed coaching capability. IPA offers a coherent approach to capture this complexity, provided reflexivity and ethical contracting remain explicit throughout. Practically, the blend of ADKAR-informed coaching, identity-aware dialogue and champion network cultivation appears to deliver both human-centred and outcome-oriented value, and future research focused directly on coach-trained change managers as a population in their own right will deepen and refine these insights considerably, contributing a practitioner-centred evidence base that the field currently lacks.</w:t>
      </w:r>
    </w:p>
    <w:p w14:paraId="41466420" w14:textId="6D685FA2" w:rsidR="0060477A" w:rsidRPr="002F156E" w:rsidRDefault="003876CE" w:rsidP="00E13A59">
      <w:pPr>
        <w:pStyle w:val="Heading1"/>
        <w:numPr>
          <w:ilvl w:val="0"/>
          <w:numId w:val="34"/>
        </w:numPr>
        <w:ind w:left="440"/>
        <w:rPr>
          <w:rFonts w:ascii="Arial" w:eastAsia="Arial Narrow" w:hAnsi="Arial" w:cs="Arial"/>
          <w:b/>
          <w:bCs/>
          <w:kern w:val="2"/>
          <w14:ligatures w14:val="standardContextual"/>
        </w:rPr>
      </w:pPr>
      <w:bookmarkStart w:id="3" w:name="_Toc229993915"/>
      <w:r w:rsidRPr="002F156E">
        <w:rPr>
          <w:rFonts w:ascii="Arial" w:eastAsia="Arial Narrow" w:hAnsi="Arial" w:cs="Arial"/>
          <w:b/>
          <w:bCs/>
          <w:kern w:val="2"/>
          <w14:ligatures w14:val="standardContextual"/>
        </w:rPr>
        <w:t>Proposed Methodology</w:t>
      </w:r>
      <w:bookmarkEnd w:id="3"/>
    </w:p>
    <w:p w14:paraId="706969E0" w14:textId="005EE676" w:rsidR="00421E52" w:rsidRPr="002F156E" w:rsidRDefault="00D137A3" w:rsidP="00E13A59">
      <w:pPr>
        <w:pStyle w:val="font-claude-response-body"/>
        <w:spacing w:line="360" w:lineRule="auto"/>
        <w:rPr>
          <w:rFonts w:ascii="Arial" w:hAnsi="Arial" w:cs="Arial"/>
          <w:color w:val="000000"/>
        </w:rPr>
      </w:pPr>
      <w:r w:rsidRPr="002F156E">
        <w:rPr>
          <w:rFonts w:ascii="Arial" w:hAnsi="Arial" w:cs="Arial"/>
          <w:color w:val="000000"/>
        </w:rPr>
        <w:t>The study will adopt an interpretive phenomenological approach, drawing primarily on Interpretative Phenomenological Analysis (IPA) principles. IPA is a qualitative research approach committed to the examination of how people make sense of their major life experiences</w:t>
      </w:r>
      <w:r w:rsidRPr="002F156E">
        <w:rPr>
          <w:rStyle w:val="apple-converted-space"/>
          <w:rFonts w:ascii="Arial" w:hAnsi="Arial" w:cs="Arial"/>
          <w:color w:val="000000"/>
        </w:rPr>
        <w:t> </w:t>
      </w:r>
      <w:r w:rsidRPr="002F156E">
        <w:rPr>
          <w:rStyle w:val="inline-flex"/>
          <w:rFonts w:ascii="Arial" w:hAnsi="Arial" w:cs="Arial"/>
          <w:color w:val="000000"/>
        </w:rPr>
        <w:t>(Smith, Flower and Larkin, 20</w:t>
      </w:r>
      <w:r w:rsidR="002F156E" w:rsidRPr="002F156E">
        <w:rPr>
          <w:rStyle w:val="inline-flex"/>
          <w:rFonts w:ascii="Arial" w:hAnsi="Arial" w:cs="Arial"/>
          <w:color w:val="000000"/>
        </w:rPr>
        <w:t>21</w:t>
      </w:r>
      <w:r w:rsidRPr="002F156E">
        <w:rPr>
          <w:rStyle w:val="inline-flex"/>
          <w:rFonts w:ascii="Arial" w:hAnsi="Arial" w:cs="Arial"/>
          <w:color w:val="000000"/>
        </w:rPr>
        <w:t>)</w:t>
      </w:r>
      <w:r w:rsidRPr="002F156E">
        <w:rPr>
          <w:rFonts w:ascii="Arial" w:hAnsi="Arial" w:cs="Arial"/>
          <w:color w:val="000000"/>
        </w:rPr>
        <w:t xml:space="preserve"> and is particularly well suited to exploring how individuals make sense of significant lived experiences. It is well-established for small sample, in-depth qualitative research, with IPA studies typically involving small sample sizes, ranging from 3 to 15 participants, ensuring that each case receives ample attention and facilitates thorough and nuanced analysis.</w:t>
      </w:r>
      <w:r w:rsidRPr="002F156E">
        <w:rPr>
          <w:rStyle w:val="apple-converted-space"/>
          <w:rFonts w:ascii="Arial" w:hAnsi="Arial" w:cs="Arial"/>
          <w:color w:val="000000"/>
        </w:rPr>
        <w:t> </w:t>
      </w:r>
      <w:r w:rsidRPr="002F156E">
        <w:rPr>
          <w:rFonts w:ascii="Arial" w:hAnsi="Arial" w:cs="Arial"/>
          <w:color w:val="000000"/>
        </w:rPr>
        <w:t xml:space="preserve"> </w:t>
      </w:r>
    </w:p>
    <w:p w14:paraId="553B52EB" w14:textId="26DD0E1D" w:rsidR="00D137A3" w:rsidRPr="002F156E" w:rsidRDefault="00D137A3" w:rsidP="00E13A59">
      <w:pPr>
        <w:pStyle w:val="font-claude-response-body"/>
        <w:spacing w:line="360" w:lineRule="auto"/>
        <w:rPr>
          <w:rFonts w:ascii="Arial" w:hAnsi="Arial" w:cs="Arial"/>
          <w:color w:val="000000"/>
        </w:rPr>
      </w:pPr>
      <w:r w:rsidRPr="002F156E">
        <w:rPr>
          <w:rFonts w:ascii="Arial" w:hAnsi="Arial" w:cs="Arial"/>
          <w:color w:val="000000"/>
        </w:rPr>
        <w:lastRenderedPageBreak/>
        <w:t>The research is grounded in phenomenological philosophy, which seeks to understand phenomena as they are experienced by individuals, suspending preconceptions to allow the essence of the experience to emerge. This process of suspension, often referred to as bracketing, is central to phenomenological inquiry and requires the researcher to set aside assumptions to engage as openly as possible with participants' accounts (Finlay, 2011). The interpretive element acknowledges that the researcher plays an active role in making sense of participants' sense-making</w:t>
      </w:r>
      <w:r w:rsidRPr="002F156E">
        <w:rPr>
          <w:rFonts w:ascii="Arial" w:hAnsi="Arial" w:cs="Arial"/>
          <w:color w:val="000000"/>
        </w:rPr>
        <w:t xml:space="preserve">. </w:t>
      </w:r>
      <w:r w:rsidRPr="002F156E">
        <w:rPr>
          <w:rFonts w:ascii="Arial" w:hAnsi="Arial" w:cs="Arial"/>
          <w:color w:val="000000"/>
        </w:rPr>
        <w:t xml:space="preserve">This is what Smith </w:t>
      </w:r>
      <w:r w:rsidRPr="002F156E">
        <w:rPr>
          <w:rFonts w:ascii="Arial" w:hAnsi="Arial" w:cs="Arial"/>
          <w:color w:val="000000"/>
        </w:rPr>
        <w:t>et al (20</w:t>
      </w:r>
      <w:r w:rsidR="002F156E" w:rsidRPr="002F156E">
        <w:rPr>
          <w:rFonts w:ascii="Arial" w:hAnsi="Arial" w:cs="Arial"/>
          <w:color w:val="000000"/>
        </w:rPr>
        <w:t>21</w:t>
      </w:r>
      <w:r w:rsidRPr="002F156E">
        <w:rPr>
          <w:rFonts w:ascii="Arial" w:hAnsi="Arial" w:cs="Arial"/>
          <w:color w:val="000000"/>
        </w:rPr>
        <w:t>)</w:t>
      </w:r>
      <w:r w:rsidRPr="002F156E">
        <w:rPr>
          <w:rFonts w:ascii="Arial" w:hAnsi="Arial" w:cs="Arial"/>
          <w:color w:val="000000"/>
        </w:rPr>
        <w:t xml:space="preserve"> describe as the double hermeneutic: a layered interpretative process in which participants first make sense of their own experiences, and the researcher, in turn, interprets these participants' interpretations.</w:t>
      </w:r>
      <w:r w:rsidRPr="002F156E">
        <w:rPr>
          <w:rStyle w:val="apple-converted-space"/>
          <w:rFonts w:ascii="Arial" w:hAnsi="Arial" w:cs="Arial"/>
          <w:color w:val="000000"/>
        </w:rPr>
        <w:t> </w:t>
      </w:r>
      <w:r w:rsidRPr="002F156E">
        <w:rPr>
          <w:rFonts w:ascii="Arial" w:hAnsi="Arial" w:cs="Arial"/>
          <w:color w:val="000000"/>
        </w:rPr>
        <w:t xml:space="preserve"> </w:t>
      </w:r>
      <w:r w:rsidRPr="002F156E">
        <w:rPr>
          <w:rFonts w:ascii="Arial" w:hAnsi="Arial" w:cs="Arial"/>
          <w:color w:val="000000"/>
        </w:rPr>
        <w:t xml:space="preserve">This conscious acknowledgement of the interpretative nature of the research adds depth and complexity to the </w:t>
      </w:r>
      <w:proofErr w:type="gramStart"/>
      <w:r w:rsidRPr="002F156E">
        <w:rPr>
          <w:rFonts w:ascii="Arial" w:hAnsi="Arial" w:cs="Arial"/>
          <w:color w:val="000000"/>
        </w:rPr>
        <w:t>analysis, and</w:t>
      </w:r>
      <w:proofErr w:type="gramEnd"/>
      <w:r w:rsidRPr="002F156E">
        <w:rPr>
          <w:rFonts w:ascii="Arial" w:hAnsi="Arial" w:cs="Arial"/>
          <w:color w:val="000000"/>
        </w:rPr>
        <w:t xml:space="preserve"> requires the researcher to engage in ongoing reflexivity throughout the data collection and analytical process.</w:t>
      </w:r>
    </w:p>
    <w:p w14:paraId="5FE8EF84" w14:textId="77777777" w:rsidR="00D137A3" w:rsidRPr="002F156E" w:rsidRDefault="00D137A3" w:rsidP="00E13A59">
      <w:pPr>
        <w:pStyle w:val="font-claude-response-body"/>
        <w:spacing w:line="360" w:lineRule="auto"/>
        <w:rPr>
          <w:rFonts w:ascii="Arial" w:hAnsi="Arial" w:cs="Arial"/>
          <w:color w:val="000000"/>
        </w:rPr>
      </w:pPr>
      <w:r w:rsidRPr="002F156E">
        <w:rPr>
          <w:rStyle w:val="Strong"/>
          <w:rFonts w:ascii="Arial" w:hAnsi="Arial" w:cs="Arial"/>
          <w:color w:val="000000"/>
        </w:rPr>
        <w:t>Sample Size:</w:t>
      </w:r>
      <w:r w:rsidRPr="002F156E">
        <w:rPr>
          <w:rStyle w:val="apple-converted-space"/>
          <w:rFonts w:ascii="Arial" w:hAnsi="Arial" w:cs="Arial"/>
          <w:color w:val="000000"/>
        </w:rPr>
        <w:t> </w:t>
      </w:r>
      <w:r w:rsidRPr="002F156E">
        <w:rPr>
          <w:rFonts w:ascii="Arial" w:hAnsi="Arial" w:cs="Arial"/>
          <w:color w:val="000000"/>
        </w:rPr>
        <w:t>Ten to twelve (10-12) coach-trained change managers that satisfy the following inclusion criteria:</w:t>
      </w:r>
    </w:p>
    <w:p w14:paraId="0639753F" w14:textId="77777777" w:rsidR="00D137A3" w:rsidRPr="002F156E" w:rsidRDefault="00D137A3" w:rsidP="00E13A59">
      <w:pPr>
        <w:pStyle w:val="whitespace-normal"/>
        <w:numPr>
          <w:ilvl w:val="0"/>
          <w:numId w:val="40"/>
        </w:numPr>
        <w:spacing w:line="360" w:lineRule="auto"/>
        <w:rPr>
          <w:rFonts w:ascii="Arial" w:hAnsi="Arial" w:cs="Arial"/>
          <w:color w:val="000000"/>
        </w:rPr>
      </w:pPr>
      <w:r w:rsidRPr="002F156E">
        <w:rPr>
          <w:rFonts w:ascii="Arial" w:hAnsi="Arial" w:cs="Arial"/>
          <w:color w:val="000000"/>
        </w:rPr>
        <w:t>Be qualified change management practitioners with a minimum of 8 years of change management experience</w:t>
      </w:r>
    </w:p>
    <w:p w14:paraId="6553A0A4" w14:textId="77777777" w:rsidR="00D137A3" w:rsidRPr="002F156E" w:rsidRDefault="00D137A3" w:rsidP="00E13A59">
      <w:pPr>
        <w:pStyle w:val="whitespace-normal"/>
        <w:numPr>
          <w:ilvl w:val="0"/>
          <w:numId w:val="40"/>
        </w:numPr>
        <w:spacing w:line="360" w:lineRule="auto"/>
        <w:rPr>
          <w:rFonts w:ascii="Arial" w:hAnsi="Arial" w:cs="Arial"/>
          <w:color w:val="000000"/>
        </w:rPr>
      </w:pPr>
      <w:r w:rsidRPr="002F156E">
        <w:rPr>
          <w:rFonts w:ascii="Arial" w:hAnsi="Arial" w:cs="Arial"/>
          <w:color w:val="000000"/>
        </w:rPr>
        <w:t>Have completed an accredited coaching qualification with one of the global professional coaching bodies</w:t>
      </w:r>
    </w:p>
    <w:p w14:paraId="54469A9B" w14:textId="77777777" w:rsidR="00D137A3" w:rsidRPr="002F156E" w:rsidRDefault="00D137A3" w:rsidP="00E13A59">
      <w:pPr>
        <w:pStyle w:val="whitespace-normal"/>
        <w:numPr>
          <w:ilvl w:val="0"/>
          <w:numId w:val="40"/>
        </w:numPr>
        <w:spacing w:line="360" w:lineRule="auto"/>
        <w:rPr>
          <w:rFonts w:ascii="Arial" w:hAnsi="Arial" w:cs="Arial"/>
          <w:color w:val="000000"/>
        </w:rPr>
      </w:pPr>
      <w:r w:rsidRPr="002F156E">
        <w:rPr>
          <w:rFonts w:ascii="Arial" w:hAnsi="Arial" w:cs="Arial"/>
          <w:color w:val="000000"/>
        </w:rPr>
        <w:t>Have a minimum of 2-3 years' experience facilitating organisational change after completing coaching training</w:t>
      </w:r>
    </w:p>
    <w:p w14:paraId="33A5FCC8" w14:textId="77777777" w:rsidR="00D137A3" w:rsidRPr="002F156E" w:rsidRDefault="00D137A3" w:rsidP="00E13A59">
      <w:pPr>
        <w:pStyle w:val="whitespace-normal"/>
        <w:numPr>
          <w:ilvl w:val="0"/>
          <w:numId w:val="40"/>
        </w:numPr>
        <w:spacing w:line="360" w:lineRule="auto"/>
        <w:rPr>
          <w:rFonts w:ascii="Arial" w:hAnsi="Arial" w:cs="Arial"/>
          <w:color w:val="000000"/>
        </w:rPr>
      </w:pPr>
      <w:r w:rsidRPr="002F156E">
        <w:rPr>
          <w:rFonts w:ascii="Arial" w:hAnsi="Arial" w:cs="Arial"/>
          <w:color w:val="000000"/>
        </w:rPr>
        <w:t>Be currently or recently (within past 12 months) engaged in change facilitation work</w:t>
      </w:r>
    </w:p>
    <w:p w14:paraId="01DF61A5" w14:textId="77777777" w:rsidR="00D137A3" w:rsidRPr="002F156E" w:rsidRDefault="00D137A3" w:rsidP="00E13A59">
      <w:pPr>
        <w:pStyle w:val="font-claude-response-body"/>
        <w:spacing w:line="360" w:lineRule="auto"/>
        <w:rPr>
          <w:rFonts w:ascii="Arial" w:hAnsi="Arial" w:cs="Arial"/>
          <w:color w:val="000000"/>
        </w:rPr>
      </w:pPr>
      <w:r w:rsidRPr="002F156E">
        <w:rPr>
          <w:rStyle w:val="Strong"/>
          <w:rFonts w:ascii="Arial" w:hAnsi="Arial" w:cs="Arial"/>
          <w:color w:val="000000"/>
        </w:rPr>
        <w:t>Sampling Strategy:</w:t>
      </w:r>
    </w:p>
    <w:p w14:paraId="71B1BA60" w14:textId="3BD0B8E0" w:rsidR="00D137A3" w:rsidRPr="002F156E" w:rsidRDefault="00D137A3" w:rsidP="00E13A59">
      <w:pPr>
        <w:pStyle w:val="font-claude-response-body"/>
        <w:spacing w:line="360" w:lineRule="auto"/>
        <w:rPr>
          <w:rFonts w:ascii="Arial" w:hAnsi="Arial" w:cs="Arial"/>
          <w:color w:val="000000"/>
        </w:rPr>
      </w:pPr>
      <w:r w:rsidRPr="002F156E">
        <w:rPr>
          <w:rFonts w:ascii="Arial" w:hAnsi="Arial" w:cs="Arial"/>
          <w:color w:val="000000"/>
        </w:rPr>
        <w:t>I will initially use purposive sampling (Bryman, 2016) from my professional network, supplemented where necessary by snowball sampling (Bryman, 2016) via coaching and change management professional bodies, for example the ICF, ACMP and Prosci. The goal of purposive sampling is to sample in a strategic way, so that those sampled are relevant to the research questions being posed</w:t>
      </w:r>
      <w:r w:rsidRPr="002F156E">
        <w:rPr>
          <w:rFonts w:ascii="Arial" w:hAnsi="Arial" w:cs="Arial"/>
          <w:color w:val="000000"/>
        </w:rPr>
        <w:t xml:space="preserve"> (Bryman, 2016),</w:t>
      </w:r>
      <w:r w:rsidRPr="002F156E">
        <w:rPr>
          <w:rStyle w:val="apple-converted-space"/>
          <w:rFonts w:ascii="Arial" w:hAnsi="Arial" w:cs="Arial"/>
          <w:color w:val="000000"/>
        </w:rPr>
        <w:t> </w:t>
      </w:r>
      <w:r w:rsidRPr="002F156E">
        <w:rPr>
          <w:rFonts w:ascii="Arial" w:hAnsi="Arial" w:cs="Arial"/>
          <w:color w:val="000000"/>
        </w:rPr>
        <w:t xml:space="preserve">placing the research question at the heart of sampling considerations. In a qualitative study, a relatively small and purposively selected sample may be employed, with the aim of </w:t>
      </w:r>
      <w:r w:rsidRPr="002F156E">
        <w:rPr>
          <w:rFonts w:ascii="Arial" w:hAnsi="Arial" w:cs="Arial"/>
          <w:color w:val="000000"/>
        </w:rPr>
        <w:lastRenderedPageBreak/>
        <w:t>increasing depth, as opposed to breadth, of understanding.</w:t>
      </w:r>
      <w:r w:rsidR="00E13A59" w:rsidRPr="002F156E">
        <w:rPr>
          <w:rFonts w:ascii="Arial" w:hAnsi="Arial" w:cs="Arial"/>
          <w:color w:val="000000"/>
        </w:rPr>
        <w:t xml:space="preserve"> </w:t>
      </w:r>
      <w:r w:rsidRPr="002F156E">
        <w:rPr>
          <w:rFonts w:ascii="Arial" w:hAnsi="Arial" w:cs="Arial"/>
          <w:color w:val="000000"/>
        </w:rPr>
        <w:t>This principle directly informs the approach taken here, where the richness of participant experience matters far more than the size of the sample.</w:t>
      </w:r>
    </w:p>
    <w:p w14:paraId="4A47E100" w14:textId="6EB5EEEB" w:rsidR="00D137A3" w:rsidRPr="002F156E" w:rsidRDefault="00D137A3" w:rsidP="00E13A59">
      <w:pPr>
        <w:pStyle w:val="font-claude-response-body"/>
        <w:spacing w:line="360" w:lineRule="auto"/>
        <w:rPr>
          <w:rFonts w:ascii="Arial" w:hAnsi="Arial" w:cs="Arial"/>
          <w:color w:val="000000"/>
        </w:rPr>
      </w:pPr>
      <w:r w:rsidRPr="002F156E">
        <w:rPr>
          <w:rStyle w:val="Strong"/>
          <w:rFonts w:ascii="Arial" w:hAnsi="Arial" w:cs="Arial"/>
          <w:color w:val="000000"/>
        </w:rPr>
        <w:t>Data Collection:</w:t>
      </w:r>
    </w:p>
    <w:p w14:paraId="428F8B9A" w14:textId="17532041" w:rsidR="00D137A3" w:rsidRPr="002F156E" w:rsidRDefault="00D137A3" w:rsidP="00E13A59">
      <w:pPr>
        <w:pStyle w:val="font-claude-response-body"/>
        <w:spacing w:line="360" w:lineRule="auto"/>
        <w:rPr>
          <w:rFonts w:ascii="Arial" w:hAnsi="Arial" w:cs="Arial"/>
          <w:color w:val="000000"/>
        </w:rPr>
      </w:pPr>
      <w:r w:rsidRPr="002F156E">
        <w:rPr>
          <w:rFonts w:ascii="Arial" w:hAnsi="Arial" w:cs="Arial"/>
          <w:color w:val="000000"/>
        </w:rPr>
        <w:t xml:space="preserve">Data will be collected by holding recorded interviews with participants. This may possibly be two interviews; the first being more of an introduction to the research and building rapport, followed by a second in-depth, semi-structured phenomenological interview, lasting a minimum of 60 minutes and a maximum of 90 minutes. The decider between whether one or two interviews will be conducted will depend on whether I know the participant personally or whether they are somebody </w:t>
      </w:r>
      <w:r w:rsidR="00E12217" w:rsidRPr="002F156E">
        <w:rPr>
          <w:rFonts w:ascii="Arial" w:hAnsi="Arial" w:cs="Arial"/>
          <w:color w:val="000000"/>
        </w:rPr>
        <w:t>recruited through snowball sampling</w:t>
      </w:r>
      <w:r w:rsidRPr="002F156E">
        <w:rPr>
          <w:rFonts w:ascii="Arial" w:hAnsi="Arial" w:cs="Arial"/>
          <w:color w:val="000000"/>
        </w:rPr>
        <w:t>. The semi-structured interview is described as a flexible tool where the researcher is guided, rather than constrained, to follow the set of questions developed, with the aim of answering the research question</w:t>
      </w:r>
      <w:r w:rsidR="00E13A59" w:rsidRPr="002F156E">
        <w:rPr>
          <w:rFonts w:ascii="Arial" w:hAnsi="Arial" w:cs="Arial"/>
          <w:color w:val="000000"/>
        </w:rPr>
        <w:t xml:space="preserve"> (Gauci, 2019) </w:t>
      </w:r>
      <w:r w:rsidRPr="002F156E">
        <w:rPr>
          <w:rFonts w:ascii="Arial" w:hAnsi="Arial" w:cs="Arial"/>
          <w:color w:val="000000"/>
        </w:rPr>
        <w:t>and is considered the exemplary method for IPA studies</w:t>
      </w:r>
      <w:r w:rsidR="00F04F8D" w:rsidRPr="002F156E">
        <w:rPr>
          <w:rFonts w:ascii="Arial" w:hAnsi="Arial" w:cs="Arial"/>
          <w:color w:val="000000"/>
        </w:rPr>
        <w:t>.</w:t>
      </w:r>
    </w:p>
    <w:p w14:paraId="6CE2DFC9" w14:textId="77777777" w:rsidR="00E12217" w:rsidRPr="002F156E" w:rsidRDefault="00E12217" w:rsidP="00E12217">
      <w:pPr>
        <w:pStyle w:val="font-claude-response-body"/>
        <w:spacing w:line="360" w:lineRule="auto"/>
        <w:rPr>
          <w:rFonts w:ascii="Arial" w:hAnsi="Arial" w:cs="Arial"/>
          <w:color w:val="000000"/>
        </w:rPr>
      </w:pPr>
      <w:r w:rsidRPr="002F156E">
        <w:rPr>
          <w:rStyle w:val="Strong"/>
          <w:rFonts w:ascii="Arial" w:hAnsi="Arial" w:cs="Arial"/>
          <w:color w:val="000000"/>
        </w:rPr>
        <w:t>Interview Logistics:</w:t>
      </w:r>
    </w:p>
    <w:p w14:paraId="56B024EC" w14:textId="77777777" w:rsidR="00E12217" w:rsidRPr="002F156E" w:rsidRDefault="00E12217" w:rsidP="00E12217">
      <w:pPr>
        <w:pStyle w:val="whitespace-normal"/>
        <w:numPr>
          <w:ilvl w:val="0"/>
          <w:numId w:val="43"/>
        </w:numPr>
        <w:spacing w:line="360" w:lineRule="auto"/>
        <w:rPr>
          <w:rFonts w:ascii="Arial" w:hAnsi="Arial" w:cs="Arial"/>
          <w:color w:val="000000"/>
        </w:rPr>
      </w:pPr>
      <w:r w:rsidRPr="002F156E">
        <w:rPr>
          <w:rFonts w:ascii="Arial" w:hAnsi="Arial" w:cs="Arial"/>
          <w:color w:val="000000"/>
        </w:rPr>
        <w:t>Conducted via video call on either Microsoft Teams or Zoom</w:t>
      </w:r>
    </w:p>
    <w:p w14:paraId="3E8548BA" w14:textId="77777777" w:rsidR="00E12217" w:rsidRPr="002F156E" w:rsidRDefault="00E12217" w:rsidP="00E12217">
      <w:pPr>
        <w:pStyle w:val="whitespace-normal"/>
        <w:numPr>
          <w:ilvl w:val="0"/>
          <w:numId w:val="43"/>
        </w:numPr>
        <w:spacing w:line="360" w:lineRule="auto"/>
        <w:rPr>
          <w:rFonts w:ascii="Arial" w:hAnsi="Arial" w:cs="Arial"/>
          <w:color w:val="000000"/>
        </w:rPr>
      </w:pPr>
      <w:r w:rsidRPr="002F156E">
        <w:rPr>
          <w:rFonts w:ascii="Arial" w:hAnsi="Arial" w:cs="Arial"/>
          <w:color w:val="000000"/>
        </w:rPr>
        <w:t>Recorded and transcribed to be able to analyse the data</w:t>
      </w:r>
    </w:p>
    <w:p w14:paraId="437803EE" w14:textId="6388F659" w:rsidR="002E14A4" w:rsidRPr="002F156E" w:rsidRDefault="00E12217" w:rsidP="00E13A59">
      <w:pPr>
        <w:pStyle w:val="font-claude-response-body"/>
        <w:spacing w:line="360" w:lineRule="auto"/>
        <w:rPr>
          <w:rStyle w:val="Strong"/>
          <w:rFonts w:ascii="Arial" w:hAnsi="Arial" w:cs="Arial"/>
          <w:b w:val="0"/>
          <w:bCs w:val="0"/>
          <w:color w:val="000000"/>
        </w:rPr>
      </w:pPr>
      <w:r w:rsidRPr="002F156E">
        <w:rPr>
          <w:rFonts w:ascii="Arial" w:hAnsi="Arial" w:cs="Arial"/>
          <w:color w:val="000000"/>
        </w:rPr>
        <w:t>This phenomenological study, using in-depth interviews with coach-trained change managers, is designed to generate rich, nuanced understanding of a complex lived experience. The method prioritises depth over breadth, idiographic insight over generalisation, and interpretive understanding over measurement. Ongoing reflexivity throughout the analytical process is essential to ensure that participants' experiences are fully reflected in the researcher's interpretative work</w:t>
      </w:r>
      <w:r w:rsidRPr="002F156E">
        <w:rPr>
          <w:rStyle w:val="apple-converted-space"/>
          <w:rFonts w:ascii="Arial" w:hAnsi="Arial" w:cs="Arial"/>
          <w:color w:val="000000"/>
        </w:rPr>
        <w:t> </w:t>
      </w:r>
      <w:r w:rsidRPr="002F156E">
        <w:rPr>
          <w:rStyle w:val="inline-flex"/>
          <w:rFonts w:ascii="Arial" w:hAnsi="Arial" w:cs="Arial"/>
          <w:color w:val="000000"/>
        </w:rPr>
        <w:t>(Rajasinghe</w:t>
      </w:r>
      <w:r w:rsidR="00F04F8D" w:rsidRPr="002F156E">
        <w:rPr>
          <w:rStyle w:val="inline-flex"/>
          <w:rFonts w:ascii="Arial" w:hAnsi="Arial" w:cs="Arial"/>
          <w:color w:val="000000"/>
        </w:rPr>
        <w:t xml:space="preserve"> et al</w:t>
      </w:r>
      <w:r w:rsidRPr="002F156E">
        <w:rPr>
          <w:rStyle w:val="inline-flex"/>
          <w:rFonts w:ascii="Arial" w:hAnsi="Arial" w:cs="Arial"/>
          <w:color w:val="000000"/>
        </w:rPr>
        <w:t>, 2024</w:t>
      </w:r>
      <w:r w:rsidRPr="002F156E">
        <w:rPr>
          <w:rFonts w:ascii="Arial" w:hAnsi="Arial" w:cs="Arial"/>
          <w:color w:val="000000"/>
        </w:rPr>
        <w:t xml:space="preserve">). </w:t>
      </w:r>
    </w:p>
    <w:p w14:paraId="17EB5B2E" w14:textId="65BDF54A" w:rsidR="00D137A3" w:rsidRPr="002F156E" w:rsidRDefault="00D137A3" w:rsidP="00E13A59">
      <w:pPr>
        <w:pStyle w:val="font-claude-response-body"/>
        <w:spacing w:line="360" w:lineRule="auto"/>
        <w:rPr>
          <w:rFonts w:ascii="Arial" w:hAnsi="Arial" w:cs="Arial"/>
          <w:color w:val="000000"/>
        </w:rPr>
      </w:pPr>
      <w:r w:rsidRPr="002F156E">
        <w:rPr>
          <w:rStyle w:val="Strong"/>
          <w:rFonts w:ascii="Arial" w:hAnsi="Arial" w:cs="Arial"/>
          <w:color w:val="000000"/>
        </w:rPr>
        <w:t>Interview Approach:</w:t>
      </w:r>
    </w:p>
    <w:p w14:paraId="3B15AB15" w14:textId="77777777" w:rsidR="00D137A3" w:rsidRPr="002F156E" w:rsidRDefault="00D137A3" w:rsidP="00E13A59">
      <w:pPr>
        <w:pStyle w:val="whitespace-normal"/>
        <w:numPr>
          <w:ilvl w:val="0"/>
          <w:numId w:val="41"/>
        </w:numPr>
        <w:spacing w:line="360" w:lineRule="auto"/>
        <w:rPr>
          <w:rFonts w:ascii="Arial" w:hAnsi="Arial" w:cs="Arial"/>
          <w:color w:val="000000"/>
        </w:rPr>
      </w:pPr>
      <w:r w:rsidRPr="002F156E">
        <w:rPr>
          <w:rFonts w:ascii="Arial" w:hAnsi="Arial" w:cs="Arial"/>
          <w:color w:val="000000"/>
        </w:rPr>
        <w:t>Open, exploratory questioning designed to elicit detailed descriptions of lived experience</w:t>
      </w:r>
    </w:p>
    <w:p w14:paraId="49512762" w14:textId="77777777" w:rsidR="00D137A3" w:rsidRPr="002F156E" w:rsidRDefault="00D137A3" w:rsidP="00E13A59">
      <w:pPr>
        <w:pStyle w:val="whitespace-normal"/>
        <w:numPr>
          <w:ilvl w:val="0"/>
          <w:numId w:val="41"/>
        </w:numPr>
        <w:spacing w:line="360" w:lineRule="auto"/>
        <w:rPr>
          <w:rFonts w:ascii="Arial" w:hAnsi="Arial" w:cs="Arial"/>
          <w:color w:val="000000"/>
        </w:rPr>
      </w:pPr>
      <w:r w:rsidRPr="002F156E">
        <w:rPr>
          <w:rFonts w:ascii="Arial" w:hAnsi="Arial" w:cs="Arial"/>
          <w:color w:val="000000"/>
        </w:rPr>
        <w:t>Phenomenological prompts such as: "Can you describe a specific moment when...?", "What was that like for you?", "How did you experience...?"</w:t>
      </w:r>
    </w:p>
    <w:p w14:paraId="4960C3E0" w14:textId="77777777" w:rsidR="00D137A3" w:rsidRPr="002F156E" w:rsidRDefault="00D137A3" w:rsidP="00E13A59">
      <w:pPr>
        <w:pStyle w:val="whitespace-normal"/>
        <w:numPr>
          <w:ilvl w:val="0"/>
          <w:numId w:val="41"/>
        </w:numPr>
        <w:spacing w:line="360" w:lineRule="auto"/>
        <w:rPr>
          <w:rFonts w:ascii="Arial" w:hAnsi="Arial" w:cs="Arial"/>
          <w:color w:val="000000"/>
        </w:rPr>
      </w:pPr>
      <w:r w:rsidRPr="002F156E">
        <w:rPr>
          <w:rFonts w:ascii="Arial" w:hAnsi="Arial" w:cs="Arial"/>
          <w:color w:val="000000"/>
        </w:rPr>
        <w:lastRenderedPageBreak/>
        <w:t>Following the participant's lead whilst gently probing for deeper reflection</w:t>
      </w:r>
    </w:p>
    <w:p w14:paraId="20474A15" w14:textId="77777777" w:rsidR="00D137A3" w:rsidRPr="002F156E" w:rsidRDefault="00D137A3" w:rsidP="00E13A59">
      <w:pPr>
        <w:pStyle w:val="whitespace-normal"/>
        <w:numPr>
          <w:ilvl w:val="0"/>
          <w:numId w:val="41"/>
        </w:numPr>
        <w:spacing w:line="360" w:lineRule="auto"/>
        <w:rPr>
          <w:rFonts w:ascii="Arial" w:hAnsi="Arial" w:cs="Arial"/>
          <w:color w:val="000000"/>
        </w:rPr>
      </w:pPr>
      <w:r w:rsidRPr="002F156E">
        <w:rPr>
          <w:rFonts w:ascii="Arial" w:hAnsi="Arial" w:cs="Arial"/>
          <w:color w:val="000000"/>
        </w:rPr>
        <w:t>Focusing on concrete examples and specific situations rather than generalised opinions</w:t>
      </w:r>
    </w:p>
    <w:p w14:paraId="69F1DC12" w14:textId="77777777" w:rsidR="00D137A3" w:rsidRPr="002F156E" w:rsidRDefault="00D137A3" w:rsidP="00E13A59">
      <w:pPr>
        <w:pStyle w:val="whitespace-normal"/>
        <w:numPr>
          <w:ilvl w:val="0"/>
          <w:numId w:val="41"/>
        </w:numPr>
        <w:spacing w:line="360" w:lineRule="auto"/>
        <w:rPr>
          <w:rFonts w:ascii="Arial" w:hAnsi="Arial" w:cs="Arial"/>
          <w:color w:val="000000"/>
        </w:rPr>
      </w:pPr>
      <w:r w:rsidRPr="002F156E">
        <w:rPr>
          <w:rFonts w:ascii="Arial" w:hAnsi="Arial" w:cs="Arial"/>
          <w:color w:val="000000"/>
        </w:rPr>
        <w:t>Exploring meaning-making: How participants interpret and make sense of their experiences</w:t>
      </w:r>
    </w:p>
    <w:p w14:paraId="7E949393" w14:textId="71219805" w:rsidR="00D137A3" w:rsidRPr="002F156E" w:rsidRDefault="00D137A3" w:rsidP="00E13A59">
      <w:pPr>
        <w:pStyle w:val="font-claude-response-body"/>
        <w:spacing w:line="360" w:lineRule="auto"/>
        <w:rPr>
          <w:rFonts w:ascii="Arial" w:hAnsi="Arial" w:cs="Arial"/>
          <w:color w:val="000000"/>
        </w:rPr>
      </w:pPr>
      <w:r w:rsidRPr="002F156E">
        <w:rPr>
          <w:rFonts w:ascii="Arial" w:hAnsi="Arial" w:cs="Arial"/>
          <w:color w:val="000000"/>
        </w:rPr>
        <w:t>Once the interviews conclude, the transcripts will be reviewed following the IPA principles as attributed to Finlay (2011, p. 142) and Smith</w:t>
      </w:r>
      <w:r w:rsidR="00F04F8D" w:rsidRPr="002F156E">
        <w:rPr>
          <w:rFonts w:ascii="Arial" w:hAnsi="Arial" w:cs="Arial"/>
          <w:color w:val="000000"/>
        </w:rPr>
        <w:t xml:space="preserve"> et al </w:t>
      </w:r>
      <w:r w:rsidRPr="002F156E">
        <w:rPr>
          <w:rFonts w:ascii="Arial" w:hAnsi="Arial" w:cs="Arial"/>
          <w:color w:val="000000"/>
        </w:rPr>
        <w:t>(20</w:t>
      </w:r>
      <w:r w:rsidR="00F04F8D" w:rsidRPr="002F156E">
        <w:rPr>
          <w:rFonts w:ascii="Arial" w:hAnsi="Arial" w:cs="Arial"/>
          <w:color w:val="000000"/>
        </w:rPr>
        <w:t>21</w:t>
      </w:r>
      <w:r w:rsidRPr="002F156E">
        <w:rPr>
          <w:rFonts w:ascii="Arial" w:hAnsi="Arial" w:cs="Arial"/>
          <w:color w:val="000000"/>
        </w:rPr>
        <w:t>), suggesting the following steps when conducting IPA research:</w:t>
      </w:r>
    </w:p>
    <w:p w14:paraId="24EE63F8" w14:textId="77777777" w:rsidR="00D137A3" w:rsidRPr="002F156E" w:rsidRDefault="00D137A3" w:rsidP="00E13A59">
      <w:pPr>
        <w:pStyle w:val="whitespace-normal"/>
        <w:numPr>
          <w:ilvl w:val="0"/>
          <w:numId w:val="42"/>
        </w:numPr>
        <w:spacing w:line="360" w:lineRule="auto"/>
        <w:rPr>
          <w:rFonts w:ascii="Arial" w:hAnsi="Arial" w:cs="Arial"/>
          <w:color w:val="000000"/>
        </w:rPr>
      </w:pPr>
      <w:r w:rsidRPr="002F156E">
        <w:rPr>
          <w:rFonts w:ascii="Arial" w:hAnsi="Arial" w:cs="Arial"/>
          <w:color w:val="000000"/>
        </w:rPr>
        <w:t>Reading and re-reading the transcripts</w:t>
      </w:r>
    </w:p>
    <w:p w14:paraId="687DD46B" w14:textId="77777777" w:rsidR="00D137A3" w:rsidRPr="002F156E" w:rsidRDefault="00D137A3" w:rsidP="00E13A59">
      <w:pPr>
        <w:pStyle w:val="whitespace-normal"/>
        <w:numPr>
          <w:ilvl w:val="0"/>
          <w:numId w:val="42"/>
        </w:numPr>
        <w:spacing w:line="360" w:lineRule="auto"/>
        <w:rPr>
          <w:rFonts w:ascii="Arial" w:hAnsi="Arial" w:cs="Arial"/>
          <w:color w:val="000000"/>
        </w:rPr>
      </w:pPr>
      <w:r w:rsidRPr="002F156E">
        <w:rPr>
          <w:rFonts w:ascii="Arial" w:hAnsi="Arial" w:cs="Arial"/>
          <w:color w:val="000000"/>
        </w:rPr>
        <w:t>Developing initial notes and exploratory comments on content, language use, and preliminary conceptual observations</w:t>
      </w:r>
    </w:p>
    <w:p w14:paraId="3E4AF6F8" w14:textId="77777777" w:rsidR="00D137A3" w:rsidRPr="002F156E" w:rsidRDefault="00D137A3" w:rsidP="00E13A59">
      <w:pPr>
        <w:pStyle w:val="whitespace-normal"/>
        <w:numPr>
          <w:ilvl w:val="0"/>
          <w:numId w:val="42"/>
        </w:numPr>
        <w:spacing w:line="360" w:lineRule="auto"/>
        <w:rPr>
          <w:rFonts w:ascii="Arial" w:hAnsi="Arial" w:cs="Arial"/>
          <w:color w:val="000000"/>
        </w:rPr>
      </w:pPr>
      <w:r w:rsidRPr="002F156E">
        <w:rPr>
          <w:rFonts w:ascii="Arial" w:hAnsi="Arial" w:cs="Arial"/>
          <w:color w:val="000000"/>
        </w:rPr>
        <w:t>Developing themes as they emerge from the data</w:t>
      </w:r>
    </w:p>
    <w:p w14:paraId="5CF169B9" w14:textId="77777777" w:rsidR="00D137A3" w:rsidRPr="002F156E" w:rsidRDefault="00D137A3" w:rsidP="00E13A59">
      <w:pPr>
        <w:pStyle w:val="whitespace-normal"/>
        <w:numPr>
          <w:ilvl w:val="0"/>
          <w:numId w:val="42"/>
        </w:numPr>
        <w:spacing w:line="360" w:lineRule="auto"/>
        <w:rPr>
          <w:rFonts w:ascii="Arial" w:hAnsi="Arial" w:cs="Arial"/>
          <w:color w:val="000000"/>
        </w:rPr>
      </w:pPr>
      <w:r w:rsidRPr="002F156E">
        <w:rPr>
          <w:rFonts w:ascii="Arial" w:hAnsi="Arial" w:cs="Arial"/>
          <w:color w:val="000000"/>
        </w:rPr>
        <w:t>Searching for how these themes connect</w:t>
      </w:r>
    </w:p>
    <w:p w14:paraId="3471D20C" w14:textId="77777777" w:rsidR="00D137A3" w:rsidRPr="002F156E" w:rsidRDefault="00D137A3" w:rsidP="00E13A59">
      <w:pPr>
        <w:pStyle w:val="whitespace-normal"/>
        <w:numPr>
          <w:ilvl w:val="0"/>
          <w:numId w:val="42"/>
        </w:numPr>
        <w:spacing w:line="360" w:lineRule="auto"/>
        <w:rPr>
          <w:rFonts w:ascii="Arial" w:hAnsi="Arial" w:cs="Arial"/>
          <w:color w:val="000000"/>
        </w:rPr>
      </w:pPr>
      <w:r w:rsidRPr="002F156E">
        <w:rPr>
          <w:rFonts w:ascii="Arial" w:hAnsi="Arial" w:cs="Arial"/>
          <w:color w:val="000000"/>
        </w:rPr>
        <w:t>Looking for patterns across the data</w:t>
      </w:r>
    </w:p>
    <w:p w14:paraId="37208193" w14:textId="25F83768" w:rsidR="003876CE" w:rsidRPr="002F156E" w:rsidRDefault="003876CE" w:rsidP="003876CE">
      <w:pPr>
        <w:pStyle w:val="Heading1"/>
        <w:numPr>
          <w:ilvl w:val="0"/>
          <w:numId w:val="34"/>
        </w:numPr>
        <w:ind w:left="440"/>
        <w:rPr>
          <w:rFonts w:ascii="Arial" w:eastAsia="Arial Narrow" w:hAnsi="Arial" w:cs="Arial"/>
          <w:b/>
          <w:bCs/>
          <w:kern w:val="2"/>
          <w14:ligatures w14:val="standardContextual"/>
        </w:rPr>
      </w:pPr>
      <w:bookmarkStart w:id="4" w:name="_Toc229993916"/>
      <w:r w:rsidRPr="002F156E">
        <w:rPr>
          <w:rFonts w:ascii="Arial" w:eastAsia="Arial Narrow" w:hAnsi="Arial" w:cs="Arial"/>
          <w:b/>
          <w:bCs/>
          <w:kern w:val="2"/>
          <w14:ligatures w14:val="standardContextual"/>
        </w:rPr>
        <w:t>Ethical Considerations</w:t>
      </w:r>
      <w:bookmarkEnd w:id="4"/>
    </w:p>
    <w:p w14:paraId="4561591C" w14:textId="1E76AD84" w:rsidR="00E13A59" w:rsidRPr="002F156E" w:rsidRDefault="00112BEF" w:rsidP="00E13A59">
      <w:pPr>
        <w:pStyle w:val="font-claude-response-body"/>
        <w:spacing w:line="360" w:lineRule="auto"/>
        <w:rPr>
          <w:rFonts w:ascii="Arial" w:hAnsi="Arial" w:cs="Arial"/>
          <w:color w:val="000000"/>
        </w:rPr>
      </w:pPr>
      <w:r w:rsidRPr="002F156E">
        <w:rPr>
          <w:rFonts w:ascii="Arial" w:hAnsi="Arial" w:cs="Arial"/>
          <w:color w:val="000000"/>
        </w:rPr>
        <w:t>T</w:t>
      </w:r>
      <w:r w:rsidR="00E13A59" w:rsidRPr="002F156E">
        <w:rPr>
          <w:rFonts w:ascii="Arial" w:hAnsi="Arial" w:cs="Arial"/>
          <w:color w:val="000000"/>
        </w:rPr>
        <w:t xml:space="preserve">his </w:t>
      </w:r>
      <w:r w:rsidRPr="002F156E">
        <w:rPr>
          <w:rFonts w:ascii="Arial" w:hAnsi="Arial" w:cs="Arial"/>
          <w:color w:val="000000"/>
        </w:rPr>
        <w:t>research will be conducted</w:t>
      </w:r>
      <w:r w:rsidR="00E13A59" w:rsidRPr="002F156E">
        <w:rPr>
          <w:rFonts w:ascii="Arial" w:hAnsi="Arial" w:cs="Arial"/>
          <w:color w:val="000000"/>
        </w:rPr>
        <w:t xml:space="preserve"> in accordance with the UWTSD Research Ethics and Integrity Code of Practice and Research Data Management Policy. The research </w:t>
      </w:r>
      <w:r w:rsidRPr="002F156E">
        <w:rPr>
          <w:rFonts w:ascii="Arial" w:hAnsi="Arial" w:cs="Arial"/>
          <w:color w:val="000000"/>
        </w:rPr>
        <w:t>will also be</w:t>
      </w:r>
      <w:r w:rsidR="00E13A59" w:rsidRPr="002F156E">
        <w:rPr>
          <w:rFonts w:ascii="Arial" w:hAnsi="Arial" w:cs="Arial"/>
          <w:color w:val="000000"/>
        </w:rPr>
        <w:t xml:space="preserve"> conducted in adherence to the </w:t>
      </w:r>
      <w:r w:rsidR="00D76D3B" w:rsidRPr="002F156E">
        <w:rPr>
          <w:rFonts w:ascii="Arial" w:hAnsi="Arial" w:cs="Arial"/>
          <w:color w:val="000000"/>
        </w:rPr>
        <w:t>I</w:t>
      </w:r>
      <w:r w:rsidR="00E13A59" w:rsidRPr="002F156E">
        <w:rPr>
          <w:rFonts w:ascii="Arial" w:hAnsi="Arial" w:cs="Arial"/>
          <w:color w:val="000000"/>
        </w:rPr>
        <w:t>CF Code of Ethics, given the coaching context of the study.</w:t>
      </w:r>
    </w:p>
    <w:p w14:paraId="42A46FB2" w14:textId="77777777" w:rsidR="00E13A59" w:rsidRPr="002F156E" w:rsidRDefault="00E13A59" w:rsidP="00E13A59">
      <w:pPr>
        <w:pStyle w:val="font-claude-response-body"/>
        <w:spacing w:line="360" w:lineRule="auto"/>
        <w:rPr>
          <w:rFonts w:ascii="Arial" w:hAnsi="Arial" w:cs="Arial"/>
          <w:color w:val="000000"/>
        </w:rPr>
      </w:pPr>
      <w:r w:rsidRPr="002F156E">
        <w:rPr>
          <w:rStyle w:val="Strong"/>
          <w:rFonts w:ascii="Arial" w:hAnsi="Arial" w:cs="Arial"/>
          <w:color w:val="000000"/>
        </w:rPr>
        <w:t>Participants</w:t>
      </w:r>
    </w:p>
    <w:p w14:paraId="395DE86A" w14:textId="2594C082" w:rsidR="00E13A59" w:rsidRPr="002F156E" w:rsidRDefault="00E13A59" w:rsidP="00E13A59">
      <w:pPr>
        <w:pStyle w:val="font-claude-response-body"/>
        <w:spacing w:line="360" w:lineRule="auto"/>
        <w:rPr>
          <w:rFonts w:ascii="Arial" w:hAnsi="Arial" w:cs="Arial"/>
          <w:color w:val="000000"/>
        </w:rPr>
      </w:pPr>
      <w:r w:rsidRPr="002F156E">
        <w:rPr>
          <w:rFonts w:ascii="Arial" w:hAnsi="Arial" w:cs="Arial"/>
          <w:color w:val="000000"/>
        </w:rPr>
        <w:t>All participants will be competent adults, recruited voluntarily from professional networks. Participation is entirely voluntary and participants will be made fully aware of this from the outset. They will also be clearly informed that they may withdraw from the study at any time and without giving a reason, and that withdrawal will carry no consequences of any kind.</w:t>
      </w:r>
    </w:p>
    <w:p w14:paraId="62AA01CC" w14:textId="77777777" w:rsidR="00E13A59" w:rsidRPr="002F156E" w:rsidRDefault="00E13A59" w:rsidP="00E13A59">
      <w:pPr>
        <w:pStyle w:val="font-claude-response-body"/>
        <w:spacing w:line="360" w:lineRule="auto"/>
        <w:rPr>
          <w:rFonts w:ascii="Arial" w:hAnsi="Arial" w:cs="Arial"/>
          <w:color w:val="000000"/>
        </w:rPr>
      </w:pPr>
      <w:r w:rsidRPr="002F156E">
        <w:rPr>
          <w:rStyle w:val="Strong"/>
          <w:rFonts w:ascii="Arial" w:hAnsi="Arial" w:cs="Arial"/>
          <w:color w:val="000000"/>
        </w:rPr>
        <w:t>Informed Consent</w:t>
      </w:r>
    </w:p>
    <w:p w14:paraId="2F13E067" w14:textId="5E6235F2" w:rsidR="00E13A59" w:rsidRPr="002F156E" w:rsidRDefault="00E13A59" w:rsidP="00E13A59">
      <w:pPr>
        <w:pStyle w:val="font-claude-response-body"/>
        <w:spacing w:line="360" w:lineRule="auto"/>
        <w:rPr>
          <w:rFonts w:ascii="Arial" w:hAnsi="Arial" w:cs="Arial"/>
          <w:color w:val="000000"/>
        </w:rPr>
      </w:pPr>
      <w:r w:rsidRPr="002F156E">
        <w:rPr>
          <w:rFonts w:ascii="Arial" w:hAnsi="Arial" w:cs="Arial"/>
          <w:color w:val="000000"/>
        </w:rPr>
        <w:t xml:space="preserve">Prior to any data collection, all participants will receive a full explanation of the nature, purpose, and scope of the research. They will be asked to sign a participant </w:t>
      </w:r>
      <w:r w:rsidRPr="002F156E">
        <w:rPr>
          <w:rFonts w:ascii="Arial" w:hAnsi="Arial" w:cs="Arial"/>
          <w:color w:val="000000"/>
        </w:rPr>
        <w:lastRenderedPageBreak/>
        <w:t>agreement form confirming their informed consent before the interview</w:t>
      </w:r>
      <w:r w:rsidR="00112BEF" w:rsidRPr="002F156E">
        <w:rPr>
          <w:rFonts w:ascii="Arial" w:hAnsi="Arial" w:cs="Arial"/>
          <w:color w:val="000000"/>
        </w:rPr>
        <w:t>(s)</w:t>
      </w:r>
      <w:r w:rsidRPr="002F156E">
        <w:rPr>
          <w:rFonts w:ascii="Arial" w:hAnsi="Arial" w:cs="Arial"/>
          <w:color w:val="000000"/>
        </w:rPr>
        <w:t xml:space="preserve"> take place. </w:t>
      </w:r>
      <w:r w:rsidR="00D76D3B" w:rsidRPr="002F156E">
        <w:rPr>
          <w:rFonts w:ascii="Arial" w:hAnsi="Arial" w:cs="Arial"/>
          <w:color w:val="000000"/>
        </w:rPr>
        <w:t>I</w:t>
      </w:r>
      <w:r w:rsidRPr="002F156E">
        <w:rPr>
          <w:rFonts w:ascii="Arial" w:hAnsi="Arial" w:cs="Arial"/>
          <w:color w:val="000000"/>
        </w:rPr>
        <w:t xml:space="preserve"> will also provide a verbal overview of the research at the start of each interview to ensure that participants have a clear and complete understanding of what is involved and what will happen to their data.</w:t>
      </w:r>
    </w:p>
    <w:p w14:paraId="28949B79" w14:textId="77777777" w:rsidR="00E13A59" w:rsidRPr="002F156E" w:rsidRDefault="00E13A59" w:rsidP="00E13A59">
      <w:pPr>
        <w:pStyle w:val="font-claude-response-body"/>
        <w:spacing w:line="360" w:lineRule="auto"/>
        <w:rPr>
          <w:rFonts w:ascii="Arial" w:hAnsi="Arial" w:cs="Arial"/>
          <w:color w:val="000000"/>
        </w:rPr>
      </w:pPr>
      <w:r w:rsidRPr="002F156E">
        <w:rPr>
          <w:rStyle w:val="Strong"/>
          <w:rFonts w:ascii="Arial" w:hAnsi="Arial" w:cs="Arial"/>
          <w:color w:val="000000"/>
        </w:rPr>
        <w:t>Confidentiality and Anonymity</w:t>
      </w:r>
    </w:p>
    <w:p w14:paraId="681D3271" w14:textId="709400DD" w:rsidR="00E13A59" w:rsidRPr="002F156E" w:rsidRDefault="00E13A59" w:rsidP="00E13A59">
      <w:pPr>
        <w:pStyle w:val="font-claude-response-body"/>
        <w:spacing w:line="360" w:lineRule="auto"/>
        <w:rPr>
          <w:rFonts w:ascii="Arial" w:hAnsi="Arial" w:cs="Arial"/>
          <w:color w:val="000000"/>
        </w:rPr>
      </w:pPr>
      <w:r w:rsidRPr="002F156E">
        <w:rPr>
          <w:rFonts w:ascii="Arial" w:hAnsi="Arial" w:cs="Arial"/>
          <w:color w:val="000000"/>
        </w:rPr>
        <w:t xml:space="preserve">Participant confidentiality will be protected throughout the research process. Each participant will be allocated an anonymised code, which will be used in place of their name or any other identifying information in all data documentation and outputs. Neither personal nor organisational identities will be disclosed in any written or published material arising from the research. Only </w:t>
      </w:r>
      <w:r w:rsidR="00D76D3B" w:rsidRPr="002F156E">
        <w:rPr>
          <w:rFonts w:ascii="Arial" w:hAnsi="Arial" w:cs="Arial"/>
          <w:color w:val="000000"/>
        </w:rPr>
        <w:t>I</w:t>
      </w:r>
      <w:r w:rsidRPr="002F156E">
        <w:rPr>
          <w:rFonts w:ascii="Arial" w:hAnsi="Arial" w:cs="Arial"/>
          <w:color w:val="000000"/>
        </w:rPr>
        <w:t xml:space="preserve"> will have access to identifiable</w:t>
      </w:r>
      <w:r w:rsidR="00112BEF" w:rsidRPr="002F156E">
        <w:rPr>
          <w:rFonts w:ascii="Arial" w:hAnsi="Arial" w:cs="Arial"/>
          <w:color w:val="000000"/>
        </w:rPr>
        <w:t xml:space="preserve"> information</w:t>
      </w:r>
      <w:r w:rsidRPr="002F156E">
        <w:rPr>
          <w:rFonts w:ascii="Arial" w:hAnsi="Arial" w:cs="Arial"/>
          <w:color w:val="000000"/>
        </w:rPr>
        <w:t>.</w:t>
      </w:r>
    </w:p>
    <w:p w14:paraId="43250FD0" w14:textId="77777777" w:rsidR="00E13A59" w:rsidRPr="002F156E" w:rsidRDefault="00E13A59" w:rsidP="00E13A59">
      <w:pPr>
        <w:pStyle w:val="font-claude-response-body"/>
        <w:spacing w:line="360" w:lineRule="auto"/>
        <w:rPr>
          <w:rFonts w:ascii="Arial" w:hAnsi="Arial" w:cs="Arial"/>
          <w:color w:val="000000"/>
        </w:rPr>
      </w:pPr>
      <w:r w:rsidRPr="002F156E">
        <w:rPr>
          <w:rStyle w:val="Strong"/>
          <w:rFonts w:ascii="Arial" w:hAnsi="Arial" w:cs="Arial"/>
          <w:color w:val="000000"/>
        </w:rPr>
        <w:t>Data Storage and Protection</w:t>
      </w:r>
    </w:p>
    <w:p w14:paraId="7FDC7494" w14:textId="40335EC9" w:rsidR="00E13A59" w:rsidRPr="002F156E" w:rsidRDefault="00E13A59" w:rsidP="00E13A59">
      <w:pPr>
        <w:pStyle w:val="font-claude-response-body"/>
        <w:spacing w:line="360" w:lineRule="auto"/>
        <w:rPr>
          <w:rFonts w:ascii="Arial" w:hAnsi="Arial" w:cs="Arial"/>
          <w:color w:val="000000"/>
        </w:rPr>
      </w:pPr>
      <w:r w:rsidRPr="002F156E">
        <w:rPr>
          <w:rFonts w:ascii="Arial" w:hAnsi="Arial" w:cs="Arial"/>
          <w:color w:val="000000"/>
        </w:rPr>
        <w:t xml:space="preserve">All data will be stored in compliance with the General Data Protection Regulation (GDPR) 2016 and the Data Protection Act 2018. </w:t>
      </w:r>
      <w:r w:rsidR="00112BEF" w:rsidRPr="002F156E">
        <w:rPr>
          <w:rFonts w:ascii="Arial" w:hAnsi="Arial" w:cs="Arial"/>
          <w:color w:val="000000"/>
        </w:rPr>
        <w:t>A</w:t>
      </w:r>
      <w:r w:rsidRPr="002F156E">
        <w:rPr>
          <w:rFonts w:ascii="Arial" w:hAnsi="Arial" w:cs="Arial"/>
          <w:color w:val="000000"/>
        </w:rPr>
        <w:t xml:space="preserve">udio and video recordings of interviews, along with any associated documentation, will be stored securely in </w:t>
      </w:r>
      <w:r w:rsidR="00112BEF" w:rsidRPr="002F156E">
        <w:rPr>
          <w:rFonts w:ascii="Arial" w:hAnsi="Arial" w:cs="Arial"/>
          <w:color w:val="000000"/>
        </w:rPr>
        <w:t xml:space="preserve">the </w:t>
      </w:r>
      <w:r w:rsidRPr="002F156E">
        <w:rPr>
          <w:rFonts w:ascii="Arial" w:hAnsi="Arial" w:cs="Arial"/>
          <w:color w:val="000000"/>
        </w:rPr>
        <w:t xml:space="preserve">password-protected cloud storage via the UWTSD Office 365 system, which requires two-factor authentication through the Microsoft Authenticator app. </w:t>
      </w:r>
      <w:r w:rsidR="00D76D3B" w:rsidRPr="002F156E">
        <w:rPr>
          <w:rFonts w:ascii="Arial" w:hAnsi="Arial" w:cs="Arial"/>
          <w:color w:val="000000"/>
        </w:rPr>
        <w:t>I will be</w:t>
      </w:r>
      <w:r w:rsidRPr="002F156E">
        <w:rPr>
          <w:rFonts w:ascii="Arial" w:hAnsi="Arial" w:cs="Arial"/>
          <w:color w:val="000000"/>
        </w:rPr>
        <w:t xml:space="preserve"> the sole custodian of the data. All data will be retained for the duration of the research and handled in accordance with the university's data management </w:t>
      </w:r>
      <w:r w:rsidR="00112BEF" w:rsidRPr="002F156E">
        <w:rPr>
          <w:rFonts w:ascii="Arial" w:hAnsi="Arial" w:cs="Arial"/>
          <w:color w:val="000000"/>
        </w:rPr>
        <w:t>policies</w:t>
      </w:r>
      <w:r w:rsidRPr="002F156E">
        <w:rPr>
          <w:rFonts w:ascii="Arial" w:hAnsi="Arial" w:cs="Arial"/>
          <w:color w:val="000000"/>
        </w:rPr>
        <w:t>.</w:t>
      </w:r>
    </w:p>
    <w:p w14:paraId="47713FAF" w14:textId="77777777" w:rsidR="00E13A59" w:rsidRPr="002F156E" w:rsidRDefault="00E13A59" w:rsidP="00E13A59">
      <w:pPr>
        <w:pStyle w:val="font-claude-response-body"/>
        <w:spacing w:line="360" w:lineRule="auto"/>
        <w:rPr>
          <w:rFonts w:ascii="Arial" w:hAnsi="Arial" w:cs="Arial"/>
          <w:color w:val="000000"/>
        </w:rPr>
      </w:pPr>
      <w:r w:rsidRPr="002F156E">
        <w:rPr>
          <w:rStyle w:val="Strong"/>
          <w:rFonts w:ascii="Arial" w:hAnsi="Arial" w:cs="Arial"/>
          <w:color w:val="000000"/>
        </w:rPr>
        <w:t>Risk and Wellbeing</w:t>
      </w:r>
    </w:p>
    <w:p w14:paraId="224DB8C3" w14:textId="433D73AD" w:rsidR="00112BEF" w:rsidRPr="002F156E" w:rsidRDefault="00E13A59" w:rsidP="00E13A59">
      <w:pPr>
        <w:pStyle w:val="font-claude-response-body"/>
        <w:spacing w:line="360" w:lineRule="auto"/>
        <w:rPr>
          <w:rFonts w:ascii="Arial" w:hAnsi="Arial" w:cs="Arial"/>
          <w:color w:val="000000"/>
        </w:rPr>
      </w:pPr>
      <w:r w:rsidRPr="002F156E">
        <w:rPr>
          <w:rFonts w:ascii="Arial" w:hAnsi="Arial" w:cs="Arial"/>
          <w:color w:val="000000"/>
        </w:rPr>
        <w:t xml:space="preserve">The primary ethical risk identified is the potential for participants to experience emotional discomfort when reflecting on challenging change facilitation experiences. To mitigate this, participants will be briefed in advance on the reflective and personal nature of the interviews. </w:t>
      </w:r>
      <w:r w:rsidR="00D76D3B" w:rsidRPr="002F156E">
        <w:rPr>
          <w:rFonts w:ascii="Arial" w:hAnsi="Arial" w:cs="Arial"/>
          <w:color w:val="000000"/>
        </w:rPr>
        <w:t>I</w:t>
      </w:r>
      <w:r w:rsidRPr="002F156E">
        <w:rPr>
          <w:rFonts w:ascii="Arial" w:hAnsi="Arial" w:cs="Arial"/>
          <w:color w:val="000000"/>
        </w:rPr>
        <w:t xml:space="preserve"> will be attentive to emotional cues throughout, and participants will have the right to pause, skip questions, or stop the interview at any time without explanation. </w:t>
      </w:r>
    </w:p>
    <w:p w14:paraId="4C04BFE5" w14:textId="77777777" w:rsidR="00112BEF" w:rsidRPr="002F156E" w:rsidRDefault="00112BEF" w:rsidP="00112BEF">
      <w:pPr>
        <w:pStyle w:val="font-claude-response-body"/>
        <w:spacing w:line="360" w:lineRule="auto"/>
        <w:rPr>
          <w:rFonts w:ascii="Arial" w:hAnsi="Arial" w:cs="Arial"/>
          <w:color w:val="000000"/>
        </w:rPr>
      </w:pPr>
      <w:r w:rsidRPr="002F156E">
        <w:rPr>
          <w:rFonts w:ascii="Arial" w:hAnsi="Arial" w:cs="Arial"/>
          <w:b/>
          <w:bCs/>
          <w:color w:val="000000"/>
        </w:rPr>
        <w:t>Insider Researcher Positionality</w:t>
      </w:r>
    </w:p>
    <w:p w14:paraId="4D836334" w14:textId="4C51B29C" w:rsidR="00112BEF" w:rsidRPr="002F156E" w:rsidRDefault="00112BEF" w:rsidP="00E13A59">
      <w:pPr>
        <w:pStyle w:val="font-claude-response-body"/>
        <w:spacing w:line="360" w:lineRule="auto"/>
        <w:rPr>
          <w:rFonts w:ascii="Arial" w:hAnsi="Arial" w:cs="Arial"/>
          <w:color w:val="000000"/>
        </w:rPr>
      </w:pPr>
      <w:r w:rsidRPr="002F156E">
        <w:rPr>
          <w:rFonts w:ascii="Arial" w:hAnsi="Arial" w:cs="Arial"/>
          <w:color w:val="000000"/>
        </w:rPr>
        <w:lastRenderedPageBreak/>
        <w:t>As a practising coach and change management facilitator, I occupy an insider position in relation to this research. Insider research involves studying one's social group or community, conducted by members who share experiential similarities with participants, and insiders bring intimate community knowledge that can offer unique insights</w:t>
      </w:r>
      <w:r w:rsidRPr="002F156E">
        <w:rPr>
          <w:rFonts w:ascii="Arial" w:hAnsi="Arial" w:cs="Arial"/>
          <w:color w:val="000000"/>
        </w:rPr>
        <w:t xml:space="preserve"> (Aguillar et al, 2025).</w:t>
      </w:r>
      <w:r w:rsidRPr="002F156E">
        <w:rPr>
          <w:rFonts w:ascii="Arial" w:hAnsi="Arial" w:cs="Arial"/>
          <w:color w:val="000000"/>
        </w:rPr>
        <w:t> In this study, my professional background is likely to support trust and rapport with participants, enabling more open and candid accounts of lived experience However, this position also carries methodological risks that must be actively managed. Researchers operating within interpretive or critical paradigms see potential value in the knowledge that arises from lived experience, yet insider status also carries the risk of bias, with the researcher potentially seeing their own experiences in participants or missing important patterns because things seem too familiar</w:t>
      </w:r>
      <w:r w:rsidRPr="002F156E">
        <w:rPr>
          <w:rFonts w:ascii="Arial" w:hAnsi="Arial" w:cs="Arial"/>
          <w:color w:val="000000"/>
        </w:rPr>
        <w:t xml:space="preserve"> (Ross, 2017). </w:t>
      </w:r>
      <w:r w:rsidRPr="002F156E">
        <w:rPr>
          <w:rFonts w:ascii="Arial" w:hAnsi="Arial" w:cs="Arial"/>
          <w:color w:val="000000"/>
        </w:rPr>
        <w:t xml:space="preserve">To mitigate these risks, I will engage in ongoing reflexivity throughout the research process. </w:t>
      </w:r>
    </w:p>
    <w:p w14:paraId="1D4E3DF1" w14:textId="77777777" w:rsidR="003876CE" w:rsidRPr="002F156E" w:rsidRDefault="003876CE" w:rsidP="003876CE">
      <w:pPr>
        <w:rPr>
          <w:rFonts w:ascii="Arial" w:hAnsi="Arial" w:cs="Arial"/>
        </w:rPr>
      </w:pPr>
    </w:p>
    <w:p w14:paraId="0A1A787F" w14:textId="1805F1F8" w:rsidR="005F2B15" w:rsidRPr="002F156E" w:rsidRDefault="00EE5369" w:rsidP="003876CE">
      <w:pPr>
        <w:pStyle w:val="Heading1"/>
        <w:numPr>
          <w:ilvl w:val="0"/>
          <w:numId w:val="34"/>
        </w:numPr>
        <w:spacing w:line="360" w:lineRule="auto"/>
        <w:ind w:left="440"/>
        <w:rPr>
          <w:rFonts w:ascii="Arial" w:eastAsia="Arial Narrow" w:hAnsi="Arial" w:cs="Arial"/>
          <w:b/>
          <w:bCs/>
          <w:kern w:val="2"/>
          <w14:ligatures w14:val="standardContextual"/>
        </w:rPr>
      </w:pPr>
      <w:bookmarkStart w:id="5" w:name="_Toc229993917"/>
      <w:r w:rsidRPr="002F156E">
        <w:rPr>
          <w:rFonts w:ascii="Arial" w:eastAsia="Arial Narrow" w:hAnsi="Arial" w:cs="Arial"/>
          <w:b/>
          <w:bCs/>
          <w:kern w:val="2"/>
          <w14:ligatures w14:val="standardContextual"/>
        </w:rPr>
        <w:t>References</w:t>
      </w:r>
      <w:bookmarkEnd w:id="5"/>
    </w:p>
    <w:p w14:paraId="298F9663" w14:textId="77777777" w:rsidR="004774C9" w:rsidRPr="002F156E" w:rsidRDefault="004774C9" w:rsidP="004774C9"/>
    <w:p w14:paraId="22BBDA16"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ACMP (2026) </w:t>
      </w:r>
      <w:r w:rsidRPr="002F156E">
        <w:rPr>
          <w:rFonts w:ascii="Arial" w:hAnsi="Arial" w:cs="Arial"/>
          <w:i/>
          <w:iCs/>
        </w:rPr>
        <w:t>The ACMP–ICF joint task force</w:t>
      </w:r>
      <w:r w:rsidRPr="002F156E">
        <w:rPr>
          <w:rFonts w:ascii="Arial" w:hAnsi="Arial" w:cs="Arial"/>
        </w:rPr>
        <w:t>. Available at: </w:t>
      </w:r>
      <w:hyperlink r:id="rId8" w:tgtFrame="_blank" w:history="1">
        <w:r w:rsidRPr="002F156E">
          <w:rPr>
            <w:rStyle w:val="Hyperlink"/>
            <w:rFonts w:ascii="Arial" w:hAnsi="Arial" w:cs="Arial"/>
          </w:rPr>
          <w:t>https://www.acmpglobal.org/page/the-acmp-icf-joint-task-force</w:t>
        </w:r>
      </w:hyperlink>
      <w:r w:rsidRPr="002F156E">
        <w:rPr>
          <w:rFonts w:ascii="Arial" w:hAnsi="Arial" w:cs="Arial"/>
        </w:rPr>
        <w:t> (Accessed: 10 May 2026).</w:t>
      </w:r>
    </w:p>
    <w:p w14:paraId="1BAA537D"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Aguilar, J., Torres, G. M., Macias, A. J. (2025) Insider research: Reflexivity, responsibility, and community-informed approaches, </w:t>
      </w:r>
      <w:r w:rsidRPr="002F156E">
        <w:rPr>
          <w:rFonts w:ascii="Arial" w:hAnsi="Arial" w:cs="Arial"/>
          <w:i/>
          <w:iCs/>
        </w:rPr>
        <w:t>Contemporary Educational Psychology</w:t>
      </w:r>
      <w:r w:rsidRPr="002F156E">
        <w:rPr>
          <w:rFonts w:ascii="Arial" w:hAnsi="Arial" w:cs="Arial"/>
        </w:rPr>
        <w:t xml:space="preserve">, 80. </w:t>
      </w:r>
      <w:hyperlink r:id="rId9" w:history="1">
        <w:r w:rsidRPr="002F156E">
          <w:rPr>
            <w:rStyle w:val="Hyperlink"/>
            <w:rFonts w:ascii="Arial" w:hAnsi="Arial" w:cs="Arial"/>
          </w:rPr>
          <w:t>https://doi.org/10.1016/j.cedpsych.2025.102345</w:t>
        </w:r>
      </w:hyperlink>
    </w:p>
    <w:p w14:paraId="70519F8D" w14:textId="77777777" w:rsidR="004774C9" w:rsidRPr="002F156E" w:rsidRDefault="004774C9" w:rsidP="00411D4E">
      <w:pPr>
        <w:spacing w:before="100" w:after="100" w:line="360" w:lineRule="auto"/>
        <w:rPr>
          <w:rFonts w:ascii="Arial" w:hAnsi="Arial" w:cs="Arial"/>
        </w:rPr>
      </w:pPr>
      <w:r w:rsidRPr="002F156E">
        <w:rPr>
          <w:rFonts w:ascii="Arial" w:hAnsi="Arial" w:cs="Arial"/>
        </w:rPr>
        <w:t>Bickerich, A., Michel, A. and O’Shea, D. (2018) Executive coaching during organisational change: a qualitative study of executives’ and coaches’ experiences, </w:t>
      </w:r>
      <w:r w:rsidRPr="002F156E">
        <w:rPr>
          <w:rFonts w:ascii="Arial" w:hAnsi="Arial" w:cs="Arial"/>
          <w:i/>
          <w:iCs/>
        </w:rPr>
        <w:t>Coaching: An International Journal of Theory, Research and Practice</w:t>
      </w:r>
      <w:r w:rsidRPr="002F156E">
        <w:rPr>
          <w:rFonts w:ascii="Arial" w:hAnsi="Arial" w:cs="Arial"/>
        </w:rPr>
        <w:t xml:space="preserve">, 11(2), pp. 117–143. </w:t>
      </w:r>
      <w:hyperlink r:id="rId10" w:history="1">
        <w:r w:rsidRPr="002F156E">
          <w:rPr>
            <w:rStyle w:val="Hyperlink"/>
            <w:rFonts w:ascii="Arial" w:hAnsi="Arial" w:cs="Arial"/>
          </w:rPr>
          <w:t>https://doi-org.uwtsd.idm.oclc.org/10.1080/17521882.2017.1407806</w:t>
        </w:r>
      </w:hyperlink>
    </w:p>
    <w:p w14:paraId="0662C675"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Bryman, A. (2016). Social research methods (5th ed.). Oxford University Press.</w:t>
      </w:r>
    </w:p>
    <w:p w14:paraId="1C6ECB10" w14:textId="2D2F384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lastRenderedPageBreak/>
        <w:t xml:space="preserve">Butcher, J. (2012) ‘Exploring the Link between Identity and Coaching Practice’, International Journal of Evidence Based Coaching &amp; Mentoring, pp. 119–129. Available at: </w:t>
      </w:r>
      <w:hyperlink r:id="rId11" w:history="1">
        <w:r w:rsidRPr="002F156E">
          <w:rPr>
            <w:rStyle w:val="Hyperlink"/>
            <w:rFonts w:ascii="Arial" w:hAnsi="Arial" w:cs="Arial"/>
          </w:rPr>
          <w:t>https://research-ebsco-com.uwtsd.idm.oclc.org/linkprocessor/plink?id=ae02fcdc-4041-3b70-b732-1a25c8755280</w:t>
        </w:r>
      </w:hyperlink>
    </w:p>
    <w:p w14:paraId="6170F283"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Crotty, M. (1998) </w:t>
      </w:r>
      <w:r w:rsidRPr="002F156E">
        <w:rPr>
          <w:rFonts w:ascii="Arial" w:hAnsi="Arial" w:cs="Arial"/>
          <w:i/>
          <w:iCs/>
        </w:rPr>
        <w:t>The foundations of social research: meaning and perspective in the research process</w:t>
      </w:r>
      <w:r w:rsidRPr="002F156E">
        <w:rPr>
          <w:rFonts w:ascii="Arial" w:hAnsi="Arial" w:cs="Arial"/>
        </w:rPr>
        <w:t>. SAGE Publications.</w:t>
      </w:r>
    </w:p>
    <w:p w14:paraId="4514734A" w14:textId="77777777" w:rsidR="004774C9" w:rsidRPr="002F156E" w:rsidRDefault="004774C9" w:rsidP="00411D4E">
      <w:pPr>
        <w:spacing w:line="360" w:lineRule="auto"/>
        <w:textAlignment w:val="baseline"/>
        <w:rPr>
          <w:rFonts w:ascii="Arial" w:hAnsi="Arial" w:cs="Arial"/>
          <w:color w:val="1A1A1A"/>
        </w:rPr>
      </w:pPr>
      <w:r w:rsidRPr="002F156E">
        <w:rPr>
          <w:rFonts w:ascii="Arial" w:hAnsi="Arial" w:cs="Arial"/>
        </w:rPr>
        <w:t>Dorfler, V. and Stierand, M. (2020) Bracketing and phenomenology in management and organization studies, </w:t>
      </w:r>
      <w:r w:rsidRPr="002F156E">
        <w:rPr>
          <w:rFonts w:ascii="Arial" w:hAnsi="Arial" w:cs="Arial"/>
          <w:i/>
          <w:iCs/>
        </w:rPr>
        <w:t>Management Learning</w:t>
      </w:r>
      <w:r w:rsidRPr="002F156E">
        <w:rPr>
          <w:rFonts w:ascii="Arial" w:hAnsi="Arial" w:cs="Arial"/>
        </w:rPr>
        <w:t xml:space="preserve">, </w:t>
      </w:r>
      <w:r w:rsidRPr="002F156E">
        <w:rPr>
          <w:rFonts w:ascii="Arial" w:hAnsi="Arial" w:cs="Arial"/>
          <w:color w:val="1A1A1A"/>
        </w:rPr>
        <w:t>34 (4): 778–793.</w:t>
      </w:r>
    </w:p>
    <w:p w14:paraId="3C97C6B5" w14:textId="77777777" w:rsidR="004774C9" w:rsidRPr="002F156E" w:rsidRDefault="004774C9" w:rsidP="00411D4E">
      <w:pPr>
        <w:spacing w:line="360" w:lineRule="auto"/>
        <w:textAlignment w:val="baseline"/>
        <w:rPr>
          <w:rFonts w:ascii="Arial" w:hAnsi="Arial" w:cs="Arial"/>
          <w:color w:val="467886" w:themeColor="hyperlink"/>
          <w:u w:val="single"/>
        </w:rPr>
      </w:pPr>
      <w:hyperlink r:id="rId12" w:tgtFrame="_blank" w:history="1">
        <w:r w:rsidRPr="002F156E">
          <w:rPr>
            <w:rStyle w:val="Hyperlink"/>
            <w:rFonts w:ascii="Arial" w:hAnsi="Arial" w:cs="Arial"/>
          </w:rPr>
          <w:t>https://doi.org/10.1108/JOCM-12-2019-0393</w:t>
        </w:r>
      </w:hyperlink>
    </w:p>
    <w:p w14:paraId="25AEEC04"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Finlay, L. (2011) </w:t>
      </w:r>
      <w:r w:rsidRPr="002F156E">
        <w:rPr>
          <w:rFonts w:ascii="Arial" w:hAnsi="Arial" w:cs="Arial"/>
          <w:i/>
          <w:iCs/>
        </w:rPr>
        <w:t>Phenomenology for therapists: researching the lived world</w:t>
      </w:r>
      <w:r w:rsidRPr="002F156E">
        <w:rPr>
          <w:rFonts w:ascii="Arial" w:hAnsi="Arial" w:cs="Arial"/>
        </w:rPr>
        <w:t>. Wiley-Blackwell.</w:t>
      </w:r>
    </w:p>
    <w:p w14:paraId="42A11C43"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Foote, M.Q. and Bartell, T.G. (2011) Pathways to equity in mathematics education: how life experiences impact research positionality, </w:t>
      </w:r>
      <w:r w:rsidRPr="002F156E">
        <w:rPr>
          <w:rFonts w:ascii="Arial" w:hAnsi="Arial" w:cs="Arial"/>
          <w:i/>
          <w:iCs/>
        </w:rPr>
        <w:t>Educational Studies in Mathematics</w:t>
      </w:r>
      <w:r w:rsidRPr="002F156E">
        <w:rPr>
          <w:rFonts w:ascii="Arial" w:hAnsi="Arial" w:cs="Arial"/>
        </w:rPr>
        <w:t xml:space="preserve">, 78(1), pp. 45–68. </w:t>
      </w:r>
      <w:hyperlink r:id="rId13" w:history="1">
        <w:r w:rsidRPr="002F156E">
          <w:rPr>
            <w:rStyle w:val="Hyperlink"/>
            <w:rFonts w:ascii="Arial" w:eastAsiaTheme="majorEastAsia" w:hAnsi="Arial" w:cs="Arial"/>
          </w:rPr>
          <w:t>https://doi.org/10.1007/s10649-011-9309-2</w:t>
        </w:r>
      </w:hyperlink>
    </w:p>
    <w:p w14:paraId="39C602C4"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Gauci, M.G. (2019) WASP (Write a Scientific Paper): Interpretative phenomenological analysis: Its attraction and relevance to the medical field, </w:t>
      </w:r>
      <w:r w:rsidRPr="002F156E">
        <w:rPr>
          <w:rFonts w:ascii="Arial" w:hAnsi="Arial" w:cs="Arial"/>
          <w:i/>
          <w:iCs/>
        </w:rPr>
        <w:t>Early Human Development</w:t>
      </w:r>
      <w:r w:rsidRPr="002F156E">
        <w:rPr>
          <w:rFonts w:ascii="Arial" w:hAnsi="Arial" w:cs="Arial"/>
        </w:rPr>
        <w:t xml:space="preserve">, 133, pp. 52-56. </w:t>
      </w:r>
      <w:hyperlink r:id="rId14" w:history="1">
        <w:r w:rsidRPr="002F156E">
          <w:rPr>
            <w:rStyle w:val="Hyperlink"/>
            <w:rFonts w:ascii="Arial" w:hAnsi="Arial" w:cs="Arial"/>
          </w:rPr>
          <w:t>https://doi.org/10.1016/j.earlhumdev.2019.03.012</w:t>
        </w:r>
      </w:hyperlink>
    </w:p>
    <w:p w14:paraId="7C64FD87"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Grant, A.M. (2014) The efficacy of executive coaching in times of organisational change, </w:t>
      </w:r>
      <w:r w:rsidRPr="002F156E">
        <w:rPr>
          <w:rFonts w:ascii="Arial" w:hAnsi="Arial" w:cs="Arial"/>
          <w:i/>
          <w:iCs/>
        </w:rPr>
        <w:t>Journal of Change Management</w:t>
      </w:r>
      <w:r w:rsidRPr="002F156E">
        <w:rPr>
          <w:rFonts w:ascii="Arial" w:hAnsi="Arial" w:cs="Arial"/>
        </w:rPr>
        <w:t xml:space="preserve">, 14(2), pp. 258–280. </w:t>
      </w:r>
      <w:hyperlink r:id="rId15" w:history="1">
        <w:r w:rsidRPr="002F156E">
          <w:rPr>
            <w:rStyle w:val="Hyperlink"/>
            <w:rFonts w:ascii="Arial" w:hAnsi="Arial" w:cs="Arial"/>
          </w:rPr>
          <w:t>https://doi.org/10.1080/14697017.2013.805159</w:t>
        </w:r>
      </w:hyperlink>
    </w:p>
    <w:p w14:paraId="495F2C90"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Gyllensten, K., Henschel, T. and Jones, B. (2020) Exploring the client experience of group coaching: a qualitative study, </w:t>
      </w:r>
      <w:r w:rsidRPr="002F156E">
        <w:rPr>
          <w:rFonts w:ascii="Arial" w:hAnsi="Arial" w:cs="Arial"/>
          <w:i/>
          <w:iCs/>
        </w:rPr>
        <w:t>International Coaching Psychology Review</w:t>
      </w:r>
      <w:r w:rsidRPr="002F156E">
        <w:rPr>
          <w:rFonts w:ascii="Arial" w:hAnsi="Arial" w:cs="Arial"/>
        </w:rPr>
        <w:t xml:space="preserve">, 15(1), pp. 6–20. </w:t>
      </w:r>
      <w:hyperlink r:id="rId16" w:tgtFrame="_blank" w:tooltip="10.53841/bpsicpr.2020.15.1.37" w:history="1">
        <w:r w:rsidRPr="002F156E">
          <w:rPr>
            <w:rStyle w:val="Hyperlink"/>
            <w:rFonts w:ascii="Arial" w:hAnsi="Arial" w:cs="Arial"/>
          </w:rPr>
          <w:t>https://doi.org/10.53841/bpsicpr.2020.15.1.37</w:t>
        </w:r>
      </w:hyperlink>
    </w:p>
    <w:p w14:paraId="633D685A"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Halliwell, J., Mitchell, E. and Boyle, M. (2023) Coaching and authentic leadership: a longitudinal study, </w:t>
      </w:r>
      <w:r w:rsidRPr="002F156E">
        <w:rPr>
          <w:rFonts w:ascii="Arial" w:hAnsi="Arial" w:cs="Arial"/>
          <w:i/>
          <w:iCs/>
        </w:rPr>
        <w:t>Leadership &amp; Organization Development Journal</w:t>
      </w:r>
      <w:r w:rsidRPr="002F156E">
        <w:rPr>
          <w:rFonts w:ascii="Arial" w:hAnsi="Arial" w:cs="Arial"/>
        </w:rPr>
        <w:t>, 44(1), pp. 1–15.</w:t>
      </w:r>
      <w:r w:rsidRPr="002F156E">
        <w:rPr>
          <w:rFonts w:ascii="Arial" w:hAnsi="Arial" w:cs="Arial"/>
          <w:color w:val="606060"/>
        </w:rPr>
        <w:t xml:space="preserve"> </w:t>
      </w:r>
      <w:hyperlink r:id="rId17" w:history="1">
        <w:r w:rsidRPr="002F156E">
          <w:rPr>
            <w:rStyle w:val="Hyperlink"/>
            <w:rFonts w:ascii="Arial" w:hAnsi="Arial" w:cs="Arial"/>
          </w:rPr>
          <w:t>https://doi.org/10.1371/journal.pone.0294953</w:t>
        </w:r>
      </w:hyperlink>
    </w:p>
    <w:p w14:paraId="45D92EF2"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lastRenderedPageBreak/>
        <w:t>Hitchcock, G. and Hughes, D. (1995) </w:t>
      </w:r>
      <w:r w:rsidRPr="002F156E">
        <w:rPr>
          <w:rFonts w:ascii="Arial" w:hAnsi="Arial" w:cs="Arial"/>
          <w:i/>
          <w:iCs/>
        </w:rPr>
        <w:t>Research and the teacher: a qualitative introduction to school-based research</w:t>
      </w:r>
      <w:r w:rsidRPr="002F156E">
        <w:rPr>
          <w:rFonts w:ascii="Arial" w:hAnsi="Arial" w:cs="Arial"/>
        </w:rPr>
        <w:t>. 2nd edn. Routledge.</w:t>
      </w:r>
    </w:p>
    <w:p w14:paraId="37EAC31F"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Howell, J.M. and Shea, C.M. (2006) Effects of champion behaviour, team potency, and external communication activities on predicting team performance, </w:t>
      </w:r>
      <w:r w:rsidRPr="002F156E">
        <w:rPr>
          <w:rFonts w:ascii="Arial" w:hAnsi="Arial" w:cs="Arial"/>
          <w:i/>
          <w:iCs/>
        </w:rPr>
        <w:t>Group &amp; Organization Management</w:t>
      </w:r>
      <w:r w:rsidRPr="002F156E">
        <w:rPr>
          <w:rFonts w:ascii="Arial" w:hAnsi="Arial" w:cs="Arial"/>
        </w:rPr>
        <w:t xml:space="preserve">, 31(2), pp. 180–211. </w:t>
      </w:r>
      <w:hyperlink r:id="rId18" w:history="1">
        <w:r w:rsidRPr="002F156E">
          <w:rPr>
            <w:rStyle w:val="Hyperlink"/>
            <w:rFonts w:ascii="Arial" w:eastAsiaTheme="majorEastAsia" w:hAnsi="Arial" w:cs="Arial"/>
          </w:rPr>
          <w:t>https://doi.org/10.1177/1059601104273067</w:t>
        </w:r>
      </w:hyperlink>
    </w:p>
    <w:p w14:paraId="444C417F"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International Coaching Federation (2026) </w:t>
      </w:r>
      <w:r w:rsidRPr="002F156E">
        <w:rPr>
          <w:rFonts w:ascii="Arial" w:hAnsi="Arial" w:cs="Arial"/>
          <w:i/>
          <w:iCs/>
        </w:rPr>
        <w:t>ICF definition of coaching</w:t>
      </w:r>
      <w:r w:rsidRPr="002F156E">
        <w:rPr>
          <w:rFonts w:ascii="Arial" w:hAnsi="Arial" w:cs="Arial"/>
        </w:rPr>
        <w:t xml:space="preserve">. Available at: </w:t>
      </w:r>
      <w:hyperlink r:id="rId19" w:history="1">
        <w:r w:rsidRPr="002F156E">
          <w:rPr>
            <w:rStyle w:val="Hyperlink"/>
            <w:rFonts w:ascii="Arial" w:hAnsi="Arial" w:cs="Arial"/>
          </w:rPr>
          <w:t>https://coachingfederation.org/guide-to-experiencing-coaching-for-individuals/</w:t>
        </w:r>
      </w:hyperlink>
      <w:r w:rsidRPr="002F156E">
        <w:rPr>
          <w:rFonts w:ascii="Arial" w:hAnsi="Arial" w:cs="Arial"/>
        </w:rPr>
        <w:t xml:space="preserve"> (Accessed: 10 May 2026).</w:t>
      </w:r>
    </w:p>
    <w:p w14:paraId="3C7978AF" w14:textId="77777777" w:rsidR="004774C9" w:rsidRPr="002F156E" w:rsidRDefault="004774C9" w:rsidP="00411D4E">
      <w:pPr>
        <w:spacing w:before="100" w:beforeAutospacing="1" w:after="100" w:afterAutospacing="1" w:line="360" w:lineRule="auto"/>
        <w:rPr>
          <w:rFonts w:ascii="Arial" w:eastAsiaTheme="minorEastAsia" w:hAnsi="Arial" w:cs="Arial"/>
          <w:lang w:eastAsia="ja-JP"/>
        </w:rPr>
      </w:pPr>
      <w:r w:rsidRPr="002F156E">
        <w:rPr>
          <w:rFonts w:ascii="Arial" w:eastAsiaTheme="minorEastAsia" w:hAnsi="Arial" w:cs="Arial"/>
          <w:lang w:eastAsia="ja-JP"/>
        </w:rPr>
        <w:t xml:space="preserve">Jedličková L, Müller M, </w:t>
      </w:r>
      <w:proofErr w:type="spellStart"/>
      <w:r w:rsidRPr="002F156E">
        <w:rPr>
          <w:rFonts w:ascii="Arial" w:eastAsiaTheme="minorEastAsia" w:hAnsi="Arial" w:cs="Arial"/>
          <w:lang w:eastAsia="ja-JP"/>
        </w:rPr>
        <w:t>Halová</w:t>
      </w:r>
      <w:proofErr w:type="spellEnd"/>
      <w:r w:rsidRPr="002F156E">
        <w:rPr>
          <w:rFonts w:ascii="Arial" w:eastAsiaTheme="minorEastAsia" w:hAnsi="Arial" w:cs="Arial"/>
          <w:lang w:eastAsia="ja-JP"/>
        </w:rPr>
        <w:t xml:space="preserve"> D, </w:t>
      </w:r>
      <w:proofErr w:type="spellStart"/>
      <w:r w:rsidRPr="002F156E">
        <w:rPr>
          <w:rFonts w:ascii="Arial" w:eastAsiaTheme="minorEastAsia" w:hAnsi="Arial" w:cs="Arial"/>
          <w:lang w:eastAsia="ja-JP"/>
        </w:rPr>
        <w:t>Cserge</w:t>
      </w:r>
      <w:proofErr w:type="spellEnd"/>
      <w:r w:rsidRPr="002F156E">
        <w:rPr>
          <w:rFonts w:ascii="Arial" w:eastAsiaTheme="minorEastAsia" w:hAnsi="Arial" w:cs="Arial"/>
          <w:lang w:eastAsia="ja-JP"/>
        </w:rPr>
        <w:t xml:space="preserve"> T (2022), Combining interpretative phenomenological analysis and existential hermeneutic phenomenology to reveal critical moments of managerial lived experience: a methodological guide. </w:t>
      </w:r>
      <w:r w:rsidRPr="002F156E">
        <w:rPr>
          <w:rFonts w:ascii="Arial" w:eastAsiaTheme="minorEastAsia" w:hAnsi="Arial" w:cs="Arial"/>
          <w:i/>
          <w:iCs/>
          <w:lang w:eastAsia="ja-JP"/>
        </w:rPr>
        <w:t>Qualitative Research in Organizations and Management: An International Journal</w:t>
      </w:r>
      <w:r w:rsidRPr="002F156E">
        <w:rPr>
          <w:rFonts w:ascii="Arial" w:eastAsiaTheme="minorEastAsia" w:hAnsi="Arial" w:cs="Arial"/>
          <w:lang w:eastAsia="ja-JP"/>
        </w:rPr>
        <w:t xml:space="preserve">, 17(1), pp. 84–102. </w:t>
      </w:r>
      <w:hyperlink r:id="rId20" w:history="1">
        <w:r w:rsidRPr="002F156E">
          <w:rPr>
            <w:rStyle w:val="Hyperlink"/>
            <w:rFonts w:ascii="Arial" w:hAnsi="Arial" w:cs="Arial"/>
          </w:rPr>
          <w:t>https://doi.org/10.1108/QROM-09-2020-2024</w:t>
        </w:r>
      </w:hyperlink>
    </w:p>
    <w:p w14:paraId="1B17995C"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Kanitz, R., Gonzalez, K., Berger, S., Reinwald, M., Huettermann, H.</w:t>
      </w:r>
      <w:proofErr w:type="gramStart"/>
      <w:r w:rsidRPr="002F156E">
        <w:rPr>
          <w:rFonts w:ascii="Arial" w:hAnsi="Arial" w:cs="Arial"/>
        </w:rPr>
        <w:t>,  Franczak</w:t>
      </w:r>
      <w:proofErr w:type="gramEnd"/>
      <w:r w:rsidRPr="002F156E">
        <w:rPr>
          <w:rFonts w:ascii="Arial" w:hAnsi="Arial" w:cs="Arial"/>
        </w:rPr>
        <w:t>, J. (2023). Am I the only one? Consequences of change championing (a)symmetry on group</w:t>
      </w:r>
      <w:r w:rsidRPr="002F156E">
        <w:rPr>
          <w:rFonts w:ascii="Cambria Math" w:hAnsi="Cambria Math" w:cs="Cambria Math"/>
        </w:rPr>
        <w:t>‐</w:t>
      </w:r>
      <w:r w:rsidRPr="002F156E">
        <w:rPr>
          <w:rFonts w:ascii="Arial" w:hAnsi="Arial" w:cs="Arial"/>
        </w:rPr>
        <w:t xml:space="preserve"> and individual</w:t>
      </w:r>
      <w:r w:rsidRPr="002F156E">
        <w:rPr>
          <w:rFonts w:ascii="Cambria Math" w:hAnsi="Cambria Math" w:cs="Cambria Math"/>
        </w:rPr>
        <w:t>‐</w:t>
      </w:r>
      <w:r w:rsidRPr="002F156E">
        <w:rPr>
          <w:rFonts w:ascii="Arial" w:hAnsi="Arial" w:cs="Arial"/>
        </w:rPr>
        <w:t xml:space="preserve">level change outcomes. </w:t>
      </w:r>
      <w:r w:rsidRPr="002F156E">
        <w:rPr>
          <w:rFonts w:ascii="Arial" w:hAnsi="Arial" w:cs="Arial"/>
          <w:i/>
          <w:iCs/>
        </w:rPr>
        <w:t xml:space="preserve">Journal of Organizational </w:t>
      </w:r>
      <w:proofErr w:type="spellStart"/>
      <w:r w:rsidRPr="002F156E">
        <w:rPr>
          <w:rFonts w:ascii="Arial" w:hAnsi="Arial" w:cs="Arial"/>
          <w:i/>
          <w:iCs/>
        </w:rPr>
        <w:t>Behavior</w:t>
      </w:r>
      <w:proofErr w:type="spellEnd"/>
      <w:r w:rsidRPr="002F156E">
        <w:rPr>
          <w:rFonts w:ascii="Arial" w:hAnsi="Arial" w:cs="Arial"/>
        </w:rPr>
        <w:t xml:space="preserve">. 44. Doi: 1048-1065. 10.1002/job.2683. </w:t>
      </w:r>
    </w:p>
    <w:p w14:paraId="73631258"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color w:val="000000"/>
        </w:rPr>
        <w:t>Maclean, A. (2024). Change agent or neutral bystander? an exploration of how the coaching practices of internal coaches in higher education institutions support organisational change.</w:t>
      </w:r>
      <w:r w:rsidRPr="002F156E">
        <w:rPr>
          <w:rFonts w:ascii="Arial" w:hAnsi="Arial" w:cs="Arial"/>
          <w:i/>
          <w:iCs/>
          <w:color w:val="000000"/>
        </w:rPr>
        <w:t> International Journal of Evidence Based Coaching and Mentoring, </w:t>
      </w:r>
      <w:r w:rsidRPr="002F156E">
        <w:rPr>
          <w:rFonts w:ascii="Arial" w:hAnsi="Arial" w:cs="Arial"/>
          <w:color w:val="000000"/>
        </w:rPr>
        <w:t xml:space="preserve">(S18), 16–31. </w:t>
      </w:r>
      <w:hyperlink r:id="rId21" w:history="1">
        <w:r w:rsidRPr="002F156E">
          <w:rPr>
            <w:rStyle w:val="Hyperlink"/>
            <w:rFonts w:ascii="Arial" w:eastAsiaTheme="majorEastAsia" w:hAnsi="Arial" w:cs="Arial"/>
          </w:rPr>
          <w:t>https://doi.org/10.24384/tt54-ca69</w:t>
        </w:r>
      </w:hyperlink>
      <w:r w:rsidRPr="002F156E">
        <w:rPr>
          <w:rFonts w:ascii="Arial" w:hAnsi="Arial" w:cs="Arial"/>
        </w:rPr>
        <w:t xml:space="preserve"> </w:t>
      </w:r>
    </w:p>
    <w:p w14:paraId="3AC3B574"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Mosala, T. and Bennett, K. (2024). Leader identity and identity work: Enhancing coaching of leaders in changing contexts. </w:t>
      </w:r>
      <w:r w:rsidRPr="002F156E">
        <w:rPr>
          <w:rStyle w:val="Emphasis"/>
          <w:rFonts w:ascii="Arial" w:eastAsiaTheme="majorEastAsia" w:hAnsi="Arial" w:cs="Arial"/>
          <w:color w:val="000000"/>
          <w:spacing w:val="2"/>
          <w:bdr w:val="none" w:sz="0" w:space="0" w:color="auto" w:frame="1"/>
          <w:shd w:val="clear" w:color="auto" w:fill="FFFFFF"/>
        </w:rPr>
        <w:t>International Journal of Evidence Based Coaching and Mentoring</w:t>
      </w:r>
      <w:r w:rsidRPr="002F156E">
        <w:rPr>
          <w:rFonts w:ascii="Arial" w:hAnsi="Arial" w:cs="Arial"/>
          <w:color w:val="000000"/>
          <w:spacing w:val="2"/>
          <w:shd w:val="clear" w:color="auto" w:fill="FFFFFF"/>
        </w:rPr>
        <w:t>,</w:t>
      </w:r>
      <w:r w:rsidRPr="002F156E">
        <w:rPr>
          <w:rStyle w:val="apple-converted-space"/>
          <w:rFonts w:ascii="Arial" w:eastAsiaTheme="majorEastAsia" w:hAnsi="Arial" w:cs="Arial"/>
          <w:color w:val="000000"/>
          <w:spacing w:val="2"/>
          <w:shd w:val="clear" w:color="auto" w:fill="FFFFFF"/>
        </w:rPr>
        <w:t> </w:t>
      </w:r>
      <w:r w:rsidRPr="002F156E">
        <w:rPr>
          <w:rFonts w:ascii="Arial" w:hAnsi="Arial" w:cs="Arial"/>
        </w:rPr>
        <w:t>22(2)</w:t>
      </w:r>
      <w:r w:rsidRPr="002F156E">
        <w:rPr>
          <w:rFonts w:ascii="Arial" w:hAnsi="Arial" w:cs="Arial"/>
          <w:color w:val="000000"/>
          <w:spacing w:val="2"/>
          <w:shd w:val="clear" w:color="auto" w:fill="FFFFFF"/>
        </w:rPr>
        <w:t>, pp.115-129. DOI:</w:t>
      </w:r>
      <w:r w:rsidRPr="002F156E">
        <w:rPr>
          <w:rStyle w:val="apple-converted-space"/>
          <w:rFonts w:ascii="Arial" w:eastAsiaTheme="majorEastAsia" w:hAnsi="Arial" w:cs="Arial"/>
          <w:color w:val="000000"/>
          <w:spacing w:val="2"/>
          <w:shd w:val="clear" w:color="auto" w:fill="FFFFFF"/>
        </w:rPr>
        <w:t> </w:t>
      </w:r>
      <w:hyperlink r:id="rId22" w:history="1">
        <w:r w:rsidRPr="002F156E">
          <w:rPr>
            <w:rStyle w:val="Hyperlink"/>
            <w:rFonts w:ascii="Arial" w:eastAsiaTheme="majorEastAsia" w:hAnsi="Arial" w:cs="Arial"/>
            <w:color w:val="003896"/>
            <w:spacing w:val="2"/>
            <w:bdr w:val="none" w:sz="0" w:space="0" w:color="auto" w:frame="1"/>
            <w:shd w:val="clear" w:color="auto" w:fill="FFFFFF"/>
          </w:rPr>
          <w:t>10.24384/wm88-ke86</w:t>
        </w:r>
      </w:hyperlink>
    </w:p>
    <w:p w14:paraId="0114E3CF" w14:textId="77777777" w:rsidR="004774C9" w:rsidRPr="002F156E" w:rsidRDefault="004774C9" w:rsidP="00411D4E">
      <w:pPr>
        <w:spacing w:before="100" w:beforeAutospacing="1" w:after="100" w:afterAutospacing="1" w:line="360" w:lineRule="auto"/>
        <w:rPr>
          <w:rFonts w:ascii="Arial" w:hAnsi="Arial" w:cs="Arial"/>
          <w:i/>
          <w:iCs/>
        </w:rPr>
      </w:pPr>
      <w:r w:rsidRPr="002F156E">
        <w:rPr>
          <w:rFonts w:ascii="Arial" w:hAnsi="Arial" w:cs="Arial"/>
        </w:rPr>
        <w:t>Muller, M. and Vasekova, M. (2023) The Potential of Combining Existential Hermeneutic Phenomenology and Zen Practice: Using Western and Eastern Existential Insights to Interpret Managerial Lived Experience, </w:t>
      </w:r>
      <w:r w:rsidRPr="002F156E">
        <w:rPr>
          <w:rFonts w:ascii="Arial" w:hAnsi="Arial" w:cs="Arial"/>
          <w:i/>
          <w:iCs/>
        </w:rPr>
        <w:t xml:space="preserve">Humanistic Management Journal, </w:t>
      </w:r>
      <w:r w:rsidRPr="002F156E">
        <w:rPr>
          <w:rFonts w:ascii="Arial" w:hAnsi="Arial" w:cs="Arial"/>
        </w:rPr>
        <w:t>8(1), pp. 49-61. Doi: 10.1007/s41463-023-00143-x</w:t>
      </w:r>
    </w:p>
    <w:p w14:paraId="19742650"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lastRenderedPageBreak/>
        <w:t>Passmore, J. (ed.) (2015) </w:t>
      </w:r>
      <w:r w:rsidRPr="002F156E">
        <w:rPr>
          <w:rFonts w:ascii="Arial" w:hAnsi="Arial" w:cs="Arial"/>
          <w:i/>
          <w:iCs/>
        </w:rPr>
        <w:t>Excellence in coaching: the industry guide</w:t>
      </w:r>
      <w:r w:rsidRPr="002F156E">
        <w:rPr>
          <w:rFonts w:ascii="Arial" w:hAnsi="Arial" w:cs="Arial"/>
        </w:rPr>
        <w:t>. 3rd edn. Kogan Page.</w:t>
      </w:r>
    </w:p>
    <w:p w14:paraId="17EE81B0"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Prosci (2026) </w:t>
      </w:r>
      <w:r w:rsidRPr="002F156E">
        <w:rPr>
          <w:rFonts w:ascii="Arial" w:hAnsi="Arial" w:cs="Arial"/>
          <w:i/>
          <w:iCs/>
        </w:rPr>
        <w:t>Change management</w:t>
      </w:r>
      <w:r w:rsidRPr="002F156E">
        <w:rPr>
          <w:rFonts w:ascii="Arial" w:hAnsi="Arial" w:cs="Arial"/>
        </w:rPr>
        <w:t>. Available at: </w:t>
      </w:r>
      <w:hyperlink r:id="rId23" w:tgtFrame="_blank" w:history="1">
        <w:r w:rsidRPr="002F156E">
          <w:rPr>
            <w:rStyle w:val="Hyperlink"/>
            <w:rFonts w:ascii="Arial" w:hAnsi="Arial" w:cs="Arial"/>
          </w:rPr>
          <w:t>https://www.prosci.com/change-management</w:t>
        </w:r>
      </w:hyperlink>
      <w:r w:rsidRPr="002F156E">
        <w:rPr>
          <w:rFonts w:ascii="Arial" w:hAnsi="Arial" w:cs="Arial"/>
        </w:rPr>
        <w:t xml:space="preserve"> (Accessed: 10 May 2026).</w:t>
      </w:r>
    </w:p>
    <w:p w14:paraId="33F20BE0" w14:textId="77777777" w:rsidR="004774C9" w:rsidRPr="002F156E" w:rsidRDefault="004774C9" w:rsidP="00411D4E">
      <w:pPr>
        <w:spacing w:before="100" w:after="100" w:line="360" w:lineRule="auto"/>
        <w:rPr>
          <w:rFonts w:ascii="Arial" w:hAnsi="Arial" w:cs="Arial"/>
        </w:rPr>
      </w:pPr>
      <w:r w:rsidRPr="002F156E">
        <w:rPr>
          <w:rFonts w:ascii="Arial" w:hAnsi="Arial" w:cs="Arial"/>
        </w:rPr>
        <w:t>Rajasinghe, D. (2020) Interpretative phenomenological analysis (IPA) as a coaching research methodology, </w:t>
      </w:r>
      <w:r w:rsidRPr="002F156E">
        <w:rPr>
          <w:rFonts w:ascii="Arial" w:hAnsi="Arial" w:cs="Arial"/>
          <w:i/>
          <w:iCs/>
        </w:rPr>
        <w:t xml:space="preserve">Coaching An International Journal of Theory Research and Practice, </w:t>
      </w:r>
      <w:r w:rsidRPr="002F156E">
        <w:rPr>
          <w:rFonts w:ascii="Arial" w:hAnsi="Arial" w:cs="Arial"/>
        </w:rPr>
        <w:t>13(1), pp. 1-15. DOI:</w:t>
      </w:r>
      <w:hyperlink r:id="rId24" w:tgtFrame="_blank" w:history="1">
        <w:r w:rsidRPr="002F156E">
          <w:rPr>
            <w:rStyle w:val="Hyperlink"/>
            <w:rFonts w:ascii="Arial" w:hAnsi="Arial" w:cs="Arial"/>
          </w:rPr>
          <w:t>10.1080/17521882.2019.1694554</w:t>
        </w:r>
      </w:hyperlink>
    </w:p>
    <w:p w14:paraId="67BE64C8"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Rajasinghe, D., Garvey, B., Burt, S., </w:t>
      </w:r>
      <w:proofErr w:type="spellStart"/>
      <w:r w:rsidRPr="002F156E">
        <w:rPr>
          <w:rFonts w:ascii="Arial" w:hAnsi="Arial" w:cs="Arial"/>
        </w:rPr>
        <w:t>Barosa</w:t>
      </w:r>
      <w:proofErr w:type="spellEnd"/>
      <w:r w:rsidRPr="002F156E">
        <w:rPr>
          <w:rFonts w:ascii="Arial" w:hAnsi="Arial" w:cs="Arial"/>
        </w:rPr>
        <w:t xml:space="preserve">-Pereira, A., and Clutterbuck, D. (2024). Innovative interpretative phenomenological analysis (IPA) approach in a coaching research project: implications for future qualitative coaching research and beyond, </w:t>
      </w:r>
      <w:r w:rsidRPr="002F156E">
        <w:rPr>
          <w:rFonts w:ascii="Arial" w:hAnsi="Arial" w:cs="Arial"/>
          <w:i/>
          <w:iCs/>
        </w:rPr>
        <w:t>Coaching: An International Journal of Theory, Research and Practice</w:t>
      </w:r>
      <w:r w:rsidRPr="002F156E">
        <w:rPr>
          <w:rFonts w:ascii="Arial" w:hAnsi="Arial" w:cs="Arial"/>
        </w:rPr>
        <w:t>, 17(2), pp. 301-318. DOI: 10.1080/17521882.2024.2358771</w:t>
      </w:r>
    </w:p>
    <w:p w14:paraId="75D88FF2" w14:textId="2C6A0BC4"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Ross, L. E. (2017). An account from the inside: Examining the emotional impact of qualitative research through the lens of “insider” research, </w:t>
      </w:r>
      <w:r w:rsidRPr="002F156E">
        <w:rPr>
          <w:rFonts w:ascii="Arial" w:hAnsi="Arial" w:cs="Arial"/>
          <w:i/>
          <w:iCs/>
        </w:rPr>
        <w:t>Qualitative Psychology, 4</w:t>
      </w:r>
      <w:r w:rsidRPr="002F156E">
        <w:rPr>
          <w:rFonts w:ascii="Arial" w:hAnsi="Arial" w:cs="Arial"/>
        </w:rPr>
        <w:t xml:space="preserve">(3), 326–337. </w:t>
      </w:r>
      <w:hyperlink r:id="rId25" w:history="1">
        <w:r w:rsidRPr="002F156E">
          <w:rPr>
            <w:rStyle w:val="Hyperlink"/>
            <w:rFonts w:ascii="Arial" w:hAnsi="Arial" w:cs="Arial"/>
          </w:rPr>
          <w:t>https://doi.org/10.1037/qup0000064</w:t>
        </w:r>
      </w:hyperlink>
    </w:p>
    <w:p w14:paraId="1017200B" w14:textId="77777777" w:rsidR="004774C9" w:rsidRPr="002F156E" w:rsidRDefault="004774C9" w:rsidP="00411D4E">
      <w:pPr>
        <w:spacing w:before="100" w:beforeAutospacing="1" w:after="100" w:afterAutospacing="1" w:line="360" w:lineRule="auto"/>
        <w:rPr>
          <w:rFonts w:ascii="Arial" w:hAnsi="Arial" w:cs="Arial"/>
          <w:color w:val="000000"/>
        </w:rPr>
      </w:pPr>
      <w:r w:rsidRPr="002F156E">
        <w:rPr>
          <w:rFonts w:ascii="Arial" w:hAnsi="Arial" w:cs="Arial"/>
          <w:color w:val="000000"/>
        </w:rPr>
        <w:t>Sherlock-Storey, M. (2013). Brief coaching for resilience during organisational change - an exploratory study.</w:t>
      </w:r>
      <w:r w:rsidRPr="002F156E">
        <w:rPr>
          <w:rFonts w:ascii="Arial" w:hAnsi="Arial" w:cs="Arial"/>
          <w:i/>
          <w:iCs/>
          <w:color w:val="000000"/>
        </w:rPr>
        <w:t> The Coaching Psychologist, 9</w:t>
      </w:r>
      <w:r w:rsidRPr="002F156E">
        <w:rPr>
          <w:rFonts w:ascii="Arial" w:hAnsi="Arial" w:cs="Arial"/>
          <w:color w:val="000000"/>
        </w:rPr>
        <w:t xml:space="preserve">(1), 19–26. </w:t>
      </w:r>
      <w:hyperlink r:id="rId26" w:history="1">
        <w:r w:rsidRPr="002F156E">
          <w:rPr>
            <w:rStyle w:val="Hyperlink"/>
            <w:rFonts w:ascii="Arial" w:hAnsi="Arial" w:cs="Arial"/>
          </w:rPr>
          <w:t>https://research-ebsco-com.ezproxy.uwtsd.ac.uk/c/onvpsy/viewer/pdf/vc3xk3izzr?route=details</w:t>
        </w:r>
      </w:hyperlink>
      <w:r w:rsidRPr="002F156E">
        <w:rPr>
          <w:rFonts w:ascii="Arial" w:hAnsi="Arial" w:cs="Arial"/>
          <w:color w:val="000000"/>
        </w:rPr>
        <w:t xml:space="preserve"> </w:t>
      </w:r>
    </w:p>
    <w:p w14:paraId="6234F37A"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Skiffington, S. and Zeus, P. (2003) </w:t>
      </w:r>
      <w:r w:rsidRPr="002F156E">
        <w:rPr>
          <w:rFonts w:ascii="Arial" w:hAnsi="Arial" w:cs="Arial"/>
          <w:i/>
          <w:iCs/>
        </w:rPr>
        <w:t>Behavioural coaching: how to build sustainable personal and organizational strength</w:t>
      </w:r>
      <w:r w:rsidRPr="002F156E">
        <w:rPr>
          <w:rFonts w:ascii="Arial" w:hAnsi="Arial" w:cs="Arial"/>
        </w:rPr>
        <w:t>. McGraw-Hill.</w:t>
      </w:r>
    </w:p>
    <w:p w14:paraId="246D72FA" w14:textId="77777777" w:rsidR="004774C9" w:rsidRPr="002F156E" w:rsidRDefault="004774C9" w:rsidP="00411D4E">
      <w:pPr>
        <w:spacing w:before="100" w:beforeAutospacing="1" w:after="100" w:afterAutospacing="1" w:line="360" w:lineRule="auto"/>
        <w:rPr>
          <w:rFonts w:ascii="Arial" w:hAnsi="Arial" w:cs="Arial"/>
          <w:color w:val="333333"/>
          <w:shd w:val="clear" w:color="auto" w:fill="FFFFFF"/>
        </w:rPr>
      </w:pPr>
      <w:r w:rsidRPr="002F156E">
        <w:rPr>
          <w:rFonts w:ascii="Arial" w:hAnsi="Arial" w:cs="Arial"/>
          <w:color w:val="333333"/>
          <w:shd w:val="clear" w:color="auto" w:fill="FFFFFF"/>
        </w:rPr>
        <w:t>Smith, J.A., Flower, P. and Larkin, M. (2021)</w:t>
      </w:r>
      <w:r w:rsidRPr="002F156E">
        <w:rPr>
          <w:rStyle w:val="apple-converted-space"/>
          <w:rFonts w:ascii="Arial" w:hAnsi="Arial" w:cs="Arial"/>
          <w:color w:val="333333"/>
          <w:shd w:val="clear" w:color="auto" w:fill="FFFFFF"/>
        </w:rPr>
        <w:t> </w:t>
      </w:r>
      <w:r w:rsidRPr="002F156E">
        <w:rPr>
          <w:rFonts w:ascii="Arial" w:hAnsi="Arial" w:cs="Arial"/>
          <w:i/>
          <w:iCs/>
          <w:color w:val="333333"/>
        </w:rPr>
        <w:t>Interpretative Phenomenological Analysis: Theory, Method and Research</w:t>
      </w:r>
      <w:r w:rsidRPr="002F156E">
        <w:rPr>
          <w:rFonts w:ascii="Arial" w:hAnsi="Arial" w:cs="Arial"/>
          <w:color w:val="333333"/>
          <w:shd w:val="clear" w:color="auto" w:fill="FFFFFF"/>
        </w:rPr>
        <w:t>. 2</w:t>
      </w:r>
      <w:r w:rsidRPr="002F156E">
        <w:rPr>
          <w:rFonts w:ascii="Arial" w:hAnsi="Arial" w:cs="Arial"/>
          <w:color w:val="333333"/>
          <w:shd w:val="clear" w:color="auto" w:fill="FFFFFF"/>
          <w:vertAlign w:val="superscript"/>
        </w:rPr>
        <w:t>nd</w:t>
      </w:r>
      <w:r w:rsidRPr="002F156E">
        <w:rPr>
          <w:rFonts w:ascii="Arial" w:hAnsi="Arial" w:cs="Arial"/>
          <w:color w:val="333333"/>
          <w:shd w:val="clear" w:color="auto" w:fill="FFFFFF"/>
        </w:rPr>
        <w:t xml:space="preserve"> ed. Sage. </w:t>
      </w:r>
    </w:p>
    <w:p w14:paraId="15E0AAA1" w14:textId="77777777" w:rsidR="004774C9" w:rsidRPr="002F156E" w:rsidRDefault="004774C9" w:rsidP="00411D4E">
      <w:pPr>
        <w:spacing w:before="100" w:beforeAutospacing="1" w:after="100" w:afterAutospacing="1" w:line="360" w:lineRule="auto"/>
        <w:rPr>
          <w:rFonts w:ascii="Arial" w:hAnsi="Arial" w:cs="Arial"/>
        </w:rPr>
      </w:pPr>
      <w:r w:rsidRPr="002F156E">
        <w:rPr>
          <w:rFonts w:ascii="Arial" w:hAnsi="Arial" w:cs="Arial"/>
        </w:rPr>
        <w:t xml:space="preserve">Stober, D. R. (2008). Making it stick: Coaching as a tool for organizational change. </w:t>
      </w:r>
      <w:r w:rsidRPr="002F156E">
        <w:rPr>
          <w:rFonts w:ascii="Arial" w:hAnsi="Arial" w:cs="Arial"/>
          <w:i/>
          <w:iCs/>
        </w:rPr>
        <w:t>Coaching: An International Journal of Theory, Research and Practice</w:t>
      </w:r>
      <w:r w:rsidRPr="002F156E">
        <w:rPr>
          <w:rFonts w:ascii="Arial" w:hAnsi="Arial" w:cs="Arial"/>
        </w:rPr>
        <w:t xml:space="preserve">, </w:t>
      </w:r>
      <w:r w:rsidRPr="002F156E">
        <w:rPr>
          <w:rFonts w:ascii="Arial" w:hAnsi="Arial" w:cs="Arial"/>
          <w:i/>
          <w:iCs/>
        </w:rPr>
        <w:t>1</w:t>
      </w:r>
      <w:r w:rsidRPr="002F156E">
        <w:rPr>
          <w:rFonts w:ascii="Arial" w:hAnsi="Arial" w:cs="Arial"/>
        </w:rPr>
        <w:t xml:space="preserve">(1), 71–80. </w:t>
      </w:r>
      <w:hyperlink r:id="rId27" w:history="1">
        <w:r w:rsidRPr="002F156E">
          <w:rPr>
            <w:rStyle w:val="Hyperlink"/>
            <w:rFonts w:ascii="Arial" w:eastAsiaTheme="majorEastAsia" w:hAnsi="Arial" w:cs="Arial"/>
          </w:rPr>
          <w:t>https://doi.org/10.1080/17521880801905950</w:t>
        </w:r>
      </w:hyperlink>
      <w:r w:rsidRPr="002F156E">
        <w:rPr>
          <w:rFonts w:ascii="Arial" w:hAnsi="Arial" w:cs="Arial"/>
        </w:rPr>
        <w:t xml:space="preserve"> </w:t>
      </w:r>
    </w:p>
    <w:p w14:paraId="66FE92BD" w14:textId="77777777" w:rsidR="004774C9" w:rsidRPr="004774C9" w:rsidRDefault="004774C9" w:rsidP="00411D4E">
      <w:pPr>
        <w:spacing w:before="100" w:beforeAutospacing="1" w:after="100" w:afterAutospacing="1" w:line="360" w:lineRule="auto"/>
        <w:rPr>
          <w:rFonts w:ascii="Arial" w:hAnsi="Arial" w:cs="Arial"/>
        </w:rPr>
      </w:pPr>
      <w:r w:rsidRPr="002F156E">
        <w:rPr>
          <w:rFonts w:ascii="Arial" w:hAnsi="Arial" w:cs="Arial"/>
          <w:color w:val="000000"/>
        </w:rPr>
        <w:lastRenderedPageBreak/>
        <w:t>Thomas, H., &amp; Passmore, J. (2021). Coming together: A grounded theory study of the role of coaching in the mergers &amp; acquisitions process.</w:t>
      </w:r>
      <w:r w:rsidRPr="002F156E">
        <w:rPr>
          <w:rFonts w:ascii="Arial" w:hAnsi="Arial" w:cs="Arial"/>
          <w:i/>
          <w:iCs/>
          <w:color w:val="000000"/>
        </w:rPr>
        <w:t> International Coaching Psychology Review, 16</w:t>
      </w:r>
      <w:r w:rsidRPr="002F156E">
        <w:rPr>
          <w:rFonts w:ascii="Arial" w:hAnsi="Arial" w:cs="Arial"/>
          <w:color w:val="000000"/>
        </w:rPr>
        <w:t xml:space="preserve">(1), 54–66. </w:t>
      </w:r>
      <w:hyperlink r:id="rId28" w:history="1">
        <w:r w:rsidRPr="002F156E">
          <w:rPr>
            <w:rStyle w:val="Hyperlink"/>
            <w:rFonts w:ascii="Arial" w:eastAsiaTheme="majorEastAsia" w:hAnsi="Arial" w:cs="Arial"/>
          </w:rPr>
          <w:t>https://doi.org/10.53841/bpsicpr.2021.16.1.54</w:t>
        </w:r>
      </w:hyperlink>
      <w:r w:rsidRPr="004774C9">
        <w:rPr>
          <w:rFonts w:ascii="Arial" w:hAnsi="Arial" w:cs="Arial"/>
        </w:rPr>
        <w:t xml:space="preserve"> </w:t>
      </w:r>
    </w:p>
    <w:p w14:paraId="4F505BF6" w14:textId="77777777" w:rsidR="004774C9" w:rsidRPr="00D4309F" w:rsidRDefault="004774C9" w:rsidP="00411D4E">
      <w:pPr>
        <w:spacing w:before="100" w:beforeAutospacing="1" w:after="100" w:afterAutospacing="1" w:line="360" w:lineRule="auto"/>
        <w:rPr>
          <w:rFonts w:ascii="Arial" w:hAnsi="Arial" w:cs="Arial"/>
          <w:color w:val="000000"/>
        </w:rPr>
      </w:pPr>
    </w:p>
    <w:p w14:paraId="1DCBC838" w14:textId="77777777" w:rsidR="004774C9" w:rsidRPr="004774C9" w:rsidRDefault="004774C9" w:rsidP="004774C9"/>
    <w:sectPr w:rsidR="004774C9" w:rsidRPr="004774C9" w:rsidSect="008A512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7F0"/>
    <w:multiLevelType w:val="multilevel"/>
    <w:tmpl w:val="D77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E6ACB"/>
    <w:multiLevelType w:val="multilevel"/>
    <w:tmpl w:val="543C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56678"/>
    <w:multiLevelType w:val="hybridMultilevel"/>
    <w:tmpl w:val="89F27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03925"/>
    <w:multiLevelType w:val="multilevel"/>
    <w:tmpl w:val="11322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041E3"/>
    <w:multiLevelType w:val="hybridMultilevel"/>
    <w:tmpl w:val="2DDA884E"/>
    <w:lvl w:ilvl="0" w:tplc="17E61FD0">
      <w:start w:val="2"/>
      <w:numFmt w:val="decimal"/>
      <w:lvlText w:val="%1."/>
      <w:lvlJc w:val="left"/>
      <w:pPr>
        <w:ind w:left="43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45F65"/>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2318B"/>
    <w:multiLevelType w:val="multilevel"/>
    <w:tmpl w:val="C016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42E46"/>
    <w:multiLevelType w:val="multilevel"/>
    <w:tmpl w:val="CAB2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F3D21"/>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E0FD7"/>
    <w:multiLevelType w:val="hybridMultilevel"/>
    <w:tmpl w:val="D706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4C6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225DDB"/>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5B6B22"/>
    <w:multiLevelType w:val="multilevel"/>
    <w:tmpl w:val="87B806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F55DC2"/>
    <w:multiLevelType w:val="multilevel"/>
    <w:tmpl w:val="6E64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FE349F"/>
    <w:multiLevelType w:val="hybridMultilevel"/>
    <w:tmpl w:val="E2B2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614594"/>
    <w:multiLevelType w:val="hybridMultilevel"/>
    <w:tmpl w:val="B0C8622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6627B92"/>
    <w:multiLevelType w:val="multilevel"/>
    <w:tmpl w:val="D09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E729DF"/>
    <w:multiLevelType w:val="multilevel"/>
    <w:tmpl w:val="29F6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4521FD"/>
    <w:multiLevelType w:val="hybridMultilevel"/>
    <w:tmpl w:val="439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F591A"/>
    <w:multiLevelType w:val="multilevel"/>
    <w:tmpl w:val="1BE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8E6483"/>
    <w:multiLevelType w:val="multilevel"/>
    <w:tmpl w:val="6B3C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9C1FF3"/>
    <w:multiLevelType w:val="multilevel"/>
    <w:tmpl w:val="CE1A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1763A0"/>
    <w:multiLevelType w:val="multilevel"/>
    <w:tmpl w:val="9EF0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B141F3"/>
    <w:multiLevelType w:val="hybridMultilevel"/>
    <w:tmpl w:val="6F800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DB5F62"/>
    <w:multiLevelType w:val="hybridMultilevel"/>
    <w:tmpl w:val="CEA425BC"/>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4F054781"/>
    <w:multiLevelType w:val="hybridMultilevel"/>
    <w:tmpl w:val="CDAE3B30"/>
    <w:lvl w:ilvl="0" w:tplc="0C58EC7C">
      <w:start w:val="1"/>
      <w:numFmt w:val="decimal"/>
      <w:lvlText w:val="%1."/>
      <w:lvlJc w:val="left"/>
      <w:pPr>
        <w:ind w:left="720" w:hanging="360"/>
      </w:pPr>
    </w:lvl>
    <w:lvl w:ilvl="1" w:tplc="DBD4129E">
      <w:numFmt w:val="decimal"/>
      <w:lvlText w:val=""/>
      <w:lvlJc w:val="left"/>
    </w:lvl>
    <w:lvl w:ilvl="2" w:tplc="9BE061A2">
      <w:numFmt w:val="decimal"/>
      <w:lvlText w:val=""/>
      <w:lvlJc w:val="left"/>
    </w:lvl>
    <w:lvl w:ilvl="3" w:tplc="0012EF32">
      <w:numFmt w:val="decimal"/>
      <w:lvlText w:val=""/>
      <w:lvlJc w:val="left"/>
    </w:lvl>
    <w:lvl w:ilvl="4" w:tplc="199618EC">
      <w:numFmt w:val="decimal"/>
      <w:lvlText w:val=""/>
      <w:lvlJc w:val="left"/>
    </w:lvl>
    <w:lvl w:ilvl="5" w:tplc="7BD4E8CC">
      <w:numFmt w:val="decimal"/>
      <w:lvlText w:val=""/>
      <w:lvlJc w:val="left"/>
    </w:lvl>
    <w:lvl w:ilvl="6" w:tplc="996A1666">
      <w:numFmt w:val="decimal"/>
      <w:lvlText w:val=""/>
      <w:lvlJc w:val="left"/>
    </w:lvl>
    <w:lvl w:ilvl="7" w:tplc="9FC842FA">
      <w:numFmt w:val="decimal"/>
      <w:lvlText w:val=""/>
      <w:lvlJc w:val="left"/>
    </w:lvl>
    <w:lvl w:ilvl="8" w:tplc="E440172E">
      <w:numFmt w:val="decimal"/>
      <w:lvlText w:val=""/>
      <w:lvlJc w:val="left"/>
    </w:lvl>
  </w:abstractNum>
  <w:abstractNum w:abstractNumId="26" w15:restartNumberingAfterBreak="0">
    <w:nsid w:val="56390845"/>
    <w:multiLevelType w:val="multilevel"/>
    <w:tmpl w:val="D7CC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42747"/>
    <w:multiLevelType w:val="multilevel"/>
    <w:tmpl w:val="EDCC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006D18"/>
    <w:multiLevelType w:val="multilevel"/>
    <w:tmpl w:val="FA62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98425C"/>
    <w:multiLevelType w:val="multilevel"/>
    <w:tmpl w:val="1282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113361"/>
    <w:multiLevelType w:val="multilevel"/>
    <w:tmpl w:val="92541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2E57D8"/>
    <w:multiLevelType w:val="hybridMultilevel"/>
    <w:tmpl w:val="6D9445EE"/>
    <w:lvl w:ilvl="0" w:tplc="430EFE20">
      <w:start w:val="1"/>
      <w:numFmt w:val="bullet"/>
      <w:lvlText w:val="•"/>
      <w:lvlJc w:val="left"/>
      <w:pPr>
        <w:tabs>
          <w:tab w:val="num" w:pos="720"/>
        </w:tabs>
        <w:ind w:left="720" w:hanging="360"/>
      </w:pPr>
      <w:rPr>
        <w:rFonts w:ascii="Arial" w:hAnsi="Arial" w:hint="default"/>
      </w:rPr>
    </w:lvl>
    <w:lvl w:ilvl="1" w:tplc="D0142E42" w:tentative="1">
      <w:start w:val="1"/>
      <w:numFmt w:val="bullet"/>
      <w:lvlText w:val="•"/>
      <w:lvlJc w:val="left"/>
      <w:pPr>
        <w:tabs>
          <w:tab w:val="num" w:pos="1440"/>
        </w:tabs>
        <w:ind w:left="1440" w:hanging="360"/>
      </w:pPr>
      <w:rPr>
        <w:rFonts w:ascii="Arial" w:hAnsi="Arial" w:hint="default"/>
      </w:rPr>
    </w:lvl>
    <w:lvl w:ilvl="2" w:tplc="DFFA130A" w:tentative="1">
      <w:start w:val="1"/>
      <w:numFmt w:val="bullet"/>
      <w:lvlText w:val="•"/>
      <w:lvlJc w:val="left"/>
      <w:pPr>
        <w:tabs>
          <w:tab w:val="num" w:pos="2160"/>
        </w:tabs>
        <w:ind w:left="2160" w:hanging="360"/>
      </w:pPr>
      <w:rPr>
        <w:rFonts w:ascii="Arial" w:hAnsi="Arial" w:hint="default"/>
      </w:rPr>
    </w:lvl>
    <w:lvl w:ilvl="3" w:tplc="DE865E86" w:tentative="1">
      <w:start w:val="1"/>
      <w:numFmt w:val="bullet"/>
      <w:lvlText w:val="•"/>
      <w:lvlJc w:val="left"/>
      <w:pPr>
        <w:tabs>
          <w:tab w:val="num" w:pos="2880"/>
        </w:tabs>
        <w:ind w:left="2880" w:hanging="360"/>
      </w:pPr>
      <w:rPr>
        <w:rFonts w:ascii="Arial" w:hAnsi="Arial" w:hint="default"/>
      </w:rPr>
    </w:lvl>
    <w:lvl w:ilvl="4" w:tplc="C0609D62" w:tentative="1">
      <w:start w:val="1"/>
      <w:numFmt w:val="bullet"/>
      <w:lvlText w:val="•"/>
      <w:lvlJc w:val="left"/>
      <w:pPr>
        <w:tabs>
          <w:tab w:val="num" w:pos="3600"/>
        </w:tabs>
        <w:ind w:left="3600" w:hanging="360"/>
      </w:pPr>
      <w:rPr>
        <w:rFonts w:ascii="Arial" w:hAnsi="Arial" w:hint="default"/>
      </w:rPr>
    </w:lvl>
    <w:lvl w:ilvl="5" w:tplc="1F52DC24" w:tentative="1">
      <w:start w:val="1"/>
      <w:numFmt w:val="bullet"/>
      <w:lvlText w:val="•"/>
      <w:lvlJc w:val="left"/>
      <w:pPr>
        <w:tabs>
          <w:tab w:val="num" w:pos="4320"/>
        </w:tabs>
        <w:ind w:left="4320" w:hanging="360"/>
      </w:pPr>
      <w:rPr>
        <w:rFonts w:ascii="Arial" w:hAnsi="Arial" w:hint="default"/>
      </w:rPr>
    </w:lvl>
    <w:lvl w:ilvl="6" w:tplc="CE366E5E" w:tentative="1">
      <w:start w:val="1"/>
      <w:numFmt w:val="bullet"/>
      <w:lvlText w:val="•"/>
      <w:lvlJc w:val="left"/>
      <w:pPr>
        <w:tabs>
          <w:tab w:val="num" w:pos="5040"/>
        </w:tabs>
        <w:ind w:left="5040" w:hanging="360"/>
      </w:pPr>
      <w:rPr>
        <w:rFonts w:ascii="Arial" w:hAnsi="Arial" w:hint="default"/>
      </w:rPr>
    </w:lvl>
    <w:lvl w:ilvl="7" w:tplc="76C2507E" w:tentative="1">
      <w:start w:val="1"/>
      <w:numFmt w:val="bullet"/>
      <w:lvlText w:val="•"/>
      <w:lvlJc w:val="left"/>
      <w:pPr>
        <w:tabs>
          <w:tab w:val="num" w:pos="5760"/>
        </w:tabs>
        <w:ind w:left="5760" w:hanging="360"/>
      </w:pPr>
      <w:rPr>
        <w:rFonts w:ascii="Arial" w:hAnsi="Arial" w:hint="default"/>
      </w:rPr>
    </w:lvl>
    <w:lvl w:ilvl="8" w:tplc="6B6A3B0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38D6A9F"/>
    <w:multiLevelType w:val="multilevel"/>
    <w:tmpl w:val="312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B17828"/>
    <w:multiLevelType w:val="multilevel"/>
    <w:tmpl w:val="C1B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811D38"/>
    <w:multiLevelType w:val="multilevel"/>
    <w:tmpl w:val="6524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AC6DB6"/>
    <w:multiLevelType w:val="hybridMultilevel"/>
    <w:tmpl w:val="63CE4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E41B4E"/>
    <w:multiLevelType w:val="multilevel"/>
    <w:tmpl w:val="8D34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71223A"/>
    <w:multiLevelType w:val="multilevel"/>
    <w:tmpl w:val="86EA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8632E1"/>
    <w:multiLevelType w:val="multilevel"/>
    <w:tmpl w:val="62F0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154257"/>
    <w:multiLevelType w:val="hybridMultilevel"/>
    <w:tmpl w:val="BADE7EDE"/>
    <w:lvl w:ilvl="0" w:tplc="4086E2A0">
      <w:start w:val="1"/>
      <w:numFmt w:val="decimal"/>
      <w:lvlText w:val="%1."/>
      <w:lvlJc w:val="left"/>
      <w:pPr>
        <w:ind w:left="800" w:hanging="440"/>
      </w:pPr>
      <w:rPr>
        <w:rFonts w:eastAsia="Arial Narro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042D27"/>
    <w:multiLevelType w:val="hybridMultilevel"/>
    <w:tmpl w:val="C92C5786"/>
    <w:lvl w:ilvl="0" w:tplc="4086E2A0">
      <w:start w:val="1"/>
      <w:numFmt w:val="decimal"/>
      <w:lvlText w:val="%1."/>
      <w:lvlJc w:val="left"/>
      <w:pPr>
        <w:ind w:left="800" w:hanging="440"/>
      </w:pPr>
      <w:rPr>
        <w:rFonts w:eastAsia="Arial Narro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629798">
    <w:abstractNumId w:val="3"/>
  </w:num>
  <w:num w:numId="2" w16cid:durableId="1318220305">
    <w:abstractNumId w:val="17"/>
  </w:num>
  <w:num w:numId="3" w16cid:durableId="1745030658">
    <w:abstractNumId w:val="19"/>
  </w:num>
  <w:num w:numId="4" w16cid:durableId="1925258737">
    <w:abstractNumId w:val="15"/>
  </w:num>
  <w:num w:numId="5" w16cid:durableId="327638318">
    <w:abstractNumId w:val="8"/>
  </w:num>
  <w:num w:numId="6" w16cid:durableId="421998517">
    <w:abstractNumId w:val="33"/>
  </w:num>
  <w:num w:numId="7" w16cid:durableId="176651444">
    <w:abstractNumId w:val="36"/>
  </w:num>
  <w:num w:numId="8" w16cid:durableId="993987890">
    <w:abstractNumId w:val="27"/>
  </w:num>
  <w:num w:numId="9" w16cid:durableId="1951887635">
    <w:abstractNumId w:val="28"/>
  </w:num>
  <w:num w:numId="10" w16cid:durableId="195625706">
    <w:abstractNumId w:val="20"/>
  </w:num>
  <w:num w:numId="11" w16cid:durableId="92433959">
    <w:abstractNumId w:val="11"/>
  </w:num>
  <w:num w:numId="12" w16cid:durableId="1230656350">
    <w:abstractNumId w:val="5"/>
  </w:num>
  <w:num w:numId="13" w16cid:durableId="737633099">
    <w:abstractNumId w:val="4"/>
  </w:num>
  <w:num w:numId="14" w16cid:durableId="1724868845">
    <w:abstractNumId w:val="2"/>
  </w:num>
  <w:num w:numId="15" w16cid:durableId="1928953025">
    <w:abstractNumId w:val="18"/>
  </w:num>
  <w:num w:numId="16" w16cid:durableId="898789345">
    <w:abstractNumId w:val="16"/>
  </w:num>
  <w:num w:numId="17" w16cid:durableId="1717313765">
    <w:abstractNumId w:val="32"/>
  </w:num>
  <w:num w:numId="18" w16cid:durableId="1181510076">
    <w:abstractNumId w:val="10"/>
  </w:num>
  <w:num w:numId="19" w16cid:durableId="1361975472">
    <w:abstractNumId w:val="0"/>
  </w:num>
  <w:num w:numId="20" w16cid:durableId="1433937777">
    <w:abstractNumId w:val="6"/>
  </w:num>
  <w:num w:numId="21" w16cid:durableId="1535654432">
    <w:abstractNumId w:val="30"/>
  </w:num>
  <w:num w:numId="22" w16cid:durableId="176161536">
    <w:abstractNumId w:val="7"/>
  </w:num>
  <w:num w:numId="23" w16cid:durableId="1264190237">
    <w:abstractNumId w:val="13"/>
  </w:num>
  <w:num w:numId="24" w16cid:durableId="977564180">
    <w:abstractNumId w:val="14"/>
  </w:num>
  <w:num w:numId="25" w16cid:durableId="2097245557">
    <w:abstractNumId w:val="40"/>
  </w:num>
  <w:num w:numId="26" w16cid:durableId="1941790206">
    <w:abstractNumId w:val="9"/>
  </w:num>
  <w:num w:numId="27" w16cid:durableId="1601448840">
    <w:abstractNumId w:val="12"/>
  </w:num>
  <w:num w:numId="28" w16cid:durableId="1684896321">
    <w:abstractNumId w:val="21"/>
  </w:num>
  <w:num w:numId="29" w16cid:durableId="1285649164">
    <w:abstractNumId w:val="26"/>
  </w:num>
  <w:num w:numId="30" w16cid:durableId="1352537161">
    <w:abstractNumId w:val="29"/>
  </w:num>
  <w:num w:numId="31" w16cid:durableId="14307156">
    <w:abstractNumId w:val="1"/>
  </w:num>
  <w:num w:numId="32" w16cid:durableId="1415590016">
    <w:abstractNumId w:val="23"/>
  </w:num>
  <w:num w:numId="33" w16cid:durableId="1258714814">
    <w:abstractNumId w:val="39"/>
  </w:num>
  <w:num w:numId="34" w16cid:durableId="2096436721">
    <w:abstractNumId w:val="41"/>
  </w:num>
  <w:num w:numId="35" w16cid:durableId="801340440">
    <w:abstractNumId w:val="35"/>
  </w:num>
  <w:num w:numId="36" w16cid:durableId="680472571">
    <w:abstractNumId w:val="31"/>
  </w:num>
  <w:num w:numId="37" w16cid:durableId="759062749">
    <w:abstractNumId w:val="25"/>
    <w:lvlOverride w:ilvl="0">
      <w:startOverride w:val="1"/>
    </w:lvlOverride>
  </w:num>
  <w:num w:numId="38" w16cid:durableId="2045715510">
    <w:abstractNumId w:val="25"/>
  </w:num>
  <w:num w:numId="39" w16cid:durableId="171722632">
    <w:abstractNumId w:val="24"/>
  </w:num>
  <w:num w:numId="40" w16cid:durableId="1460299354">
    <w:abstractNumId w:val="38"/>
  </w:num>
  <w:num w:numId="41" w16cid:durableId="165363500">
    <w:abstractNumId w:val="34"/>
  </w:num>
  <w:num w:numId="42" w16cid:durableId="2081978989">
    <w:abstractNumId w:val="22"/>
  </w:num>
  <w:num w:numId="43" w16cid:durableId="1576738989">
    <w:abstractNumId w:val="3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BB891"/>
    <w:rsid w:val="0000023D"/>
    <w:rsid w:val="000007C3"/>
    <w:rsid w:val="00005606"/>
    <w:rsid w:val="000057E6"/>
    <w:rsid w:val="00006C30"/>
    <w:rsid w:val="000077A7"/>
    <w:rsid w:val="000104A3"/>
    <w:rsid w:val="00010C73"/>
    <w:rsid w:val="00012046"/>
    <w:rsid w:val="00022BD4"/>
    <w:rsid w:val="00023887"/>
    <w:rsid w:val="00023AC3"/>
    <w:rsid w:val="00024AE4"/>
    <w:rsid w:val="00027838"/>
    <w:rsid w:val="00027F7D"/>
    <w:rsid w:val="00030576"/>
    <w:rsid w:val="000370D6"/>
    <w:rsid w:val="00040CBF"/>
    <w:rsid w:val="0004115F"/>
    <w:rsid w:val="00042A6B"/>
    <w:rsid w:val="00043182"/>
    <w:rsid w:val="000437B2"/>
    <w:rsid w:val="000443A6"/>
    <w:rsid w:val="00044D3A"/>
    <w:rsid w:val="00047BEB"/>
    <w:rsid w:val="00051221"/>
    <w:rsid w:val="000520B5"/>
    <w:rsid w:val="000522F4"/>
    <w:rsid w:val="00055041"/>
    <w:rsid w:val="00055633"/>
    <w:rsid w:val="00056607"/>
    <w:rsid w:val="000568CE"/>
    <w:rsid w:val="00056BA4"/>
    <w:rsid w:val="00056E24"/>
    <w:rsid w:val="0005786D"/>
    <w:rsid w:val="00060415"/>
    <w:rsid w:val="00060730"/>
    <w:rsid w:val="00060942"/>
    <w:rsid w:val="00060D78"/>
    <w:rsid w:val="000612C0"/>
    <w:rsid w:val="0006198B"/>
    <w:rsid w:val="00061B4A"/>
    <w:rsid w:val="000628B6"/>
    <w:rsid w:val="00063F7D"/>
    <w:rsid w:val="00064FA7"/>
    <w:rsid w:val="000665C1"/>
    <w:rsid w:val="00066A3A"/>
    <w:rsid w:val="00067DF9"/>
    <w:rsid w:val="00067F2A"/>
    <w:rsid w:val="00070666"/>
    <w:rsid w:val="00071956"/>
    <w:rsid w:val="00073955"/>
    <w:rsid w:val="00073F5E"/>
    <w:rsid w:val="00076BD6"/>
    <w:rsid w:val="00082AF2"/>
    <w:rsid w:val="000845AC"/>
    <w:rsid w:val="00085F41"/>
    <w:rsid w:val="00086818"/>
    <w:rsid w:val="00086B4D"/>
    <w:rsid w:val="00086CB7"/>
    <w:rsid w:val="00086D3D"/>
    <w:rsid w:val="0008766A"/>
    <w:rsid w:val="00087807"/>
    <w:rsid w:val="00090ED0"/>
    <w:rsid w:val="000917FC"/>
    <w:rsid w:val="00091E5E"/>
    <w:rsid w:val="00092661"/>
    <w:rsid w:val="00094EB7"/>
    <w:rsid w:val="00096582"/>
    <w:rsid w:val="00097BFD"/>
    <w:rsid w:val="000A0367"/>
    <w:rsid w:val="000A350C"/>
    <w:rsid w:val="000B0A56"/>
    <w:rsid w:val="000B1D66"/>
    <w:rsid w:val="000B3CEA"/>
    <w:rsid w:val="000B4697"/>
    <w:rsid w:val="000B573F"/>
    <w:rsid w:val="000B59D0"/>
    <w:rsid w:val="000B5FE4"/>
    <w:rsid w:val="000B600E"/>
    <w:rsid w:val="000B6677"/>
    <w:rsid w:val="000B6CB7"/>
    <w:rsid w:val="000C2593"/>
    <w:rsid w:val="000C4539"/>
    <w:rsid w:val="000C4E0E"/>
    <w:rsid w:val="000C6AD6"/>
    <w:rsid w:val="000C6B7D"/>
    <w:rsid w:val="000C7347"/>
    <w:rsid w:val="000C7FEB"/>
    <w:rsid w:val="000D0806"/>
    <w:rsid w:val="000D1D01"/>
    <w:rsid w:val="000D45EA"/>
    <w:rsid w:val="000D652F"/>
    <w:rsid w:val="000D6C17"/>
    <w:rsid w:val="000E14C4"/>
    <w:rsid w:val="000E1770"/>
    <w:rsid w:val="000E5131"/>
    <w:rsid w:val="000E56CF"/>
    <w:rsid w:val="000F2F24"/>
    <w:rsid w:val="000F3DCF"/>
    <w:rsid w:val="001001A3"/>
    <w:rsid w:val="001009A2"/>
    <w:rsid w:val="00101151"/>
    <w:rsid w:val="00102FDC"/>
    <w:rsid w:val="001036BF"/>
    <w:rsid w:val="00103AA5"/>
    <w:rsid w:val="001067BC"/>
    <w:rsid w:val="0010681E"/>
    <w:rsid w:val="001077EB"/>
    <w:rsid w:val="001101C6"/>
    <w:rsid w:val="00110921"/>
    <w:rsid w:val="001125B7"/>
    <w:rsid w:val="001128B7"/>
    <w:rsid w:val="00112BEF"/>
    <w:rsid w:val="0011491E"/>
    <w:rsid w:val="00115CED"/>
    <w:rsid w:val="00116763"/>
    <w:rsid w:val="00117A64"/>
    <w:rsid w:val="001250E1"/>
    <w:rsid w:val="001254EE"/>
    <w:rsid w:val="001306BF"/>
    <w:rsid w:val="00131E67"/>
    <w:rsid w:val="0013254D"/>
    <w:rsid w:val="00134F23"/>
    <w:rsid w:val="0013513B"/>
    <w:rsid w:val="001371A4"/>
    <w:rsid w:val="00137628"/>
    <w:rsid w:val="00137C96"/>
    <w:rsid w:val="0014057C"/>
    <w:rsid w:val="00141465"/>
    <w:rsid w:val="001434FE"/>
    <w:rsid w:val="00143EC1"/>
    <w:rsid w:val="00144C0D"/>
    <w:rsid w:val="00151754"/>
    <w:rsid w:val="001521D4"/>
    <w:rsid w:val="00152600"/>
    <w:rsid w:val="00154166"/>
    <w:rsid w:val="00154569"/>
    <w:rsid w:val="0015719A"/>
    <w:rsid w:val="00157A98"/>
    <w:rsid w:val="00157F6D"/>
    <w:rsid w:val="00160B6F"/>
    <w:rsid w:val="00163A11"/>
    <w:rsid w:val="00164FD8"/>
    <w:rsid w:val="00165E2F"/>
    <w:rsid w:val="00166F6A"/>
    <w:rsid w:val="00172F90"/>
    <w:rsid w:val="001756FA"/>
    <w:rsid w:val="0017693B"/>
    <w:rsid w:val="00176C4F"/>
    <w:rsid w:val="00180742"/>
    <w:rsid w:val="00180911"/>
    <w:rsid w:val="001816D2"/>
    <w:rsid w:val="001818FB"/>
    <w:rsid w:val="00182132"/>
    <w:rsid w:val="0018248A"/>
    <w:rsid w:val="001826F3"/>
    <w:rsid w:val="00182A7D"/>
    <w:rsid w:val="001851E3"/>
    <w:rsid w:val="00187BC9"/>
    <w:rsid w:val="001902CD"/>
    <w:rsid w:val="0019120F"/>
    <w:rsid w:val="0019287B"/>
    <w:rsid w:val="00192C9B"/>
    <w:rsid w:val="001934EA"/>
    <w:rsid w:val="00193FDF"/>
    <w:rsid w:val="00195AC7"/>
    <w:rsid w:val="00195EFA"/>
    <w:rsid w:val="00197191"/>
    <w:rsid w:val="001A1622"/>
    <w:rsid w:val="001A7660"/>
    <w:rsid w:val="001B158C"/>
    <w:rsid w:val="001B160E"/>
    <w:rsid w:val="001B1764"/>
    <w:rsid w:val="001B1C4B"/>
    <w:rsid w:val="001B2D55"/>
    <w:rsid w:val="001B3538"/>
    <w:rsid w:val="001B3B61"/>
    <w:rsid w:val="001B608A"/>
    <w:rsid w:val="001B715F"/>
    <w:rsid w:val="001B797F"/>
    <w:rsid w:val="001C5368"/>
    <w:rsid w:val="001C5852"/>
    <w:rsid w:val="001C6E7B"/>
    <w:rsid w:val="001D365F"/>
    <w:rsid w:val="001D54F5"/>
    <w:rsid w:val="001D5943"/>
    <w:rsid w:val="001E07F0"/>
    <w:rsid w:val="001E1529"/>
    <w:rsid w:val="001E2C4F"/>
    <w:rsid w:val="001E2EAD"/>
    <w:rsid w:val="001E452D"/>
    <w:rsid w:val="001E5B20"/>
    <w:rsid w:val="001E690F"/>
    <w:rsid w:val="001F09BD"/>
    <w:rsid w:val="001F380C"/>
    <w:rsid w:val="001F6BED"/>
    <w:rsid w:val="001F7B44"/>
    <w:rsid w:val="001F7B59"/>
    <w:rsid w:val="002007F3"/>
    <w:rsid w:val="002012CD"/>
    <w:rsid w:val="002020C8"/>
    <w:rsid w:val="00202D46"/>
    <w:rsid w:val="00203919"/>
    <w:rsid w:val="00204B74"/>
    <w:rsid w:val="00204BFE"/>
    <w:rsid w:val="00204ED2"/>
    <w:rsid w:val="00205020"/>
    <w:rsid w:val="00210A9C"/>
    <w:rsid w:val="00211030"/>
    <w:rsid w:val="0021154D"/>
    <w:rsid w:val="0021297B"/>
    <w:rsid w:val="00213326"/>
    <w:rsid w:val="00213801"/>
    <w:rsid w:val="002138F8"/>
    <w:rsid w:val="00213DCB"/>
    <w:rsid w:val="00213F32"/>
    <w:rsid w:val="00216B9E"/>
    <w:rsid w:val="00217FB9"/>
    <w:rsid w:val="00222F29"/>
    <w:rsid w:val="00226587"/>
    <w:rsid w:val="0023022C"/>
    <w:rsid w:val="002302FE"/>
    <w:rsid w:val="002324A4"/>
    <w:rsid w:val="00235443"/>
    <w:rsid w:val="002403C2"/>
    <w:rsid w:val="00240F81"/>
    <w:rsid w:val="002417E6"/>
    <w:rsid w:val="00242699"/>
    <w:rsid w:val="00244E02"/>
    <w:rsid w:val="00245A3E"/>
    <w:rsid w:val="00251476"/>
    <w:rsid w:val="00252C7B"/>
    <w:rsid w:val="00252FD2"/>
    <w:rsid w:val="00253BDD"/>
    <w:rsid w:val="00254C31"/>
    <w:rsid w:val="00255A9B"/>
    <w:rsid w:val="00256590"/>
    <w:rsid w:val="00264099"/>
    <w:rsid w:val="00264B34"/>
    <w:rsid w:val="0026715C"/>
    <w:rsid w:val="00271431"/>
    <w:rsid w:val="002737A6"/>
    <w:rsid w:val="002741C3"/>
    <w:rsid w:val="00275978"/>
    <w:rsid w:val="00276EF6"/>
    <w:rsid w:val="00277069"/>
    <w:rsid w:val="00280347"/>
    <w:rsid w:val="00280C5E"/>
    <w:rsid w:val="00281141"/>
    <w:rsid w:val="00282A14"/>
    <w:rsid w:val="00283CB8"/>
    <w:rsid w:val="0028447D"/>
    <w:rsid w:val="00284B13"/>
    <w:rsid w:val="002906C5"/>
    <w:rsid w:val="002962B9"/>
    <w:rsid w:val="002973CC"/>
    <w:rsid w:val="002A317A"/>
    <w:rsid w:val="002A3852"/>
    <w:rsid w:val="002A38DD"/>
    <w:rsid w:val="002A75DD"/>
    <w:rsid w:val="002B0320"/>
    <w:rsid w:val="002B2767"/>
    <w:rsid w:val="002B2A51"/>
    <w:rsid w:val="002B41EE"/>
    <w:rsid w:val="002B4FFB"/>
    <w:rsid w:val="002B6439"/>
    <w:rsid w:val="002C2633"/>
    <w:rsid w:val="002C2B52"/>
    <w:rsid w:val="002C312A"/>
    <w:rsid w:val="002C38F2"/>
    <w:rsid w:val="002C5452"/>
    <w:rsid w:val="002C6680"/>
    <w:rsid w:val="002C6C17"/>
    <w:rsid w:val="002C7F61"/>
    <w:rsid w:val="002D2D57"/>
    <w:rsid w:val="002D3C46"/>
    <w:rsid w:val="002D5AB5"/>
    <w:rsid w:val="002D6ED4"/>
    <w:rsid w:val="002E1462"/>
    <w:rsid w:val="002E14A4"/>
    <w:rsid w:val="002E3144"/>
    <w:rsid w:val="002E53BF"/>
    <w:rsid w:val="002E6C10"/>
    <w:rsid w:val="002F0C06"/>
    <w:rsid w:val="002F104E"/>
    <w:rsid w:val="002F156E"/>
    <w:rsid w:val="002F32C5"/>
    <w:rsid w:val="002F5668"/>
    <w:rsid w:val="00300409"/>
    <w:rsid w:val="003016E1"/>
    <w:rsid w:val="00301983"/>
    <w:rsid w:val="00303A7E"/>
    <w:rsid w:val="00305CF0"/>
    <w:rsid w:val="00313927"/>
    <w:rsid w:val="003139E2"/>
    <w:rsid w:val="00314014"/>
    <w:rsid w:val="00316BC0"/>
    <w:rsid w:val="0031735E"/>
    <w:rsid w:val="00321F84"/>
    <w:rsid w:val="0032332B"/>
    <w:rsid w:val="003255B3"/>
    <w:rsid w:val="00326C19"/>
    <w:rsid w:val="003317F3"/>
    <w:rsid w:val="003331EF"/>
    <w:rsid w:val="003356F0"/>
    <w:rsid w:val="00335962"/>
    <w:rsid w:val="003361E9"/>
    <w:rsid w:val="00340494"/>
    <w:rsid w:val="0034082C"/>
    <w:rsid w:val="00343302"/>
    <w:rsid w:val="003439AE"/>
    <w:rsid w:val="00345362"/>
    <w:rsid w:val="003468A6"/>
    <w:rsid w:val="003468B2"/>
    <w:rsid w:val="003469B8"/>
    <w:rsid w:val="00351E1C"/>
    <w:rsid w:val="003539C4"/>
    <w:rsid w:val="00355C5B"/>
    <w:rsid w:val="00357C22"/>
    <w:rsid w:val="00361413"/>
    <w:rsid w:val="00361F1E"/>
    <w:rsid w:val="00364139"/>
    <w:rsid w:val="00364F72"/>
    <w:rsid w:val="00365635"/>
    <w:rsid w:val="00365863"/>
    <w:rsid w:val="00365E69"/>
    <w:rsid w:val="003665A5"/>
    <w:rsid w:val="00371672"/>
    <w:rsid w:val="00371C53"/>
    <w:rsid w:val="00371C74"/>
    <w:rsid w:val="00372B67"/>
    <w:rsid w:val="00373C3C"/>
    <w:rsid w:val="00375F80"/>
    <w:rsid w:val="00377315"/>
    <w:rsid w:val="00384C1D"/>
    <w:rsid w:val="00384D0F"/>
    <w:rsid w:val="00386A01"/>
    <w:rsid w:val="003876CE"/>
    <w:rsid w:val="003943F6"/>
    <w:rsid w:val="003A6BF3"/>
    <w:rsid w:val="003B438C"/>
    <w:rsid w:val="003B4DD7"/>
    <w:rsid w:val="003B554C"/>
    <w:rsid w:val="003B7737"/>
    <w:rsid w:val="003C015E"/>
    <w:rsid w:val="003C12A2"/>
    <w:rsid w:val="003C2146"/>
    <w:rsid w:val="003C2A87"/>
    <w:rsid w:val="003C3E26"/>
    <w:rsid w:val="003C40D2"/>
    <w:rsid w:val="003C69DF"/>
    <w:rsid w:val="003C79A6"/>
    <w:rsid w:val="003C7F2A"/>
    <w:rsid w:val="003D06CE"/>
    <w:rsid w:val="003D0AAC"/>
    <w:rsid w:val="003D16E2"/>
    <w:rsid w:val="003D5036"/>
    <w:rsid w:val="003D6BCA"/>
    <w:rsid w:val="003E063A"/>
    <w:rsid w:val="003E1C3B"/>
    <w:rsid w:val="003E1CE3"/>
    <w:rsid w:val="003E2A33"/>
    <w:rsid w:val="003E4528"/>
    <w:rsid w:val="003E4608"/>
    <w:rsid w:val="003E47BF"/>
    <w:rsid w:val="003E544C"/>
    <w:rsid w:val="003E68C4"/>
    <w:rsid w:val="003E7949"/>
    <w:rsid w:val="003F094A"/>
    <w:rsid w:val="003F3496"/>
    <w:rsid w:val="00400E06"/>
    <w:rsid w:val="00403557"/>
    <w:rsid w:val="004040F4"/>
    <w:rsid w:val="00411B8A"/>
    <w:rsid w:val="00414675"/>
    <w:rsid w:val="00416ED6"/>
    <w:rsid w:val="00417B2B"/>
    <w:rsid w:val="00417FE8"/>
    <w:rsid w:val="00421E52"/>
    <w:rsid w:val="004225DB"/>
    <w:rsid w:val="00422E23"/>
    <w:rsid w:val="004239FD"/>
    <w:rsid w:val="00425992"/>
    <w:rsid w:val="00426A00"/>
    <w:rsid w:val="00427150"/>
    <w:rsid w:val="004321F0"/>
    <w:rsid w:val="00435D3D"/>
    <w:rsid w:val="004406BE"/>
    <w:rsid w:val="00443A27"/>
    <w:rsid w:val="0044408A"/>
    <w:rsid w:val="004450C2"/>
    <w:rsid w:val="004459F2"/>
    <w:rsid w:val="004509E3"/>
    <w:rsid w:val="00453595"/>
    <w:rsid w:val="00454A54"/>
    <w:rsid w:val="0045742B"/>
    <w:rsid w:val="004613CE"/>
    <w:rsid w:val="00464717"/>
    <w:rsid w:val="00464B1F"/>
    <w:rsid w:val="004660CF"/>
    <w:rsid w:val="00466C95"/>
    <w:rsid w:val="004672F1"/>
    <w:rsid w:val="00467C28"/>
    <w:rsid w:val="00471FE1"/>
    <w:rsid w:val="00475025"/>
    <w:rsid w:val="00476BF4"/>
    <w:rsid w:val="004774C9"/>
    <w:rsid w:val="00480094"/>
    <w:rsid w:val="00480392"/>
    <w:rsid w:val="00480782"/>
    <w:rsid w:val="0048430A"/>
    <w:rsid w:val="00486960"/>
    <w:rsid w:val="00486A7E"/>
    <w:rsid w:val="00490E3B"/>
    <w:rsid w:val="00491075"/>
    <w:rsid w:val="00491220"/>
    <w:rsid w:val="004917D5"/>
    <w:rsid w:val="00491C41"/>
    <w:rsid w:val="00495421"/>
    <w:rsid w:val="00497344"/>
    <w:rsid w:val="00497BC9"/>
    <w:rsid w:val="004A1026"/>
    <w:rsid w:val="004A2800"/>
    <w:rsid w:val="004A666E"/>
    <w:rsid w:val="004B1611"/>
    <w:rsid w:val="004B5EE5"/>
    <w:rsid w:val="004B6EC6"/>
    <w:rsid w:val="004C08F7"/>
    <w:rsid w:val="004C1219"/>
    <w:rsid w:val="004C5897"/>
    <w:rsid w:val="004C750F"/>
    <w:rsid w:val="004C7542"/>
    <w:rsid w:val="004D1B1E"/>
    <w:rsid w:val="004D2A7E"/>
    <w:rsid w:val="004D3F2A"/>
    <w:rsid w:val="004D62F5"/>
    <w:rsid w:val="004D79B8"/>
    <w:rsid w:val="004E1D4F"/>
    <w:rsid w:val="004E1E88"/>
    <w:rsid w:val="004E4105"/>
    <w:rsid w:val="004E68B2"/>
    <w:rsid w:val="004E6911"/>
    <w:rsid w:val="004E7599"/>
    <w:rsid w:val="004E7FBB"/>
    <w:rsid w:val="004F0136"/>
    <w:rsid w:val="004F13FF"/>
    <w:rsid w:val="004F48C7"/>
    <w:rsid w:val="004F565C"/>
    <w:rsid w:val="004F5A3B"/>
    <w:rsid w:val="00500996"/>
    <w:rsid w:val="005011CD"/>
    <w:rsid w:val="00501359"/>
    <w:rsid w:val="00501FED"/>
    <w:rsid w:val="0050201E"/>
    <w:rsid w:val="0050252D"/>
    <w:rsid w:val="00502ECC"/>
    <w:rsid w:val="00503AB5"/>
    <w:rsid w:val="00503B51"/>
    <w:rsid w:val="00503BD3"/>
    <w:rsid w:val="00505311"/>
    <w:rsid w:val="0050583C"/>
    <w:rsid w:val="00506951"/>
    <w:rsid w:val="00507798"/>
    <w:rsid w:val="00512A57"/>
    <w:rsid w:val="005132FD"/>
    <w:rsid w:val="005159CB"/>
    <w:rsid w:val="00517744"/>
    <w:rsid w:val="00520B36"/>
    <w:rsid w:val="00521AD2"/>
    <w:rsid w:val="00527253"/>
    <w:rsid w:val="00527607"/>
    <w:rsid w:val="005305F1"/>
    <w:rsid w:val="005315A1"/>
    <w:rsid w:val="00534D1A"/>
    <w:rsid w:val="00535064"/>
    <w:rsid w:val="005352CE"/>
    <w:rsid w:val="005359D5"/>
    <w:rsid w:val="00540246"/>
    <w:rsid w:val="00541204"/>
    <w:rsid w:val="00544617"/>
    <w:rsid w:val="0054764E"/>
    <w:rsid w:val="00547A24"/>
    <w:rsid w:val="00552A5B"/>
    <w:rsid w:val="005535DC"/>
    <w:rsid w:val="0055586B"/>
    <w:rsid w:val="005574F7"/>
    <w:rsid w:val="00561B63"/>
    <w:rsid w:val="00565343"/>
    <w:rsid w:val="00565E49"/>
    <w:rsid w:val="005675C7"/>
    <w:rsid w:val="005707E1"/>
    <w:rsid w:val="00573BFD"/>
    <w:rsid w:val="00573EB5"/>
    <w:rsid w:val="005753F0"/>
    <w:rsid w:val="00581814"/>
    <w:rsid w:val="005822CA"/>
    <w:rsid w:val="00586E6B"/>
    <w:rsid w:val="00593235"/>
    <w:rsid w:val="0059360D"/>
    <w:rsid w:val="005941EF"/>
    <w:rsid w:val="00594450"/>
    <w:rsid w:val="005957F3"/>
    <w:rsid w:val="005A226F"/>
    <w:rsid w:val="005A2E00"/>
    <w:rsid w:val="005A3555"/>
    <w:rsid w:val="005A3B3D"/>
    <w:rsid w:val="005A6201"/>
    <w:rsid w:val="005B1501"/>
    <w:rsid w:val="005B38B6"/>
    <w:rsid w:val="005B3985"/>
    <w:rsid w:val="005B5445"/>
    <w:rsid w:val="005B5A8D"/>
    <w:rsid w:val="005C06B8"/>
    <w:rsid w:val="005C1A2F"/>
    <w:rsid w:val="005C1CAB"/>
    <w:rsid w:val="005C4C00"/>
    <w:rsid w:val="005C5E2E"/>
    <w:rsid w:val="005C692F"/>
    <w:rsid w:val="005D053B"/>
    <w:rsid w:val="005D4A31"/>
    <w:rsid w:val="005D546F"/>
    <w:rsid w:val="005D55C5"/>
    <w:rsid w:val="005D608A"/>
    <w:rsid w:val="005D721D"/>
    <w:rsid w:val="005E06DE"/>
    <w:rsid w:val="005E1302"/>
    <w:rsid w:val="005E2C59"/>
    <w:rsid w:val="005E5AA4"/>
    <w:rsid w:val="005F1C73"/>
    <w:rsid w:val="005F282B"/>
    <w:rsid w:val="005F2B11"/>
    <w:rsid w:val="005F2B15"/>
    <w:rsid w:val="005F31CE"/>
    <w:rsid w:val="005F3410"/>
    <w:rsid w:val="005F74A8"/>
    <w:rsid w:val="005F7AB8"/>
    <w:rsid w:val="0060477A"/>
    <w:rsid w:val="00605A6E"/>
    <w:rsid w:val="00605BBE"/>
    <w:rsid w:val="00606336"/>
    <w:rsid w:val="00607175"/>
    <w:rsid w:val="0060783E"/>
    <w:rsid w:val="00611850"/>
    <w:rsid w:val="00611966"/>
    <w:rsid w:val="0061279C"/>
    <w:rsid w:val="006129B4"/>
    <w:rsid w:val="00614F1C"/>
    <w:rsid w:val="006207EA"/>
    <w:rsid w:val="00623796"/>
    <w:rsid w:val="00625CA5"/>
    <w:rsid w:val="00625EBB"/>
    <w:rsid w:val="00627D2E"/>
    <w:rsid w:val="006311D0"/>
    <w:rsid w:val="0063257B"/>
    <w:rsid w:val="006340DF"/>
    <w:rsid w:val="00634B26"/>
    <w:rsid w:val="006371E8"/>
    <w:rsid w:val="006408E6"/>
    <w:rsid w:val="00645013"/>
    <w:rsid w:val="00646466"/>
    <w:rsid w:val="00647200"/>
    <w:rsid w:val="0065010E"/>
    <w:rsid w:val="00652B97"/>
    <w:rsid w:val="00652F0E"/>
    <w:rsid w:val="006548B9"/>
    <w:rsid w:val="00657AB3"/>
    <w:rsid w:val="00664546"/>
    <w:rsid w:val="0066573D"/>
    <w:rsid w:val="00666A37"/>
    <w:rsid w:val="00667E01"/>
    <w:rsid w:val="006730B9"/>
    <w:rsid w:val="006730FF"/>
    <w:rsid w:val="006733A8"/>
    <w:rsid w:val="00675476"/>
    <w:rsid w:val="00676E62"/>
    <w:rsid w:val="006774A7"/>
    <w:rsid w:val="00677873"/>
    <w:rsid w:val="006802DF"/>
    <w:rsid w:val="0068290B"/>
    <w:rsid w:val="00682E8E"/>
    <w:rsid w:val="00682F9D"/>
    <w:rsid w:val="00683BD4"/>
    <w:rsid w:val="00684CB7"/>
    <w:rsid w:val="00687AE0"/>
    <w:rsid w:val="00687CCB"/>
    <w:rsid w:val="00693730"/>
    <w:rsid w:val="00695D45"/>
    <w:rsid w:val="00697929"/>
    <w:rsid w:val="006A31E3"/>
    <w:rsid w:val="006A3F84"/>
    <w:rsid w:val="006A7BED"/>
    <w:rsid w:val="006B1C9C"/>
    <w:rsid w:val="006B3580"/>
    <w:rsid w:val="006B3EAD"/>
    <w:rsid w:val="006B462E"/>
    <w:rsid w:val="006B7C04"/>
    <w:rsid w:val="006C0B1D"/>
    <w:rsid w:val="006C1955"/>
    <w:rsid w:val="006C2202"/>
    <w:rsid w:val="006C4451"/>
    <w:rsid w:val="006C4F57"/>
    <w:rsid w:val="006C6FBA"/>
    <w:rsid w:val="006D19F4"/>
    <w:rsid w:val="006D2748"/>
    <w:rsid w:val="006D2940"/>
    <w:rsid w:val="006D42B2"/>
    <w:rsid w:val="006D6487"/>
    <w:rsid w:val="006D7EBA"/>
    <w:rsid w:val="006E046C"/>
    <w:rsid w:val="006E0970"/>
    <w:rsid w:val="006E0B63"/>
    <w:rsid w:val="006E4484"/>
    <w:rsid w:val="006E4D82"/>
    <w:rsid w:val="006E5E9C"/>
    <w:rsid w:val="006E7CA1"/>
    <w:rsid w:val="006E7E58"/>
    <w:rsid w:val="006F0375"/>
    <w:rsid w:val="006F06A9"/>
    <w:rsid w:val="006F1136"/>
    <w:rsid w:val="006F12AF"/>
    <w:rsid w:val="006F4BD1"/>
    <w:rsid w:val="006F4E28"/>
    <w:rsid w:val="006F5380"/>
    <w:rsid w:val="006F756C"/>
    <w:rsid w:val="007000D8"/>
    <w:rsid w:val="00700103"/>
    <w:rsid w:val="00700F9E"/>
    <w:rsid w:val="007022F4"/>
    <w:rsid w:val="00702489"/>
    <w:rsid w:val="00702917"/>
    <w:rsid w:val="00702AC0"/>
    <w:rsid w:val="0070372C"/>
    <w:rsid w:val="00706C1A"/>
    <w:rsid w:val="00713376"/>
    <w:rsid w:val="007134B4"/>
    <w:rsid w:val="00714D67"/>
    <w:rsid w:val="00716147"/>
    <w:rsid w:val="007171DE"/>
    <w:rsid w:val="00717B93"/>
    <w:rsid w:val="00720F43"/>
    <w:rsid w:val="00720FC0"/>
    <w:rsid w:val="007220FF"/>
    <w:rsid w:val="0072270D"/>
    <w:rsid w:val="00722D1D"/>
    <w:rsid w:val="00724D52"/>
    <w:rsid w:val="00726600"/>
    <w:rsid w:val="00727606"/>
    <w:rsid w:val="0073278D"/>
    <w:rsid w:val="00732FE5"/>
    <w:rsid w:val="007442D4"/>
    <w:rsid w:val="0074582E"/>
    <w:rsid w:val="00745E4B"/>
    <w:rsid w:val="00746005"/>
    <w:rsid w:val="007464F6"/>
    <w:rsid w:val="007468E5"/>
    <w:rsid w:val="00750564"/>
    <w:rsid w:val="00755220"/>
    <w:rsid w:val="00755451"/>
    <w:rsid w:val="00757C7A"/>
    <w:rsid w:val="007613D5"/>
    <w:rsid w:val="00762ABD"/>
    <w:rsid w:val="00762C06"/>
    <w:rsid w:val="00765D48"/>
    <w:rsid w:val="0076782D"/>
    <w:rsid w:val="00767992"/>
    <w:rsid w:val="00770E3A"/>
    <w:rsid w:val="0077218F"/>
    <w:rsid w:val="00773721"/>
    <w:rsid w:val="00775C0A"/>
    <w:rsid w:val="00781A93"/>
    <w:rsid w:val="007828D5"/>
    <w:rsid w:val="00783766"/>
    <w:rsid w:val="00785033"/>
    <w:rsid w:val="007906C2"/>
    <w:rsid w:val="0079085C"/>
    <w:rsid w:val="00790DD4"/>
    <w:rsid w:val="007911AA"/>
    <w:rsid w:val="0079293F"/>
    <w:rsid w:val="00792F1D"/>
    <w:rsid w:val="00794DBD"/>
    <w:rsid w:val="0079699E"/>
    <w:rsid w:val="00796AAE"/>
    <w:rsid w:val="007A1871"/>
    <w:rsid w:val="007A5AA2"/>
    <w:rsid w:val="007A7F09"/>
    <w:rsid w:val="007A7F8F"/>
    <w:rsid w:val="007B01BA"/>
    <w:rsid w:val="007B24E7"/>
    <w:rsid w:val="007B25DD"/>
    <w:rsid w:val="007B27AB"/>
    <w:rsid w:val="007B3E6F"/>
    <w:rsid w:val="007B71F5"/>
    <w:rsid w:val="007C0639"/>
    <w:rsid w:val="007C226B"/>
    <w:rsid w:val="007C2860"/>
    <w:rsid w:val="007C316A"/>
    <w:rsid w:val="007C4D74"/>
    <w:rsid w:val="007C53B2"/>
    <w:rsid w:val="007C53F7"/>
    <w:rsid w:val="007C5497"/>
    <w:rsid w:val="007D404E"/>
    <w:rsid w:val="007D4CFB"/>
    <w:rsid w:val="007D6FF0"/>
    <w:rsid w:val="007E2FEF"/>
    <w:rsid w:val="007E32E8"/>
    <w:rsid w:val="007E6B2B"/>
    <w:rsid w:val="007E7375"/>
    <w:rsid w:val="007F0ADF"/>
    <w:rsid w:val="007F11E4"/>
    <w:rsid w:val="007F1481"/>
    <w:rsid w:val="007F1C6F"/>
    <w:rsid w:val="007F2281"/>
    <w:rsid w:val="00800C66"/>
    <w:rsid w:val="00801BAD"/>
    <w:rsid w:val="008024CE"/>
    <w:rsid w:val="008028F9"/>
    <w:rsid w:val="00802907"/>
    <w:rsid w:val="0080312B"/>
    <w:rsid w:val="0080366E"/>
    <w:rsid w:val="00804791"/>
    <w:rsid w:val="00804979"/>
    <w:rsid w:val="008051A1"/>
    <w:rsid w:val="00811761"/>
    <w:rsid w:val="008122D0"/>
    <w:rsid w:val="008132E3"/>
    <w:rsid w:val="008133D3"/>
    <w:rsid w:val="00813F0F"/>
    <w:rsid w:val="00815A41"/>
    <w:rsid w:val="00815D97"/>
    <w:rsid w:val="00816418"/>
    <w:rsid w:val="00816527"/>
    <w:rsid w:val="00820004"/>
    <w:rsid w:val="0082119F"/>
    <w:rsid w:val="00822AF4"/>
    <w:rsid w:val="00823819"/>
    <w:rsid w:val="00824A0C"/>
    <w:rsid w:val="00826019"/>
    <w:rsid w:val="00826F43"/>
    <w:rsid w:val="0083087F"/>
    <w:rsid w:val="00830F12"/>
    <w:rsid w:val="008355B6"/>
    <w:rsid w:val="00835D90"/>
    <w:rsid w:val="00836F1B"/>
    <w:rsid w:val="00837128"/>
    <w:rsid w:val="00837B0B"/>
    <w:rsid w:val="00837ED0"/>
    <w:rsid w:val="00841245"/>
    <w:rsid w:val="008413AB"/>
    <w:rsid w:val="0084224D"/>
    <w:rsid w:val="00843DDC"/>
    <w:rsid w:val="008440BA"/>
    <w:rsid w:val="00844CE0"/>
    <w:rsid w:val="008451C1"/>
    <w:rsid w:val="00845C1B"/>
    <w:rsid w:val="008463EE"/>
    <w:rsid w:val="00846B49"/>
    <w:rsid w:val="008504CD"/>
    <w:rsid w:val="008529C4"/>
    <w:rsid w:val="00852BE7"/>
    <w:rsid w:val="00855543"/>
    <w:rsid w:val="00856A13"/>
    <w:rsid w:val="008624B6"/>
    <w:rsid w:val="00862802"/>
    <w:rsid w:val="00864A49"/>
    <w:rsid w:val="00864DF8"/>
    <w:rsid w:val="00865AD0"/>
    <w:rsid w:val="00865BCB"/>
    <w:rsid w:val="00865CE9"/>
    <w:rsid w:val="008703FD"/>
    <w:rsid w:val="0087414C"/>
    <w:rsid w:val="00874A43"/>
    <w:rsid w:val="00875867"/>
    <w:rsid w:val="00875AA4"/>
    <w:rsid w:val="008777C4"/>
    <w:rsid w:val="00877D67"/>
    <w:rsid w:val="008802A8"/>
    <w:rsid w:val="00881E35"/>
    <w:rsid w:val="00882397"/>
    <w:rsid w:val="00882CAD"/>
    <w:rsid w:val="00891DCA"/>
    <w:rsid w:val="00895FD5"/>
    <w:rsid w:val="0089604F"/>
    <w:rsid w:val="0089794C"/>
    <w:rsid w:val="008A174D"/>
    <w:rsid w:val="008A29DC"/>
    <w:rsid w:val="008A33EA"/>
    <w:rsid w:val="008A4371"/>
    <w:rsid w:val="008A5126"/>
    <w:rsid w:val="008A536D"/>
    <w:rsid w:val="008B31D0"/>
    <w:rsid w:val="008B3B50"/>
    <w:rsid w:val="008B4057"/>
    <w:rsid w:val="008B40BF"/>
    <w:rsid w:val="008B464D"/>
    <w:rsid w:val="008B4E6B"/>
    <w:rsid w:val="008B513D"/>
    <w:rsid w:val="008B6D40"/>
    <w:rsid w:val="008C322A"/>
    <w:rsid w:val="008C3EBF"/>
    <w:rsid w:val="008D0274"/>
    <w:rsid w:val="008D1D64"/>
    <w:rsid w:val="008D4FCA"/>
    <w:rsid w:val="008D5361"/>
    <w:rsid w:val="008E0F65"/>
    <w:rsid w:val="008E1109"/>
    <w:rsid w:val="008E18A6"/>
    <w:rsid w:val="008E1E2B"/>
    <w:rsid w:val="008E333A"/>
    <w:rsid w:val="008E5A81"/>
    <w:rsid w:val="008E75FA"/>
    <w:rsid w:val="008F14FC"/>
    <w:rsid w:val="008F3597"/>
    <w:rsid w:val="008F3B47"/>
    <w:rsid w:val="008F3BE0"/>
    <w:rsid w:val="008F405C"/>
    <w:rsid w:val="008F467F"/>
    <w:rsid w:val="008F674B"/>
    <w:rsid w:val="008F7A7D"/>
    <w:rsid w:val="009000BA"/>
    <w:rsid w:val="00901D7B"/>
    <w:rsid w:val="0090246B"/>
    <w:rsid w:val="00902C28"/>
    <w:rsid w:val="00903D12"/>
    <w:rsid w:val="00905399"/>
    <w:rsid w:val="00910C8C"/>
    <w:rsid w:val="00915E44"/>
    <w:rsid w:val="0092055A"/>
    <w:rsid w:val="00922427"/>
    <w:rsid w:val="009225FD"/>
    <w:rsid w:val="009228FB"/>
    <w:rsid w:val="0092352C"/>
    <w:rsid w:val="00925770"/>
    <w:rsid w:val="0092755B"/>
    <w:rsid w:val="00930148"/>
    <w:rsid w:val="009303F2"/>
    <w:rsid w:val="00931021"/>
    <w:rsid w:val="009328D9"/>
    <w:rsid w:val="00933A19"/>
    <w:rsid w:val="00936770"/>
    <w:rsid w:val="00936EC2"/>
    <w:rsid w:val="00936FE4"/>
    <w:rsid w:val="00942915"/>
    <w:rsid w:val="009436A3"/>
    <w:rsid w:val="0094426D"/>
    <w:rsid w:val="00944307"/>
    <w:rsid w:val="00945630"/>
    <w:rsid w:val="00951E85"/>
    <w:rsid w:val="00953AE7"/>
    <w:rsid w:val="009544EF"/>
    <w:rsid w:val="0095552E"/>
    <w:rsid w:val="00955B1D"/>
    <w:rsid w:val="009562D5"/>
    <w:rsid w:val="009563EB"/>
    <w:rsid w:val="00956407"/>
    <w:rsid w:val="00964375"/>
    <w:rsid w:val="00964DFF"/>
    <w:rsid w:val="00965217"/>
    <w:rsid w:val="009655C2"/>
    <w:rsid w:val="00965BBD"/>
    <w:rsid w:val="009663D1"/>
    <w:rsid w:val="00967753"/>
    <w:rsid w:val="009700D4"/>
    <w:rsid w:val="00974FC6"/>
    <w:rsid w:val="00976069"/>
    <w:rsid w:val="00980182"/>
    <w:rsid w:val="00980A73"/>
    <w:rsid w:val="009817B5"/>
    <w:rsid w:val="0098291A"/>
    <w:rsid w:val="00983620"/>
    <w:rsid w:val="00984BB8"/>
    <w:rsid w:val="00984C67"/>
    <w:rsid w:val="00986C12"/>
    <w:rsid w:val="009909A0"/>
    <w:rsid w:val="009918A7"/>
    <w:rsid w:val="00994F9F"/>
    <w:rsid w:val="00995468"/>
    <w:rsid w:val="009965E2"/>
    <w:rsid w:val="0099679C"/>
    <w:rsid w:val="00996D9E"/>
    <w:rsid w:val="009A2499"/>
    <w:rsid w:val="009A3449"/>
    <w:rsid w:val="009A3DEB"/>
    <w:rsid w:val="009A4A85"/>
    <w:rsid w:val="009A4E56"/>
    <w:rsid w:val="009A5D3D"/>
    <w:rsid w:val="009A64D9"/>
    <w:rsid w:val="009A7A8D"/>
    <w:rsid w:val="009B3024"/>
    <w:rsid w:val="009B30F9"/>
    <w:rsid w:val="009B4B8D"/>
    <w:rsid w:val="009B4FD9"/>
    <w:rsid w:val="009B6C94"/>
    <w:rsid w:val="009C15D4"/>
    <w:rsid w:val="009C1E70"/>
    <w:rsid w:val="009C271E"/>
    <w:rsid w:val="009C4E1A"/>
    <w:rsid w:val="009C5025"/>
    <w:rsid w:val="009C5714"/>
    <w:rsid w:val="009C61D7"/>
    <w:rsid w:val="009C768F"/>
    <w:rsid w:val="009D0513"/>
    <w:rsid w:val="009D0A36"/>
    <w:rsid w:val="009D20F2"/>
    <w:rsid w:val="009D2EF8"/>
    <w:rsid w:val="009D3074"/>
    <w:rsid w:val="009D4F72"/>
    <w:rsid w:val="009D78AA"/>
    <w:rsid w:val="009E141D"/>
    <w:rsid w:val="009E17CE"/>
    <w:rsid w:val="009E1F7B"/>
    <w:rsid w:val="009E3C49"/>
    <w:rsid w:val="009F0991"/>
    <w:rsid w:val="009F0AF1"/>
    <w:rsid w:val="009F1619"/>
    <w:rsid w:val="009F1805"/>
    <w:rsid w:val="009F715E"/>
    <w:rsid w:val="00A007A9"/>
    <w:rsid w:val="00A0259B"/>
    <w:rsid w:val="00A02FA4"/>
    <w:rsid w:val="00A0488E"/>
    <w:rsid w:val="00A06168"/>
    <w:rsid w:val="00A072D1"/>
    <w:rsid w:val="00A07650"/>
    <w:rsid w:val="00A07B1E"/>
    <w:rsid w:val="00A113EB"/>
    <w:rsid w:val="00A1431E"/>
    <w:rsid w:val="00A23F8C"/>
    <w:rsid w:val="00A27231"/>
    <w:rsid w:val="00A304B4"/>
    <w:rsid w:val="00A31DB4"/>
    <w:rsid w:val="00A32DC3"/>
    <w:rsid w:val="00A342DF"/>
    <w:rsid w:val="00A353D0"/>
    <w:rsid w:val="00A364F5"/>
    <w:rsid w:val="00A3765C"/>
    <w:rsid w:val="00A420DA"/>
    <w:rsid w:val="00A42CE4"/>
    <w:rsid w:val="00A43C7F"/>
    <w:rsid w:val="00A4614E"/>
    <w:rsid w:val="00A46C93"/>
    <w:rsid w:val="00A46EBB"/>
    <w:rsid w:val="00A50610"/>
    <w:rsid w:val="00A50923"/>
    <w:rsid w:val="00A54A47"/>
    <w:rsid w:val="00A56CEA"/>
    <w:rsid w:val="00A56D73"/>
    <w:rsid w:val="00A56E5A"/>
    <w:rsid w:val="00A610D3"/>
    <w:rsid w:val="00A614C8"/>
    <w:rsid w:val="00A659A6"/>
    <w:rsid w:val="00A663B7"/>
    <w:rsid w:val="00A70F22"/>
    <w:rsid w:val="00A71017"/>
    <w:rsid w:val="00A746F1"/>
    <w:rsid w:val="00A83E45"/>
    <w:rsid w:val="00A84A73"/>
    <w:rsid w:val="00A84ED3"/>
    <w:rsid w:val="00A85AC1"/>
    <w:rsid w:val="00A864A7"/>
    <w:rsid w:val="00A86921"/>
    <w:rsid w:val="00A872A1"/>
    <w:rsid w:val="00A902BB"/>
    <w:rsid w:val="00A90EC5"/>
    <w:rsid w:val="00A91E91"/>
    <w:rsid w:val="00A9304A"/>
    <w:rsid w:val="00A93256"/>
    <w:rsid w:val="00A9605F"/>
    <w:rsid w:val="00A966DE"/>
    <w:rsid w:val="00A97CAF"/>
    <w:rsid w:val="00AA14AA"/>
    <w:rsid w:val="00AA1FD5"/>
    <w:rsid w:val="00AB031A"/>
    <w:rsid w:val="00AB1089"/>
    <w:rsid w:val="00AB16B5"/>
    <w:rsid w:val="00AB226D"/>
    <w:rsid w:val="00AB44BC"/>
    <w:rsid w:val="00AB4BFC"/>
    <w:rsid w:val="00AB5F1B"/>
    <w:rsid w:val="00AC323D"/>
    <w:rsid w:val="00AC4BF9"/>
    <w:rsid w:val="00AC6F94"/>
    <w:rsid w:val="00AC77F6"/>
    <w:rsid w:val="00AD37A5"/>
    <w:rsid w:val="00AD410E"/>
    <w:rsid w:val="00AD5005"/>
    <w:rsid w:val="00AE28BF"/>
    <w:rsid w:val="00AE2F18"/>
    <w:rsid w:val="00AE37B1"/>
    <w:rsid w:val="00AE4B45"/>
    <w:rsid w:val="00AE6AE7"/>
    <w:rsid w:val="00AE7833"/>
    <w:rsid w:val="00AF136D"/>
    <w:rsid w:val="00AF182F"/>
    <w:rsid w:val="00AF20FC"/>
    <w:rsid w:val="00AF2828"/>
    <w:rsid w:val="00AF2F86"/>
    <w:rsid w:val="00AF5FC4"/>
    <w:rsid w:val="00AF6081"/>
    <w:rsid w:val="00AF7DBE"/>
    <w:rsid w:val="00B026C8"/>
    <w:rsid w:val="00B042E6"/>
    <w:rsid w:val="00B0442D"/>
    <w:rsid w:val="00B04965"/>
    <w:rsid w:val="00B05A20"/>
    <w:rsid w:val="00B06596"/>
    <w:rsid w:val="00B07363"/>
    <w:rsid w:val="00B0758E"/>
    <w:rsid w:val="00B07B8E"/>
    <w:rsid w:val="00B1272A"/>
    <w:rsid w:val="00B12DA0"/>
    <w:rsid w:val="00B143BD"/>
    <w:rsid w:val="00B2551C"/>
    <w:rsid w:val="00B25A83"/>
    <w:rsid w:val="00B26568"/>
    <w:rsid w:val="00B26FFC"/>
    <w:rsid w:val="00B3195C"/>
    <w:rsid w:val="00B32B98"/>
    <w:rsid w:val="00B343D4"/>
    <w:rsid w:val="00B35609"/>
    <w:rsid w:val="00B359AB"/>
    <w:rsid w:val="00B35AF4"/>
    <w:rsid w:val="00B35C53"/>
    <w:rsid w:val="00B42175"/>
    <w:rsid w:val="00B42935"/>
    <w:rsid w:val="00B42FA7"/>
    <w:rsid w:val="00B460D4"/>
    <w:rsid w:val="00B466DE"/>
    <w:rsid w:val="00B4679D"/>
    <w:rsid w:val="00B46991"/>
    <w:rsid w:val="00B46D86"/>
    <w:rsid w:val="00B50DA5"/>
    <w:rsid w:val="00B51323"/>
    <w:rsid w:val="00B52BDB"/>
    <w:rsid w:val="00B5388E"/>
    <w:rsid w:val="00B5562B"/>
    <w:rsid w:val="00B557E8"/>
    <w:rsid w:val="00B60ADB"/>
    <w:rsid w:val="00B620A4"/>
    <w:rsid w:val="00B6472B"/>
    <w:rsid w:val="00B712A8"/>
    <w:rsid w:val="00B72023"/>
    <w:rsid w:val="00B749A0"/>
    <w:rsid w:val="00B75D66"/>
    <w:rsid w:val="00B762D9"/>
    <w:rsid w:val="00B76AB1"/>
    <w:rsid w:val="00B8001C"/>
    <w:rsid w:val="00B8018A"/>
    <w:rsid w:val="00B80D91"/>
    <w:rsid w:val="00B828D9"/>
    <w:rsid w:val="00B849A4"/>
    <w:rsid w:val="00B84DFA"/>
    <w:rsid w:val="00B861D7"/>
    <w:rsid w:val="00B8654D"/>
    <w:rsid w:val="00B87A3A"/>
    <w:rsid w:val="00B905EA"/>
    <w:rsid w:val="00B91FFF"/>
    <w:rsid w:val="00B9213A"/>
    <w:rsid w:val="00B93174"/>
    <w:rsid w:val="00B944C0"/>
    <w:rsid w:val="00B970ED"/>
    <w:rsid w:val="00BA077E"/>
    <w:rsid w:val="00BA3CBC"/>
    <w:rsid w:val="00BA5788"/>
    <w:rsid w:val="00BA57D6"/>
    <w:rsid w:val="00BB06AD"/>
    <w:rsid w:val="00BB194E"/>
    <w:rsid w:val="00BB1B1F"/>
    <w:rsid w:val="00BB1FFC"/>
    <w:rsid w:val="00BB3ECF"/>
    <w:rsid w:val="00BB4EEA"/>
    <w:rsid w:val="00BB647F"/>
    <w:rsid w:val="00BB6953"/>
    <w:rsid w:val="00BB6B57"/>
    <w:rsid w:val="00BB6E65"/>
    <w:rsid w:val="00BC17FC"/>
    <w:rsid w:val="00BC1C05"/>
    <w:rsid w:val="00BC22CE"/>
    <w:rsid w:val="00BC4643"/>
    <w:rsid w:val="00BC48A2"/>
    <w:rsid w:val="00BC54B2"/>
    <w:rsid w:val="00BC7F11"/>
    <w:rsid w:val="00BD1607"/>
    <w:rsid w:val="00BD2CBD"/>
    <w:rsid w:val="00BD2F23"/>
    <w:rsid w:val="00BD4053"/>
    <w:rsid w:val="00BD44C0"/>
    <w:rsid w:val="00BE1056"/>
    <w:rsid w:val="00BE1615"/>
    <w:rsid w:val="00BE35FC"/>
    <w:rsid w:val="00BE3D2F"/>
    <w:rsid w:val="00BE57E7"/>
    <w:rsid w:val="00BE6CBE"/>
    <w:rsid w:val="00BF00C9"/>
    <w:rsid w:val="00BF074B"/>
    <w:rsid w:val="00BF1BBB"/>
    <w:rsid w:val="00BF2CD0"/>
    <w:rsid w:val="00BF302E"/>
    <w:rsid w:val="00BF4079"/>
    <w:rsid w:val="00BF4BFF"/>
    <w:rsid w:val="00BF7446"/>
    <w:rsid w:val="00BF7C26"/>
    <w:rsid w:val="00C00D10"/>
    <w:rsid w:val="00C01B70"/>
    <w:rsid w:val="00C02E26"/>
    <w:rsid w:val="00C0362E"/>
    <w:rsid w:val="00C046DF"/>
    <w:rsid w:val="00C04A82"/>
    <w:rsid w:val="00C06F86"/>
    <w:rsid w:val="00C0788F"/>
    <w:rsid w:val="00C1062E"/>
    <w:rsid w:val="00C124A0"/>
    <w:rsid w:val="00C1352E"/>
    <w:rsid w:val="00C135AF"/>
    <w:rsid w:val="00C1448F"/>
    <w:rsid w:val="00C14DDE"/>
    <w:rsid w:val="00C1759A"/>
    <w:rsid w:val="00C25204"/>
    <w:rsid w:val="00C26866"/>
    <w:rsid w:val="00C27736"/>
    <w:rsid w:val="00C30676"/>
    <w:rsid w:val="00C30B6F"/>
    <w:rsid w:val="00C334E7"/>
    <w:rsid w:val="00C34B55"/>
    <w:rsid w:val="00C36F00"/>
    <w:rsid w:val="00C374AA"/>
    <w:rsid w:val="00C405BE"/>
    <w:rsid w:val="00C40D5F"/>
    <w:rsid w:val="00C454BB"/>
    <w:rsid w:val="00C45AA4"/>
    <w:rsid w:val="00C46923"/>
    <w:rsid w:val="00C47DC1"/>
    <w:rsid w:val="00C52B21"/>
    <w:rsid w:val="00C52B9F"/>
    <w:rsid w:val="00C53BD8"/>
    <w:rsid w:val="00C549E3"/>
    <w:rsid w:val="00C5548F"/>
    <w:rsid w:val="00C6040F"/>
    <w:rsid w:val="00C608FC"/>
    <w:rsid w:val="00C61AC4"/>
    <w:rsid w:val="00C62C5C"/>
    <w:rsid w:val="00C63CE1"/>
    <w:rsid w:val="00C64318"/>
    <w:rsid w:val="00C646C3"/>
    <w:rsid w:val="00C64B20"/>
    <w:rsid w:val="00C65649"/>
    <w:rsid w:val="00C679AC"/>
    <w:rsid w:val="00C73AD9"/>
    <w:rsid w:val="00C74968"/>
    <w:rsid w:val="00C75092"/>
    <w:rsid w:val="00C7541F"/>
    <w:rsid w:val="00C77FDA"/>
    <w:rsid w:val="00C81B80"/>
    <w:rsid w:val="00C835DE"/>
    <w:rsid w:val="00C853F9"/>
    <w:rsid w:val="00C87196"/>
    <w:rsid w:val="00C90861"/>
    <w:rsid w:val="00C92E25"/>
    <w:rsid w:val="00C93296"/>
    <w:rsid w:val="00C940F2"/>
    <w:rsid w:val="00C95F96"/>
    <w:rsid w:val="00C97183"/>
    <w:rsid w:val="00C97CFC"/>
    <w:rsid w:val="00CA0926"/>
    <w:rsid w:val="00CA1886"/>
    <w:rsid w:val="00CA3247"/>
    <w:rsid w:val="00CA443D"/>
    <w:rsid w:val="00CA5425"/>
    <w:rsid w:val="00CA77EC"/>
    <w:rsid w:val="00CB0768"/>
    <w:rsid w:val="00CB122B"/>
    <w:rsid w:val="00CB1614"/>
    <w:rsid w:val="00CB27DF"/>
    <w:rsid w:val="00CB738E"/>
    <w:rsid w:val="00CC034A"/>
    <w:rsid w:val="00CC0EF7"/>
    <w:rsid w:val="00CC0FDE"/>
    <w:rsid w:val="00CC2812"/>
    <w:rsid w:val="00CD1AD6"/>
    <w:rsid w:val="00CD1F0D"/>
    <w:rsid w:val="00CD356C"/>
    <w:rsid w:val="00CD3A15"/>
    <w:rsid w:val="00CD576C"/>
    <w:rsid w:val="00CE3154"/>
    <w:rsid w:val="00CE344D"/>
    <w:rsid w:val="00CE3E94"/>
    <w:rsid w:val="00CE40DF"/>
    <w:rsid w:val="00CE60E2"/>
    <w:rsid w:val="00CE62E7"/>
    <w:rsid w:val="00CE6DD4"/>
    <w:rsid w:val="00CE7079"/>
    <w:rsid w:val="00CF399B"/>
    <w:rsid w:val="00CF4D8E"/>
    <w:rsid w:val="00CF5D6B"/>
    <w:rsid w:val="00CF5D86"/>
    <w:rsid w:val="00CF64E0"/>
    <w:rsid w:val="00CF6DCD"/>
    <w:rsid w:val="00D018C6"/>
    <w:rsid w:val="00D02176"/>
    <w:rsid w:val="00D037CB"/>
    <w:rsid w:val="00D0453D"/>
    <w:rsid w:val="00D05131"/>
    <w:rsid w:val="00D055C5"/>
    <w:rsid w:val="00D075A6"/>
    <w:rsid w:val="00D07B04"/>
    <w:rsid w:val="00D136A5"/>
    <w:rsid w:val="00D137A3"/>
    <w:rsid w:val="00D15A7D"/>
    <w:rsid w:val="00D16298"/>
    <w:rsid w:val="00D167DA"/>
    <w:rsid w:val="00D16A67"/>
    <w:rsid w:val="00D21C26"/>
    <w:rsid w:val="00D25F56"/>
    <w:rsid w:val="00D31FA3"/>
    <w:rsid w:val="00D321BF"/>
    <w:rsid w:val="00D325BB"/>
    <w:rsid w:val="00D33168"/>
    <w:rsid w:val="00D34208"/>
    <w:rsid w:val="00D4127D"/>
    <w:rsid w:val="00D41E31"/>
    <w:rsid w:val="00D43088"/>
    <w:rsid w:val="00D4309F"/>
    <w:rsid w:val="00D430D3"/>
    <w:rsid w:val="00D4324A"/>
    <w:rsid w:val="00D52AE3"/>
    <w:rsid w:val="00D52EDD"/>
    <w:rsid w:val="00D533BD"/>
    <w:rsid w:val="00D5377B"/>
    <w:rsid w:val="00D54AD9"/>
    <w:rsid w:val="00D54B5A"/>
    <w:rsid w:val="00D55D92"/>
    <w:rsid w:val="00D64307"/>
    <w:rsid w:val="00D64432"/>
    <w:rsid w:val="00D64848"/>
    <w:rsid w:val="00D658E1"/>
    <w:rsid w:val="00D6659A"/>
    <w:rsid w:val="00D70063"/>
    <w:rsid w:val="00D72830"/>
    <w:rsid w:val="00D72900"/>
    <w:rsid w:val="00D74826"/>
    <w:rsid w:val="00D76D3B"/>
    <w:rsid w:val="00D80CEC"/>
    <w:rsid w:val="00D86BC0"/>
    <w:rsid w:val="00D86E54"/>
    <w:rsid w:val="00D91779"/>
    <w:rsid w:val="00D91EB0"/>
    <w:rsid w:val="00D94DE2"/>
    <w:rsid w:val="00D96F8A"/>
    <w:rsid w:val="00DA1CB1"/>
    <w:rsid w:val="00DA30CE"/>
    <w:rsid w:val="00DA418D"/>
    <w:rsid w:val="00DB50C5"/>
    <w:rsid w:val="00DC1303"/>
    <w:rsid w:val="00DC2397"/>
    <w:rsid w:val="00DD1222"/>
    <w:rsid w:val="00DD3BB5"/>
    <w:rsid w:val="00DD4EB2"/>
    <w:rsid w:val="00DD53B3"/>
    <w:rsid w:val="00DD78E7"/>
    <w:rsid w:val="00DE3EF2"/>
    <w:rsid w:val="00DE47C5"/>
    <w:rsid w:val="00DE5760"/>
    <w:rsid w:val="00DE5F06"/>
    <w:rsid w:val="00DE68C0"/>
    <w:rsid w:val="00DF0746"/>
    <w:rsid w:val="00DF212F"/>
    <w:rsid w:val="00DF3D1D"/>
    <w:rsid w:val="00DF4A43"/>
    <w:rsid w:val="00DF6B4C"/>
    <w:rsid w:val="00DF7FEA"/>
    <w:rsid w:val="00E04515"/>
    <w:rsid w:val="00E051A1"/>
    <w:rsid w:val="00E05BEC"/>
    <w:rsid w:val="00E0699C"/>
    <w:rsid w:val="00E07676"/>
    <w:rsid w:val="00E07A48"/>
    <w:rsid w:val="00E12217"/>
    <w:rsid w:val="00E1388E"/>
    <w:rsid w:val="00E13A59"/>
    <w:rsid w:val="00E205EB"/>
    <w:rsid w:val="00E23B2F"/>
    <w:rsid w:val="00E24B31"/>
    <w:rsid w:val="00E252AB"/>
    <w:rsid w:val="00E25C74"/>
    <w:rsid w:val="00E26AD4"/>
    <w:rsid w:val="00E31D63"/>
    <w:rsid w:val="00E32C39"/>
    <w:rsid w:val="00E353F1"/>
    <w:rsid w:val="00E400D7"/>
    <w:rsid w:val="00E43891"/>
    <w:rsid w:val="00E46D74"/>
    <w:rsid w:val="00E473F6"/>
    <w:rsid w:val="00E5064F"/>
    <w:rsid w:val="00E506D0"/>
    <w:rsid w:val="00E513F0"/>
    <w:rsid w:val="00E52053"/>
    <w:rsid w:val="00E5209F"/>
    <w:rsid w:val="00E5231B"/>
    <w:rsid w:val="00E524C5"/>
    <w:rsid w:val="00E52B6C"/>
    <w:rsid w:val="00E530E6"/>
    <w:rsid w:val="00E546C3"/>
    <w:rsid w:val="00E5651C"/>
    <w:rsid w:val="00E565F4"/>
    <w:rsid w:val="00E56C4B"/>
    <w:rsid w:val="00E571D4"/>
    <w:rsid w:val="00E57702"/>
    <w:rsid w:val="00E616DA"/>
    <w:rsid w:val="00E61F0A"/>
    <w:rsid w:val="00E6207B"/>
    <w:rsid w:val="00E62082"/>
    <w:rsid w:val="00E63797"/>
    <w:rsid w:val="00E64F19"/>
    <w:rsid w:val="00E662BA"/>
    <w:rsid w:val="00E7389C"/>
    <w:rsid w:val="00E74C18"/>
    <w:rsid w:val="00E74D8A"/>
    <w:rsid w:val="00E74DF1"/>
    <w:rsid w:val="00E75CC2"/>
    <w:rsid w:val="00E76020"/>
    <w:rsid w:val="00E76F98"/>
    <w:rsid w:val="00E77030"/>
    <w:rsid w:val="00E8015F"/>
    <w:rsid w:val="00E85DD0"/>
    <w:rsid w:val="00E85EDB"/>
    <w:rsid w:val="00E87377"/>
    <w:rsid w:val="00E90F3B"/>
    <w:rsid w:val="00E96576"/>
    <w:rsid w:val="00E968B1"/>
    <w:rsid w:val="00E97334"/>
    <w:rsid w:val="00E9793F"/>
    <w:rsid w:val="00EA3790"/>
    <w:rsid w:val="00EA42E1"/>
    <w:rsid w:val="00EA5BEF"/>
    <w:rsid w:val="00EA6511"/>
    <w:rsid w:val="00EA6E56"/>
    <w:rsid w:val="00EA7A36"/>
    <w:rsid w:val="00EB06A5"/>
    <w:rsid w:val="00EB0DC9"/>
    <w:rsid w:val="00EB1431"/>
    <w:rsid w:val="00EB3F4D"/>
    <w:rsid w:val="00EB4151"/>
    <w:rsid w:val="00EB48C9"/>
    <w:rsid w:val="00EB4B88"/>
    <w:rsid w:val="00EB541A"/>
    <w:rsid w:val="00EB63F3"/>
    <w:rsid w:val="00EB6C0C"/>
    <w:rsid w:val="00EB7941"/>
    <w:rsid w:val="00EC10D9"/>
    <w:rsid w:val="00EC1102"/>
    <w:rsid w:val="00EC3D6F"/>
    <w:rsid w:val="00EC5457"/>
    <w:rsid w:val="00EC5C0D"/>
    <w:rsid w:val="00ED3D7E"/>
    <w:rsid w:val="00ED4796"/>
    <w:rsid w:val="00ED52E8"/>
    <w:rsid w:val="00EE05D1"/>
    <w:rsid w:val="00EE3C45"/>
    <w:rsid w:val="00EE5369"/>
    <w:rsid w:val="00EE5891"/>
    <w:rsid w:val="00EE614D"/>
    <w:rsid w:val="00EF0688"/>
    <w:rsid w:val="00EF44C9"/>
    <w:rsid w:val="00F01B4D"/>
    <w:rsid w:val="00F027F3"/>
    <w:rsid w:val="00F032A6"/>
    <w:rsid w:val="00F035A5"/>
    <w:rsid w:val="00F04F8D"/>
    <w:rsid w:val="00F11DA5"/>
    <w:rsid w:val="00F1298C"/>
    <w:rsid w:val="00F164CF"/>
    <w:rsid w:val="00F16DBA"/>
    <w:rsid w:val="00F16E32"/>
    <w:rsid w:val="00F17678"/>
    <w:rsid w:val="00F17A2C"/>
    <w:rsid w:val="00F21291"/>
    <w:rsid w:val="00F225E4"/>
    <w:rsid w:val="00F2324C"/>
    <w:rsid w:val="00F24420"/>
    <w:rsid w:val="00F24554"/>
    <w:rsid w:val="00F259CE"/>
    <w:rsid w:val="00F260D8"/>
    <w:rsid w:val="00F26B3D"/>
    <w:rsid w:val="00F27377"/>
    <w:rsid w:val="00F301CC"/>
    <w:rsid w:val="00F3085A"/>
    <w:rsid w:val="00F3432D"/>
    <w:rsid w:val="00F34A19"/>
    <w:rsid w:val="00F365EC"/>
    <w:rsid w:val="00F36681"/>
    <w:rsid w:val="00F36816"/>
    <w:rsid w:val="00F369ED"/>
    <w:rsid w:val="00F3764C"/>
    <w:rsid w:val="00F423D2"/>
    <w:rsid w:val="00F42FB0"/>
    <w:rsid w:val="00F447CD"/>
    <w:rsid w:val="00F44FC5"/>
    <w:rsid w:val="00F50490"/>
    <w:rsid w:val="00F51A3C"/>
    <w:rsid w:val="00F52205"/>
    <w:rsid w:val="00F52BD5"/>
    <w:rsid w:val="00F55602"/>
    <w:rsid w:val="00F55ABB"/>
    <w:rsid w:val="00F55FD7"/>
    <w:rsid w:val="00F56D08"/>
    <w:rsid w:val="00F56D97"/>
    <w:rsid w:val="00F576AB"/>
    <w:rsid w:val="00F57D62"/>
    <w:rsid w:val="00F62189"/>
    <w:rsid w:val="00F63FFF"/>
    <w:rsid w:val="00F64D00"/>
    <w:rsid w:val="00F64D02"/>
    <w:rsid w:val="00F65569"/>
    <w:rsid w:val="00F65D50"/>
    <w:rsid w:val="00F6645F"/>
    <w:rsid w:val="00F6720C"/>
    <w:rsid w:val="00F676D2"/>
    <w:rsid w:val="00F71317"/>
    <w:rsid w:val="00F74897"/>
    <w:rsid w:val="00F76FCD"/>
    <w:rsid w:val="00F80326"/>
    <w:rsid w:val="00F903C1"/>
    <w:rsid w:val="00F92E0B"/>
    <w:rsid w:val="00F94E41"/>
    <w:rsid w:val="00F95BD9"/>
    <w:rsid w:val="00F97B52"/>
    <w:rsid w:val="00FA09CC"/>
    <w:rsid w:val="00FA16AA"/>
    <w:rsid w:val="00FA3E2A"/>
    <w:rsid w:val="00FA47B6"/>
    <w:rsid w:val="00FA64A3"/>
    <w:rsid w:val="00FA7173"/>
    <w:rsid w:val="00FB2BFB"/>
    <w:rsid w:val="00FB407D"/>
    <w:rsid w:val="00FB4C7D"/>
    <w:rsid w:val="00FB4D6C"/>
    <w:rsid w:val="00FB4FE1"/>
    <w:rsid w:val="00FB53BE"/>
    <w:rsid w:val="00FB61FC"/>
    <w:rsid w:val="00FB67DD"/>
    <w:rsid w:val="00FB67FB"/>
    <w:rsid w:val="00FB6CC0"/>
    <w:rsid w:val="00FC0DC5"/>
    <w:rsid w:val="00FC2EB3"/>
    <w:rsid w:val="00FC350C"/>
    <w:rsid w:val="00FC5312"/>
    <w:rsid w:val="00FC575D"/>
    <w:rsid w:val="00FC6D90"/>
    <w:rsid w:val="00FD03CC"/>
    <w:rsid w:val="00FD40B9"/>
    <w:rsid w:val="00FD4324"/>
    <w:rsid w:val="00FD5364"/>
    <w:rsid w:val="00FD6722"/>
    <w:rsid w:val="00FD7465"/>
    <w:rsid w:val="00FE068D"/>
    <w:rsid w:val="00FE1089"/>
    <w:rsid w:val="00FE19E9"/>
    <w:rsid w:val="00FE1BF3"/>
    <w:rsid w:val="00FE22EE"/>
    <w:rsid w:val="00FE28AB"/>
    <w:rsid w:val="00FE3E0C"/>
    <w:rsid w:val="00FE46D5"/>
    <w:rsid w:val="00FE4936"/>
    <w:rsid w:val="00FE62B3"/>
    <w:rsid w:val="00FE6644"/>
    <w:rsid w:val="00FE683A"/>
    <w:rsid w:val="00FE76D8"/>
    <w:rsid w:val="00FE7A7C"/>
    <w:rsid w:val="00FF1995"/>
    <w:rsid w:val="00FF1CA6"/>
    <w:rsid w:val="00FF2557"/>
    <w:rsid w:val="00FF379E"/>
    <w:rsid w:val="00FF6C8E"/>
    <w:rsid w:val="284B802D"/>
    <w:rsid w:val="59DBB891"/>
    <w:rsid w:val="5AA2B34D"/>
    <w:rsid w:val="6AD0A75D"/>
    <w:rsid w:val="76C38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B891"/>
  <w15:chartTrackingRefBased/>
  <w15:docId w15:val="{062FD918-618C-4167-88CA-61C74F11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B74"/>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84B802D"/>
    <w:pPr>
      <w:ind w:left="720"/>
      <w:contextualSpacing/>
    </w:pPr>
  </w:style>
  <w:style w:type="character" w:styleId="Strong">
    <w:name w:val="Strong"/>
    <w:basedOn w:val="DefaultParagraphFont"/>
    <w:uiPriority w:val="22"/>
    <w:qFormat/>
    <w:rsid w:val="005F2B15"/>
    <w:rPr>
      <w:b/>
      <w:bCs/>
    </w:rPr>
  </w:style>
  <w:style w:type="paragraph" w:styleId="NormalWeb">
    <w:name w:val="Normal (Web)"/>
    <w:basedOn w:val="Normal"/>
    <w:uiPriority w:val="99"/>
    <w:unhideWhenUsed/>
    <w:rsid w:val="005F2B15"/>
    <w:pPr>
      <w:spacing w:before="100" w:beforeAutospacing="1" w:after="100" w:afterAutospacing="1"/>
    </w:pPr>
  </w:style>
  <w:style w:type="character" w:customStyle="1" w:styleId="apple-converted-space">
    <w:name w:val="apple-converted-space"/>
    <w:basedOn w:val="DefaultParagraphFont"/>
    <w:rsid w:val="005F2B15"/>
  </w:style>
  <w:style w:type="paragraph" w:styleId="NoSpacing">
    <w:name w:val="No Spacing"/>
    <w:link w:val="NoSpacingChar"/>
    <w:uiPriority w:val="1"/>
    <w:qFormat/>
    <w:rsid w:val="008A5126"/>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8A5126"/>
    <w:rPr>
      <w:sz w:val="22"/>
      <w:szCs w:val="22"/>
      <w:lang w:val="en-US" w:eastAsia="zh-CN"/>
    </w:rPr>
  </w:style>
  <w:style w:type="paragraph" w:styleId="TOCHeading">
    <w:name w:val="TOC Heading"/>
    <w:basedOn w:val="Heading1"/>
    <w:next w:val="Normal"/>
    <w:uiPriority w:val="39"/>
    <w:unhideWhenUsed/>
    <w:qFormat/>
    <w:rsid w:val="001934EA"/>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934EA"/>
    <w:pPr>
      <w:spacing w:before="120"/>
      <w:ind w:left="240"/>
    </w:pPr>
    <w:rPr>
      <w:b/>
      <w:bCs/>
      <w:sz w:val="22"/>
      <w:szCs w:val="22"/>
    </w:rPr>
  </w:style>
  <w:style w:type="paragraph" w:styleId="TOC3">
    <w:name w:val="toc 3"/>
    <w:basedOn w:val="Normal"/>
    <w:next w:val="Normal"/>
    <w:autoRedefine/>
    <w:uiPriority w:val="39"/>
    <w:unhideWhenUsed/>
    <w:rsid w:val="001934EA"/>
    <w:pPr>
      <w:ind w:left="480"/>
    </w:pPr>
    <w:rPr>
      <w:sz w:val="20"/>
      <w:szCs w:val="20"/>
    </w:rPr>
  </w:style>
  <w:style w:type="character" w:styleId="Hyperlink">
    <w:name w:val="Hyperlink"/>
    <w:basedOn w:val="DefaultParagraphFont"/>
    <w:uiPriority w:val="99"/>
    <w:unhideWhenUsed/>
    <w:rsid w:val="001934EA"/>
    <w:rPr>
      <w:color w:val="467886" w:themeColor="hyperlink"/>
      <w:u w:val="single"/>
    </w:rPr>
  </w:style>
  <w:style w:type="paragraph" w:styleId="TOC1">
    <w:name w:val="toc 1"/>
    <w:basedOn w:val="Normal"/>
    <w:next w:val="Normal"/>
    <w:autoRedefine/>
    <w:uiPriority w:val="39"/>
    <w:unhideWhenUsed/>
    <w:rsid w:val="0073278D"/>
    <w:pPr>
      <w:tabs>
        <w:tab w:val="left" w:pos="480"/>
        <w:tab w:val="right" w:leader="dot" w:pos="9016"/>
      </w:tabs>
      <w:spacing w:before="120" w:line="360" w:lineRule="auto"/>
    </w:pPr>
    <w:rPr>
      <w:b/>
      <w:bCs/>
      <w:i/>
      <w:iCs/>
    </w:rPr>
  </w:style>
  <w:style w:type="paragraph" w:styleId="TOC4">
    <w:name w:val="toc 4"/>
    <w:basedOn w:val="Normal"/>
    <w:next w:val="Normal"/>
    <w:autoRedefine/>
    <w:uiPriority w:val="39"/>
    <w:semiHidden/>
    <w:unhideWhenUsed/>
    <w:rsid w:val="001934EA"/>
    <w:pPr>
      <w:ind w:left="720"/>
    </w:pPr>
    <w:rPr>
      <w:sz w:val="20"/>
      <w:szCs w:val="20"/>
    </w:rPr>
  </w:style>
  <w:style w:type="paragraph" w:styleId="TOC5">
    <w:name w:val="toc 5"/>
    <w:basedOn w:val="Normal"/>
    <w:next w:val="Normal"/>
    <w:autoRedefine/>
    <w:uiPriority w:val="39"/>
    <w:semiHidden/>
    <w:unhideWhenUsed/>
    <w:rsid w:val="001934EA"/>
    <w:pPr>
      <w:ind w:left="960"/>
    </w:pPr>
    <w:rPr>
      <w:sz w:val="20"/>
      <w:szCs w:val="20"/>
    </w:rPr>
  </w:style>
  <w:style w:type="paragraph" w:styleId="TOC6">
    <w:name w:val="toc 6"/>
    <w:basedOn w:val="Normal"/>
    <w:next w:val="Normal"/>
    <w:autoRedefine/>
    <w:uiPriority w:val="39"/>
    <w:semiHidden/>
    <w:unhideWhenUsed/>
    <w:rsid w:val="001934EA"/>
    <w:pPr>
      <w:ind w:left="1200"/>
    </w:pPr>
    <w:rPr>
      <w:sz w:val="20"/>
      <w:szCs w:val="20"/>
    </w:rPr>
  </w:style>
  <w:style w:type="paragraph" w:styleId="TOC7">
    <w:name w:val="toc 7"/>
    <w:basedOn w:val="Normal"/>
    <w:next w:val="Normal"/>
    <w:autoRedefine/>
    <w:uiPriority w:val="39"/>
    <w:semiHidden/>
    <w:unhideWhenUsed/>
    <w:rsid w:val="001934EA"/>
    <w:pPr>
      <w:ind w:left="1440"/>
    </w:pPr>
    <w:rPr>
      <w:sz w:val="20"/>
      <w:szCs w:val="20"/>
    </w:rPr>
  </w:style>
  <w:style w:type="paragraph" w:styleId="TOC8">
    <w:name w:val="toc 8"/>
    <w:basedOn w:val="Normal"/>
    <w:next w:val="Normal"/>
    <w:autoRedefine/>
    <w:uiPriority w:val="39"/>
    <w:semiHidden/>
    <w:unhideWhenUsed/>
    <w:rsid w:val="001934EA"/>
    <w:pPr>
      <w:ind w:left="1680"/>
    </w:pPr>
    <w:rPr>
      <w:sz w:val="20"/>
      <w:szCs w:val="20"/>
    </w:rPr>
  </w:style>
  <w:style w:type="paragraph" w:styleId="TOC9">
    <w:name w:val="toc 9"/>
    <w:basedOn w:val="Normal"/>
    <w:next w:val="Normal"/>
    <w:autoRedefine/>
    <w:uiPriority w:val="39"/>
    <w:semiHidden/>
    <w:unhideWhenUsed/>
    <w:rsid w:val="001934EA"/>
    <w:pPr>
      <w:ind w:left="1920"/>
    </w:pPr>
    <w:rPr>
      <w:sz w:val="20"/>
      <w:szCs w:val="20"/>
    </w:rPr>
  </w:style>
  <w:style w:type="character" w:styleId="UnresolvedMention">
    <w:name w:val="Unresolved Mention"/>
    <w:basedOn w:val="DefaultParagraphFont"/>
    <w:uiPriority w:val="99"/>
    <w:semiHidden/>
    <w:unhideWhenUsed/>
    <w:rsid w:val="00B87A3A"/>
    <w:rPr>
      <w:color w:val="605E5C"/>
      <w:shd w:val="clear" w:color="auto" w:fill="E1DFDD"/>
    </w:rPr>
  </w:style>
  <w:style w:type="character" w:styleId="FollowedHyperlink">
    <w:name w:val="FollowedHyperlink"/>
    <w:basedOn w:val="DefaultParagraphFont"/>
    <w:uiPriority w:val="99"/>
    <w:semiHidden/>
    <w:unhideWhenUsed/>
    <w:rsid w:val="001434FE"/>
    <w:rPr>
      <w:color w:val="96607D" w:themeColor="followedHyperlink"/>
      <w:u w:val="single"/>
    </w:rPr>
  </w:style>
  <w:style w:type="paragraph" w:customStyle="1" w:styleId="my-0">
    <w:name w:val="my-0"/>
    <w:basedOn w:val="Normal"/>
    <w:rsid w:val="00611850"/>
    <w:pPr>
      <w:spacing w:before="100" w:beforeAutospacing="1" w:after="100" w:afterAutospacing="1"/>
    </w:pPr>
  </w:style>
  <w:style w:type="character" w:customStyle="1" w:styleId="whitespace-nowrap">
    <w:name w:val="whitespace-nowrap"/>
    <w:basedOn w:val="DefaultParagraphFont"/>
    <w:rsid w:val="00611850"/>
  </w:style>
  <w:style w:type="character" w:customStyle="1" w:styleId="relative">
    <w:name w:val="relative"/>
    <w:basedOn w:val="DefaultParagraphFont"/>
    <w:rsid w:val="00611850"/>
  </w:style>
  <w:style w:type="paragraph" w:customStyle="1" w:styleId="paragraph">
    <w:name w:val="paragraph"/>
    <w:basedOn w:val="Normal"/>
    <w:rsid w:val="00C046DF"/>
    <w:pPr>
      <w:spacing w:before="100" w:beforeAutospacing="1" w:after="100" w:afterAutospacing="1"/>
    </w:pPr>
  </w:style>
  <w:style w:type="character" w:customStyle="1" w:styleId="normaltextrun">
    <w:name w:val="normaltextrun"/>
    <w:basedOn w:val="DefaultParagraphFont"/>
    <w:rsid w:val="00C046DF"/>
  </w:style>
  <w:style w:type="character" w:customStyle="1" w:styleId="eop">
    <w:name w:val="eop"/>
    <w:basedOn w:val="DefaultParagraphFont"/>
    <w:rsid w:val="00C046DF"/>
  </w:style>
  <w:style w:type="character" w:styleId="Emphasis">
    <w:name w:val="Emphasis"/>
    <w:basedOn w:val="DefaultParagraphFont"/>
    <w:uiPriority w:val="20"/>
    <w:qFormat/>
    <w:rsid w:val="00204B74"/>
    <w:rPr>
      <w:i/>
      <w:iCs/>
    </w:rPr>
  </w:style>
  <w:style w:type="character" w:customStyle="1" w:styleId="authorsbylinemck-c-authors-bylineno-wrapz9zv">
    <w:name w:val="authorsbyline_mck-c-authors-byline__no-wrap__z_9zv"/>
    <w:basedOn w:val="DefaultParagraphFont"/>
    <w:rsid w:val="007B27AB"/>
  </w:style>
  <w:style w:type="character" w:customStyle="1" w:styleId="mdc-c-linklabelpfqtdbd16104">
    <w:name w:val="mdc-c-link__label___pfqtd_bd16104"/>
    <w:basedOn w:val="DefaultParagraphFont"/>
    <w:rsid w:val="007B27AB"/>
  </w:style>
  <w:style w:type="table" w:styleId="TableGrid">
    <w:name w:val="Table Grid"/>
    <w:basedOn w:val="TableNormal"/>
    <w:uiPriority w:val="39"/>
    <w:rsid w:val="003E7949"/>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l-author-delim">
    <w:name w:val="al-author-delim"/>
    <w:basedOn w:val="DefaultParagraphFont"/>
    <w:rsid w:val="00A85AC1"/>
  </w:style>
  <w:style w:type="paragraph" w:customStyle="1" w:styleId="font-claude-response-body">
    <w:name w:val="font-claude-response-body"/>
    <w:basedOn w:val="Normal"/>
    <w:rsid w:val="00D137A3"/>
    <w:pPr>
      <w:spacing w:before="100" w:beforeAutospacing="1" w:after="100" w:afterAutospacing="1"/>
    </w:pPr>
  </w:style>
  <w:style w:type="character" w:customStyle="1" w:styleId="inline-flex">
    <w:name w:val="inline-flex"/>
    <w:basedOn w:val="DefaultParagraphFont"/>
    <w:rsid w:val="00D137A3"/>
  </w:style>
  <w:style w:type="character" w:customStyle="1" w:styleId="text-nowrap">
    <w:name w:val="text-nowrap"/>
    <w:basedOn w:val="DefaultParagraphFont"/>
    <w:rsid w:val="00D137A3"/>
  </w:style>
  <w:style w:type="paragraph" w:customStyle="1" w:styleId="whitespace-normal">
    <w:name w:val="whitespace-normal"/>
    <w:basedOn w:val="Normal"/>
    <w:rsid w:val="00D137A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39362">
      <w:bodyDiv w:val="1"/>
      <w:marLeft w:val="0"/>
      <w:marRight w:val="0"/>
      <w:marTop w:val="0"/>
      <w:marBottom w:val="0"/>
      <w:divBdr>
        <w:top w:val="none" w:sz="0" w:space="0" w:color="auto"/>
        <w:left w:val="none" w:sz="0" w:space="0" w:color="auto"/>
        <w:bottom w:val="none" w:sz="0" w:space="0" w:color="auto"/>
        <w:right w:val="none" w:sz="0" w:space="0" w:color="auto"/>
      </w:divBdr>
    </w:div>
    <w:div w:id="111634810">
      <w:bodyDiv w:val="1"/>
      <w:marLeft w:val="0"/>
      <w:marRight w:val="0"/>
      <w:marTop w:val="0"/>
      <w:marBottom w:val="0"/>
      <w:divBdr>
        <w:top w:val="none" w:sz="0" w:space="0" w:color="auto"/>
        <w:left w:val="none" w:sz="0" w:space="0" w:color="auto"/>
        <w:bottom w:val="none" w:sz="0" w:space="0" w:color="auto"/>
        <w:right w:val="none" w:sz="0" w:space="0" w:color="auto"/>
      </w:divBdr>
    </w:div>
    <w:div w:id="675614186">
      <w:bodyDiv w:val="1"/>
      <w:marLeft w:val="0"/>
      <w:marRight w:val="0"/>
      <w:marTop w:val="0"/>
      <w:marBottom w:val="0"/>
      <w:divBdr>
        <w:top w:val="none" w:sz="0" w:space="0" w:color="auto"/>
        <w:left w:val="none" w:sz="0" w:space="0" w:color="auto"/>
        <w:bottom w:val="none" w:sz="0" w:space="0" w:color="auto"/>
        <w:right w:val="none" w:sz="0" w:space="0" w:color="auto"/>
      </w:divBdr>
    </w:div>
    <w:div w:id="921262668">
      <w:bodyDiv w:val="1"/>
      <w:marLeft w:val="0"/>
      <w:marRight w:val="0"/>
      <w:marTop w:val="0"/>
      <w:marBottom w:val="0"/>
      <w:divBdr>
        <w:top w:val="none" w:sz="0" w:space="0" w:color="auto"/>
        <w:left w:val="none" w:sz="0" w:space="0" w:color="auto"/>
        <w:bottom w:val="none" w:sz="0" w:space="0" w:color="auto"/>
        <w:right w:val="none" w:sz="0" w:space="0" w:color="auto"/>
      </w:divBdr>
    </w:div>
    <w:div w:id="1060636375">
      <w:bodyDiv w:val="1"/>
      <w:marLeft w:val="0"/>
      <w:marRight w:val="0"/>
      <w:marTop w:val="0"/>
      <w:marBottom w:val="0"/>
      <w:divBdr>
        <w:top w:val="none" w:sz="0" w:space="0" w:color="auto"/>
        <w:left w:val="none" w:sz="0" w:space="0" w:color="auto"/>
        <w:bottom w:val="none" w:sz="0" w:space="0" w:color="auto"/>
        <w:right w:val="none" w:sz="0" w:space="0" w:color="auto"/>
      </w:divBdr>
    </w:div>
    <w:div w:id="1258978009">
      <w:bodyDiv w:val="1"/>
      <w:marLeft w:val="0"/>
      <w:marRight w:val="0"/>
      <w:marTop w:val="0"/>
      <w:marBottom w:val="0"/>
      <w:divBdr>
        <w:top w:val="none" w:sz="0" w:space="0" w:color="auto"/>
        <w:left w:val="none" w:sz="0" w:space="0" w:color="auto"/>
        <w:bottom w:val="none" w:sz="0" w:space="0" w:color="auto"/>
        <w:right w:val="none" w:sz="0" w:space="0" w:color="auto"/>
      </w:divBdr>
    </w:div>
    <w:div w:id="1607808708">
      <w:bodyDiv w:val="1"/>
      <w:marLeft w:val="0"/>
      <w:marRight w:val="0"/>
      <w:marTop w:val="0"/>
      <w:marBottom w:val="0"/>
      <w:divBdr>
        <w:top w:val="none" w:sz="0" w:space="0" w:color="auto"/>
        <w:left w:val="none" w:sz="0" w:space="0" w:color="auto"/>
        <w:bottom w:val="none" w:sz="0" w:space="0" w:color="auto"/>
        <w:right w:val="none" w:sz="0" w:space="0" w:color="auto"/>
      </w:divBdr>
      <w:divsChild>
        <w:div w:id="1993944212">
          <w:marLeft w:val="0"/>
          <w:marRight w:val="0"/>
          <w:marTop w:val="0"/>
          <w:marBottom w:val="0"/>
          <w:divBdr>
            <w:top w:val="none" w:sz="0" w:space="0" w:color="auto"/>
            <w:left w:val="none" w:sz="0" w:space="0" w:color="auto"/>
            <w:bottom w:val="none" w:sz="0" w:space="0" w:color="auto"/>
            <w:right w:val="none" w:sz="0" w:space="0" w:color="auto"/>
          </w:divBdr>
          <w:divsChild>
            <w:div w:id="22226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8128">
      <w:bodyDiv w:val="1"/>
      <w:marLeft w:val="0"/>
      <w:marRight w:val="0"/>
      <w:marTop w:val="0"/>
      <w:marBottom w:val="0"/>
      <w:divBdr>
        <w:top w:val="none" w:sz="0" w:space="0" w:color="auto"/>
        <w:left w:val="none" w:sz="0" w:space="0" w:color="auto"/>
        <w:bottom w:val="none" w:sz="0" w:space="0" w:color="auto"/>
        <w:right w:val="none" w:sz="0" w:space="0" w:color="auto"/>
      </w:divBdr>
    </w:div>
    <w:div w:id="1865362795">
      <w:bodyDiv w:val="1"/>
      <w:marLeft w:val="0"/>
      <w:marRight w:val="0"/>
      <w:marTop w:val="0"/>
      <w:marBottom w:val="0"/>
      <w:divBdr>
        <w:top w:val="none" w:sz="0" w:space="0" w:color="auto"/>
        <w:left w:val="none" w:sz="0" w:space="0" w:color="auto"/>
        <w:bottom w:val="none" w:sz="0" w:space="0" w:color="auto"/>
        <w:right w:val="none" w:sz="0" w:space="0" w:color="auto"/>
      </w:divBdr>
    </w:div>
    <w:div w:id="1945527715">
      <w:bodyDiv w:val="1"/>
      <w:marLeft w:val="0"/>
      <w:marRight w:val="0"/>
      <w:marTop w:val="0"/>
      <w:marBottom w:val="0"/>
      <w:divBdr>
        <w:top w:val="none" w:sz="0" w:space="0" w:color="auto"/>
        <w:left w:val="none" w:sz="0" w:space="0" w:color="auto"/>
        <w:bottom w:val="none" w:sz="0" w:space="0" w:color="auto"/>
        <w:right w:val="none" w:sz="0" w:space="0" w:color="auto"/>
      </w:divBdr>
    </w:div>
    <w:div w:id="20295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mpglobal.org/page/the-acmp-icf-joint-task-force" TargetMode="External"/><Relationship Id="rId13" Type="http://schemas.openxmlformats.org/officeDocument/2006/relationships/hyperlink" Target="https://doi.org/10.1007/s10649-011-9309-2" TargetMode="External"/><Relationship Id="rId18" Type="http://schemas.openxmlformats.org/officeDocument/2006/relationships/hyperlink" Target="https://doi.org/10.1177/1059601104273067" TargetMode="External"/><Relationship Id="rId26" Type="http://schemas.openxmlformats.org/officeDocument/2006/relationships/hyperlink" Target="https://research-ebsco-com.ezproxy.uwtsd.ac.uk/c/onvpsy/viewer/pdf/vc3xk3izzr?route=details" TargetMode="External"/><Relationship Id="rId3" Type="http://schemas.openxmlformats.org/officeDocument/2006/relationships/styles" Target="styles.xml"/><Relationship Id="rId21" Type="http://schemas.openxmlformats.org/officeDocument/2006/relationships/hyperlink" Target="https://doi.org/10.24384/tt54-ca69" TargetMode="External"/><Relationship Id="rId7" Type="http://schemas.openxmlformats.org/officeDocument/2006/relationships/image" Target="media/image2.png"/><Relationship Id="rId12" Type="http://schemas.openxmlformats.org/officeDocument/2006/relationships/hyperlink" Target="https://doi.org/10.1108/JOCM-12-2019-0393" TargetMode="External"/><Relationship Id="rId17" Type="http://schemas.openxmlformats.org/officeDocument/2006/relationships/hyperlink" Target="https://doi.org/10.1371/journal.pone.0294953" TargetMode="External"/><Relationship Id="rId25" Type="http://schemas.openxmlformats.org/officeDocument/2006/relationships/hyperlink" Target="https://doi.org/10.1037/qup0000064" TargetMode="External"/><Relationship Id="rId2" Type="http://schemas.openxmlformats.org/officeDocument/2006/relationships/numbering" Target="numbering.xml"/><Relationship Id="rId16" Type="http://schemas.openxmlformats.org/officeDocument/2006/relationships/hyperlink" Target="https://doi.org/10.53841/bpsicpr.2020.15.1.37" TargetMode="External"/><Relationship Id="rId20" Type="http://schemas.openxmlformats.org/officeDocument/2006/relationships/hyperlink" Target="https://doi.org/10.1108/QROM-09-2020-202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esearch-ebsco-com.uwtsd.idm.oclc.org/linkprocessor/plink?id=ae02fcdc-4041-3b70-b732-1a25c8755280" TargetMode="External"/><Relationship Id="rId24" Type="http://schemas.openxmlformats.org/officeDocument/2006/relationships/hyperlink" Target="https://doi.org/10.1080/17521882.2019.1694554?urlappend=%3Futm_source%3Dresearchgate.net%26utm_medium%3Darticle" TargetMode="External"/><Relationship Id="rId5" Type="http://schemas.openxmlformats.org/officeDocument/2006/relationships/webSettings" Target="webSettings.xml"/><Relationship Id="rId15" Type="http://schemas.openxmlformats.org/officeDocument/2006/relationships/hyperlink" Target="https://doi.org/10.1080/14697017.2013.805159" TargetMode="External"/><Relationship Id="rId23" Type="http://schemas.openxmlformats.org/officeDocument/2006/relationships/hyperlink" Target="https://www.prosci.com/change-management" TargetMode="External"/><Relationship Id="rId28" Type="http://schemas.openxmlformats.org/officeDocument/2006/relationships/hyperlink" Target="https://doi.org/10.53841/bpsicpr.2021.16.1.54" TargetMode="External"/><Relationship Id="rId10" Type="http://schemas.openxmlformats.org/officeDocument/2006/relationships/hyperlink" Target="https://doi-org.uwtsd.idm.oclc.org/10.1080/17521882.2017.1407806" TargetMode="External"/><Relationship Id="rId19" Type="http://schemas.openxmlformats.org/officeDocument/2006/relationships/hyperlink" Target="https://coachingfederation.org/guide-to-experiencing-coaching-for-individuals/" TargetMode="External"/><Relationship Id="rId4" Type="http://schemas.openxmlformats.org/officeDocument/2006/relationships/settings" Target="settings.xml"/><Relationship Id="rId9" Type="http://schemas.openxmlformats.org/officeDocument/2006/relationships/hyperlink" Target="https://doi.org/10.1016/j.cedpsych.2025.102345" TargetMode="External"/><Relationship Id="rId14" Type="http://schemas.openxmlformats.org/officeDocument/2006/relationships/hyperlink" Target="https://doi.org/10.1016/j.earlhumdev.2019.03.012" TargetMode="External"/><Relationship Id="rId22" Type="http://schemas.openxmlformats.org/officeDocument/2006/relationships/hyperlink" Target="https://doi.org/10.24384/wm88-ke86" TargetMode="External"/><Relationship Id="rId27" Type="http://schemas.openxmlformats.org/officeDocument/2006/relationships/hyperlink" Target="https://doi.org/10.1080/1752188080190595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A324-C60A-0747-AD0F-6AFFE28B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20</Pages>
  <Words>5622</Words>
  <Characters>32050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Facilitating Transformation Through A Coaching Lens: The Lived Experience Of Coach-Trained Change Managers</vt:lpstr>
    </vt:vector>
  </TitlesOfParts>
  <Company/>
  <LinksUpToDate>false</LinksUpToDate>
  <CharactersWithSpaces>37597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Facilitating Transformation Through A Coaching Lens: The Lived Experience Of Coach-Trained Change Managers</dc:title>
  <dc:subject/>
  <dc:creator>Angela Kelly (2118111)</dc:creator>
  <cp:keywords/>
  <dc:description/>
  <cp:lastModifiedBy>Angela Kelly (2118111)</cp:lastModifiedBy>
  <cp:revision>23</cp:revision>
  <dcterms:created xsi:type="dcterms:W3CDTF">2026-04-19T11:36:00Z</dcterms:created>
  <dcterms:modified xsi:type="dcterms:W3CDTF">2026-05-18T09:51:00Z</dcterms:modified>
</cp:coreProperties>
</file>