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EEBF60" w14:textId="3C309659" w:rsidR="00EB1B56" w:rsidRDefault="00EB1B56" w:rsidP="00EB1B56">
      <w:pPr>
        <w:jc w:val="center"/>
      </w:pPr>
      <w:r>
        <w:t>Assignment 1: Discussion of a Cult/Sanctuary</w:t>
      </w:r>
    </w:p>
    <w:p w14:paraId="35C50C21" w14:textId="77777777" w:rsidR="00EB1B56" w:rsidRDefault="00EB1B56" w:rsidP="00EB1B56"/>
    <w:p w14:paraId="1D1BBE2C" w14:textId="77777777" w:rsidR="00DD6879" w:rsidRDefault="005F412F" w:rsidP="005F412F">
      <w:pPr>
        <w:jc w:val="center"/>
        <w:rPr>
          <w:sz w:val="32"/>
          <w:szCs w:val="32"/>
        </w:rPr>
      </w:pPr>
      <w:r w:rsidRPr="005F412F">
        <w:rPr>
          <w:sz w:val="32"/>
          <w:szCs w:val="32"/>
        </w:rPr>
        <w:t xml:space="preserve">The Gods Were Here First: </w:t>
      </w:r>
    </w:p>
    <w:p w14:paraId="79BAEEE8" w14:textId="494CA9D2" w:rsidR="00621068" w:rsidRDefault="005F412F" w:rsidP="005F412F">
      <w:pPr>
        <w:jc w:val="center"/>
      </w:pPr>
      <w:r w:rsidRPr="005F412F">
        <w:rPr>
          <w:sz w:val="32"/>
          <w:szCs w:val="32"/>
        </w:rPr>
        <w:t>Cult Topography and Sacred Space in the Athenian Erechtheion</w:t>
      </w:r>
      <w:r w:rsidR="00FD643B" w:rsidRPr="00FD643B">
        <w:rPr>
          <w:noProof/>
          <w14:ligatures w14:val="standardContextual"/>
        </w:rPr>
        <w:pict w14:anchorId="1C97854D">
          <v:rect id="_x0000_i1025" alt="" style="width:468pt;height:.05pt;mso-width-percent:0;mso-height-percent:0;mso-width-percent:0;mso-height-percent:0" o:hralign="center" o:hrstd="t" o:hr="t" fillcolor="#a0a0a0" stroked="f"/>
        </w:pict>
      </w:r>
    </w:p>
    <w:p w14:paraId="6DE899FD" w14:textId="77777777" w:rsidR="005F412F" w:rsidRDefault="005F412F" w:rsidP="000D3FD9">
      <w:pPr>
        <w:ind w:firstLine="360"/>
        <w:rPr>
          <w:color w:val="000000"/>
        </w:rPr>
      </w:pPr>
    </w:p>
    <w:p w14:paraId="1CE4A845" w14:textId="63C3E9AE" w:rsidR="00B5733F" w:rsidRPr="00621068" w:rsidRDefault="00B5733F" w:rsidP="00B36354">
      <w:pPr>
        <w:spacing w:line="360" w:lineRule="auto"/>
        <w:ind w:firstLine="360"/>
      </w:pPr>
      <w:r>
        <w:rPr>
          <w:color w:val="000000"/>
        </w:rPr>
        <w:t xml:space="preserve">When Athena and Poseidon competed for the patronage of Athens, the contest left </w:t>
      </w:r>
      <w:r w:rsidR="00621068">
        <w:rPr>
          <w:color w:val="000000"/>
        </w:rPr>
        <w:t xml:space="preserve">literal </w:t>
      </w:r>
      <w:r>
        <w:rPr>
          <w:color w:val="000000"/>
        </w:rPr>
        <w:t>marks. Poseidon struck his trident into the bedrock of the Acropolis and conjured a salt spring; Athena planted her spear in the same ground and raised an olive tree. Athena won, as she tended to. But the Athenians were left with a rather awkward inheritance: two gods with competing claims to the same sacred ground, a mythology that insisted both events had really happened, and a piece of rock that apparently still bore the evidence. You cannot simply pave over a divine trident mark. The solution, eventually, was the Erechtheion.</w:t>
      </w:r>
    </w:p>
    <w:p w14:paraId="0B181ACA" w14:textId="1D36557A" w:rsidR="00B5733F" w:rsidRDefault="00B5733F" w:rsidP="00B36354">
      <w:pPr>
        <w:pStyle w:val="font-claude-response-body"/>
        <w:spacing w:line="360" w:lineRule="auto"/>
        <w:ind w:firstLine="360"/>
        <w:rPr>
          <w:color w:val="000000"/>
        </w:rPr>
      </w:pPr>
      <w:r>
        <w:rPr>
          <w:color w:val="000000"/>
        </w:rPr>
        <w:t>Built on the northern edge of the Acropolis between approximately 421 and 406 BCE</w:t>
      </w:r>
      <w:r w:rsidR="00AB1638">
        <w:rPr>
          <w:rStyle w:val="FootnoteReference"/>
          <w:color w:val="000000"/>
        </w:rPr>
        <w:footnoteReference w:id="1"/>
      </w:r>
      <w:r>
        <w:rPr>
          <w:color w:val="000000"/>
        </w:rPr>
        <w:t xml:space="preserve">, the Erechtheion is one of the most architecturally peculiar buildings to survive from the ancient Greek world. Placed beside the </w:t>
      </w:r>
      <w:r w:rsidR="00621068">
        <w:rPr>
          <w:color w:val="000000"/>
        </w:rPr>
        <w:t>Parthenon, (</w:t>
      </w:r>
      <w:r>
        <w:rPr>
          <w:color w:val="000000"/>
        </w:rPr>
        <w:t xml:space="preserve">its gleaming, rigorously symmetrical </w:t>
      </w:r>
      <w:r w:rsidR="00621068">
        <w:rPr>
          <w:color w:val="000000"/>
        </w:rPr>
        <w:t>neighbor</w:t>
      </w:r>
      <w:r>
        <w:rPr>
          <w:color w:val="000000"/>
        </w:rPr>
        <w:t xml:space="preserve"> to the south</w:t>
      </w:r>
      <w:r w:rsidR="00621068">
        <w:rPr>
          <w:color w:val="000000"/>
        </w:rPr>
        <w:t>)</w:t>
      </w:r>
      <w:r>
        <w:rPr>
          <w:color w:val="000000"/>
        </w:rPr>
        <w:t xml:space="preserve"> it can look almost anarchic</w:t>
      </w:r>
      <w:r w:rsidR="00621068">
        <w:rPr>
          <w:color w:val="000000"/>
        </w:rPr>
        <w:t xml:space="preserve">. It’s </w:t>
      </w:r>
      <w:r>
        <w:rPr>
          <w:color w:val="000000"/>
        </w:rPr>
        <w:t>asymmetrical in plan, split across two levels, throwing out porches in multiple directions, and hosting a crowd of distinct cults within and around its walls.</w:t>
      </w:r>
      <w:r w:rsidR="00AB1638">
        <w:rPr>
          <w:rStyle w:val="FootnoteReference"/>
          <w:color w:val="000000"/>
        </w:rPr>
        <w:footnoteReference w:id="2"/>
      </w:r>
      <w:r>
        <w:rPr>
          <w:color w:val="000000"/>
        </w:rPr>
        <w:t xml:space="preserve"> For much of modern scholarship, this strangeness has been treated as a problem</w:t>
      </w:r>
      <w:r w:rsidR="005F412F">
        <w:rPr>
          <w:color w:val="000000"/>
        </w:rPr>
        <w:t xml:space="preserve"> and</w:t>
      </w:r>
      <w:r>
        <w:rPr>
          <w:color w:val="000000"/>
        </w:rPr>
        <w:t xml:space="preserve"> the building's irregularities explained as the result of compromise, interrupted construction, or the sheer difficulty of pleasing too many religious stakeholders at once.</w:t>
      </w:r>
    </w:p>
    <w:p w14:paraId="44C94DDC" w14:textId="17512AC3" w:rsidR="00AB1638" w:rsidRDefault="005F412F" w:rsidP="00B36354">
      <w:pPr>
        <w:pStyle w:val="font-claude-response-body"/>
        <w:spacing w:line="360" w:lineRule="auto"/>
        <w:ind w:firstLine="360"/>
        <w:rPr>
          <w:color w:val="000000"/>
        </w:rPr>
      </w:pPr>
      <w:r>
        <w:rPr>
          <w:color w:val="000000"/>
        </w:rPr>
        <w:t>Let’s take</w:t>
      </w:r>
      <w:r w:rsidR="00B5733F">
        <w:rPr>
          <w:color w:val="000000"/>
        </w:rPr>
        <w:t xml:space="preserve"> a different view</w:t>
      </w:r>
      <w:r>
        <w:rPr>
          <w:color w:val="000000"/>
        </w:rPr>
        <w:t>: t</w:t>
      </w:r>
      <w:r w:rsidR="00B5733F">
        <w:rPr>
          <w:color w:val="000000"/>
        </w:rPr>
        <w:t xml:space="preserve">he </w:t>
      </w:r>
      <w:r w:rsidR="000D3FD9">
        <w:rPr>
          <w:color w:val="000000"/>
        </w:rPr>
        <w:t>Erechtheion</w:t>
      </w:r>
      <w:r w:rsidR="00B5733F">
        <w:rPr>
          <w:color w:val="000000"/>
        </w:rPr>
        <w:t xml:space="preserve"> </w:t>
      </w:r>
      <w:r w:rsidR="000D3FD9">
        <w:rPr>
          <w:color w:val="000000"/>
        </w:rPr>
        <w:t xml:space="preserve">and its </w:t>
      </w:r>
      <w:r w:rsidR="00B5733F">
        <w:rPr>
          <w:color w:val="000000"/>
        </w:rPr>
        <w:t>peculiarities are not incidental</w:t>
      </w:r>
      <w:r>
        <w:rPr>
          <w:color w:val="000000"/>
        </w:rPr>
        <w:t xml:space="preserve"> but instead</w:t>
      </w:r>
      <w:r w:rsidR="00B5733F">
        <w:rPr>
          <w:color w:val="000000"/>
        </w:rPr>
        <w:t xml:space="preserve"> </w:t>
      </w:r>
      <w:r w:rsidR="006A36CD">
        <w:rPr>
          <w:color w:val="000000"/>
        </w:rPr>
        <w:t>deliberate</w:t>
      </w:r>
      <w:r w:rsidR="00B5733F">
        <w:rPr>
          <w:color w:val="000000"/>
        </w:rPr>
        <w:t>. The building's form is a direct response to the sacred topography of the northern Acropolis, shaped around a landscape already dense with religious obligation</w:t>
      </w:r>
      <w:r w:rsidR="006A36CD">
        <w:rPr>
          <w:color w:val="000000"/>
        </w:rPr>
        <w:t xml:space="preserve">. There are </w:t>
      </w:r>
      <w:r w:rsidR="00B5733F">
        <w:rPr>
          <w:color w:val="000000"/>
        </w:rPr>
        <w:t xml:space="preserve">fixed cult spots, mythological boundary markers, and the physical traces of divine activity that no Athenian architect could simply redesign away. </w:t>
      </w:r>
      <w:r>
        <w:rPr>
          <w:color w:val="000000"/>
        </w:rPr>
        <w:t>T</w:t>
      </w:r>
      <w:r w:rsidR="00B5733F">
        <w:rPr>
          <w:color w:val="000000"/>
        </w:rPr>
        <w:t xml:space="preserve">he Erechtheion is best understood not as an architectural compromise but as an extraordinarily sophisticated act of spatial and religious </w:t>
      </w:r>
      <w:r w:rsidR="00B5733F">
        <w:rPr>
          <w:color w:val="000000"/>
        </w:rPr>
        <w:lastRenderedPageBreak/>
        <w:t>negotiation</w:t>
      </w:r>
      <w:r w:rsidR="006A36CD">
        <w:rPr>
          <w:color w:val="000000"/>
        </w:rPr>
        <w:t>. This is a space</w:t>
      </w:r>
      <w:r w:rsidR="00B5733F">
        <w:rPr>
          <w:color w:val="000000"/>
        </w:rPr>
        <w:t xml:space="preserve"> whose every irregularity tells us something about how the Athenians understood the ground beneath their feet.</w:t>
      </w:r>
      <w:r w:rsidRPr="005F412F">
        <w:rPr>
          <w:noProof/>
        </w:rPr>
        <w:t xml:space="preserve"> </w:t>
      </w:r>
    </w:p>
    <w:p w14:paraId="5CDA689D" w14:textId="2A3C64D3" w:rsidR="00B5733F" w:rsidRDefault="00B5733F" w:rsidP="00B36354">
      <w:pPr>
        <w:pStyle w:val="font-claude-response-body"/>
        <w:spacing w:line="360" w:lineRule="auto"/>
        <w:ind w:firstLine="360"/>
        <w:rPr>
          <w:color w:val="000000"/>
        </w:rPr>
      </w:pPr>
      <w:r>
        <w:rPr>
          <w:color w:val="000000"/>
        </w:rPr>
        <w:t>To understand why the Erechtheion looks the way it does, it helps to know what came before it. The northern slope of the Acropolis was not empty ground waiting to be developed. Prior to the Persian sack of 480</w:t>
      </w:r>
      <w:r w:rsidR="006A36CD">
        <w:rPr>
          <w:color w:val="000000"/>
        </w:rPr>
        <w:t>/79</w:t>
      </w:r>
      <w:r>
        <w:rPr>
          <w:color w:val="000000"/>
        </w:rPr>
        <w:t xml:space="preserve"> BCE, the site had been occupied by </w:t>
      </w:r>
      <w:r w:rsidR="006A36CD">
        <w:rPr>
          <w:color w:val="000000"/>
        </w:rPr>
        <w:t>an older temple dedicated to Athena</w:t>
      </w:r>
      <w:r w:rsidR="005F412F">
        <w:rPr>
          <w:color w:val="000000"/>
        </w:rPr>
        <w:t>.</w:t>
      </w:r>
      <w:r w:rsidR="00AB1638">
        <w:rPr>
          <w:rStyle w:val="FootnoteReference"/>
          <w:color w:val="000000"/>
        </w:rPr>
        <w:footnoteReference w:id="3"/>
      </w:r>
      <w:r w:rsidR="00AB1638">
        <w:rPr>
          <w:rStyle w:val="FootnoteReference"/>
          <w:color w:val="000000"/>
        </w:rPr>
        <w:footnoteReference w:id="4"/>
      </w:r>
      <w:r w:rsidR="005F412F">
        <w:rPr>
          <w:color w:val="000000"/>
        </w:rPr>
        <w:t xml:space="preserve"> This was</w:t>
      </w:r>
      <w:r>
        <w:rPr>
          <w:color w:val="000000"/>
        </w:rPr>
        <w:t xml:space="preserve"> a sixth-century structure that served as the primary home of the ancient olive-wood cult image of Athena Polias,</w:t>
      </w:r>
      <w:r w:rsidR="00AB1638">
        <w:rPr>
          <w:rStyle w:val="FootnoteReference"/>
          <w:color w:val="000000"/>
        </w:rPr>
        <w:footnoteReference w:id="5"/>
      </w:r>
      <w:r>
        <w:rPr>
          <w:color w:val="000000"/>
        </w:rPr>
        <w:t xml:space="preserve"> the most sacred object on the Acropolis and, by extension, in Athens itself. The Persians burned it. The Athenians, in one of the more pointed acts of collective memory in the ancient world, left the ruins visible for decades as a reminder of what had been lost. When construction on the Erechtheion finally began in the 420s, the builders were not starting fresh</w:t>
      </w:r>
      <w:r w:rsidR="005F412F">
        <w:rPr>
          <w:color w:val="000000"/>
        </w:rPr>
        <w:t>. T</w:t>
      </w:r>
      <w:r>
        <w:rPr>
          <w:color w:val="000000"/>
        </w:rPr>
        <w:t>hey were inheriting a site already layered with religious history, physical memory, and cultic obligation stretching back centuries.</w:t>
      </w:r>
    </w:p>
    <w:p w14:paraId="41EC316B" w14:textId="241B5A42" w:rsidR="00B5733F" w:rsidRDefault="00B5733F" w:rsidP="00B36354">
      <w:pPr>
        <w:pStyle w:val="font-claude-response-body"/>
        <w:spacing w:line="360" w:lineRule="auto"/>
        <w:ind w:firstLine="360"/>
        <w:rPr>
          <w:color w:val="000000"/>
        </w:rPr>
      </w:pPr>
      <w:r>
        <w:rPr>
          <w:color w:val="000000"/>
        </w:rPr>
        <w:t>What made the northern Acropolis particularly complicated</w:t>
      </w:r>
      <w:r w:rsidR="005F412F">
        <w:rPr>
          <w:color w:val="000000"/>
        </w:rPr>
        <w:t xml:space="preserve">, but also </w:t>
      </w:r>
      <w:r>
        <w:rPr>
          <w:color w:val="000000"/>
        </w:rPr>
        <w:t>particularly interesting</w:t>
      </w:r>
      <w:r w:rsidR="005F412F">
        <w:rPr>
          <w:color w:val="000000"/>
        </w:rPr>
        <w:t xml:space="preserve">, </w:t>
      </w:r>
      <w:r>
        <w:rPr>
          <w:color w:val="000000"/>
        </w:rPr>
        <w:t>was the sheer number of cults it needed to accommodate. The Erechtheion was not built for one god. At its core, it housed two major divine presences:</w:t>
      </w:r>
      <w:r>
        <w:rPr>
          <w:rStyle w:val="apple-converted-space"/>
          <w:rFonts w:eastAsiaTheme="majorEastAsia"/>
          <w:color w:val="000000"/>
        </w:rPr>
        <w:t> </w:t>
      </w:r>
      <w:r w:rsidRPr="005F412F">
        <w:rPr>
          <w:rFonts w:eastAsiaTheme="majorEastAsia"/>
        </w:rPr>
        <w:t>Athena Polias</w:t>
      </w:r>
      <w:r w:rsidRPr="005F412F">
        <w:t>, the ancient civic goddess whose olive-wood image had been worshipped on this spot since time immemorial, and</w:t>
      </w:r>
      <w:r w:rsidRPr="005F412F">
        <w:rPr>
          <w:rFonts w:eastAsiaTheme="majorEastAsia"/>
        </w:rPr>
        <w:t> Poseidon-Erechtheus</w:t>
      </w:r>
      <w:r w:rsidRPr="005F412F">
        <w:t>, the curious doubled deity who fused the god of the sea with</w:t>
      </w:r>
      <w:r w:rsidRPr="005F412F">
        <w:rPr>
          <w:color w:val="000000"/>
        </w:rPr>
        <w:t xml:space="preserve"> the ancient Athenian hero-king Erechtheus, himself a figure of primordial</w:t>
      </w:r>
      <w:r>
        <w:rPr>
          <w:color w:val="000000"/>
        </w:rPr>
        <w:t xml:space="preserve"> Athenian identity.</w:t>
      </w:r>
      <w:r w:rsidR="006A36CD">
        <w:rPr>
          <w:rStyle w:val="FootnoteReference"/>
          <w:color w:val="000000"/>
        </w:rPr>
        <w:footnoteReference w:id="6"/>
      </w:r>
      <w:r>
        <w:rPr>
          <w:color w:val="000000"/>
        </w:rPr>
        <w:t xml:space="preserve"> The hyphenated name is not accidental</w:t>
      </w:r>
      <w:r w:rsidR="005F412F">
        <w:rPr>
          <w:color w:val="000000"/>
        </w:rPr>
        <w:t>. B</w:t>
      </w:r>
      <w:r>
        <w:rPr>
          <w:color w:val="000000"/>
        </w:rPr>
        <w:t>y the Classical period, Poseidon and Erechtheus had become so thoroughly entangled in Athenian religious imagination that they shared not just a cult but apparently a single sacred space, a theological arrangement that is, to put it mildly, unusual. Beyond these two major presences, the building also incorporated worship of Hephaestus, the hero Boutes,</w:t>
      </w:r>
      <w:r w:rsidR="00F606AA">
        <w:rPr>
          <w:rStyle w:val="FootnoteReference"/>
          <w:color w:val="000000"/>
        </w:rPr>
        <w:footnoteReference w:id="7"/>
      </w:r>
      <w:r>
        <w:rPr>
          <w:color w:val="000000"/>
        </w:rPr>
        <w:t xml:space="preserve"> and the heroine Pandrosos, whose sanctuary abutted the western face of the building and housed Athena's sacred olive tree.</w:t>
      </w:r>
    </w:p>
    <w:p w14:paraId="13E18C27" w14:textId="5748DBF9" w:rsidR="00B5733F" w:rsidRDefault="00B5733F" w:rsidP="00B36354">
      <w:pPr>
        <w:pStyle w:val="font-claude-response-body"/>
        <w:spacing w:line="360" w:lineRule="auto"/>
        <w:ind w:firstLine="360"/>
        <w:rPr>
          <w:color w:val="000000"/>
        </w:rPr>
      </w:pPr>
      <w:r>
        <w:rPr>
          <w:color w:val="000000"/>
        </w:rPr>
        <w:lastRenderedPageBreak/>
        <w:t xml:space="preserve">This density of cult is not incidental background. It is the engine of everything that follows. Each of these divine and heroic presences brought with it a specific location, a specific set of ritual requirements, and a specific claim on the physical fabric of the northern Acropolis that the architects of the Erechtheion had no choice but to take seriously. The building's peculiar form begins to make sense the moment you start asking </w:t>
      </w:r>
      <w:r w:rsidR="00F606AA">
        <w:rPr>
          <w:color w:val="000000"/>
        </w:rPr>
        <w:t>not,</w:t>
      </w:r>
      <w:r>
        <w:rPr>
          <w:color w:val="000000"/>
        </w:rPr>
        <w:t xml:space="preserve"> "what did the architects want to build?" but "what would the gods not let them move?"</w:t>
      </w:r>
    </w:p>
    <w:p w14:paraId="3D1E26A1" w14:textId="29C6F873" w:rsidR="00B5733F" w:rsidRDefault="00B5733F" w:rsidP="00B36354">
      <w:pPr>
        <w:pStyle w:val="font-claude-response-body"/>
        <w:spacing w:line="360" w:lineRule="auto"/>
        <w:ind w:firstLine="360"/>
        <w:rPr>
          <w:color w:val="000000"/>
        </w:rPr>
      </w:pPr>
      <w:r>
        <w:rPr>
          <w:color w:val="000000"/>
        </w:rPr>
        <w:t>If the Erechtheion has a governing logic, it is this: the sacred spots came first</w:t>
      </w:r>
      <w:r w:rsidR="00F606AA">
        <w:rPr>
          <w:color w:val="000000"/>
        </w:rPr>
        <w:t>, t</w:t>
      </w:r>
      <w:r>
        <w:rPr>
          <w:color w:val="000000"/>
        </w:rPr>
        <w:t xml:space="preserve">he building came second. Understanding the northern Acropolis as a landscape already claimed by divine and heroic activity </w:t>
      </w:r>
      <w:r w:rsidR="00F606AA">
        <w:rPr>
          <w:color w:val="000000"/>
        </w:rPr>
        <w:t>long</w:t>
      </w:r>
      <w:r>
        <w:rPr>
          <w:color w:val="000000"/>
        </w:rPr>
        <w:t xml:space="preserve"> before a single block of Pentelic marble was laid is the key to unlocking what would otherwise seem like a series of baffling architectural decisions. Working through the major sacred features in turn reveals a building that was not so much designed as negotiated.</w:t>
      </w:r>
    </w:p>
    <w:p w14:paraId="48BCD3CB" w14:textId="4D6F54B3" w:rsidR="00B5733F" w:rsidRDefault="0083663B" w:rsidP="00B36354">
      <w:pPr>
        <w:pStyle w:val="font-claude-response-body"/>
        <w:spacing w:line="360" w:lineRule="auto"/>
        <w:ind w:firstLine="360"/>
        <w:rPr>
          <w:color w:val="000000"/>
        </w:rPr>
      </w:pPr>
      <w:r w:rsidRPr="0083663B">
        <w:rPr>
          <w:color w:val="000000"/>
        </w:rPr>
        <w:t>The salt spring is, in every sense, the star witness.</w:t>
      </w:r>
      <w:r w:rsidR="00F606AA" w:rsidRPr="0083663B">
        <w:t xml:space="preserve"> </w:t>
      </w:r>
      <w:r w:rsidR="00B5733F" w:rsidRPr="0083663B">
        <w:rPr>
          <w:color w:val="000000"/>
        </w:rPr>
        <w:t>According to Pausanias</w:t>
      </w:r>
      <w:r w:rsidR="00B5733F">
        <w:rPr>
          <w:color w:val="000000"/>
        </w:rPr>
        <w:t>, who visited the Acropolis in the second century CE and remains our most detailed literary guide to the site, the spring was located within the Erechtheion itself, producing a sound like waves when the south wind blew</w:t>
      </w:r>
      <w:r w:rsidR="00F606AA">
        <w:rPr>
          <w:color w:val="000000"/>
        </w:rPr>
        <w:t>.</w:t>
      </w:r>
      <w:r w:rsidR="00F606AA">
        <w:rPr>
          <w:rStyle w:val="FootnoteReference"/>
          <w:color w:val="000000"/>
        </w:rPr>
        <w:footnoteReference w:id="8"/>
      </w:r>
      <w:r w:rsidR="00B5733F">
        <w:rPr>
          <w:color w:val="000000"/>
        </w:rPr>
        <w:t xml:space="preserve"> This was understood as the physical trace of Poseidon's bid for Athens</w:t>
      </w:r>
      <w:r w:rsidR="00F606AA">
        <w:rPr>
          <w:color w:val="000000"/>
        </w:rPr>
        <w:t>. It is</w:t>
      </w:r>
      <w:r w:rsidR="00B5733F">
        <w:rPr>
          <w:color w:val="000000"/>
        </w:rPr>
        <w:t xml:space="preserve"> the spot where the god struck the rock and seawater surged from the ground. Its precise location within the building has been the subject of considerable scholarly debate. The most widely accepted reconstruction places it beneath or near the north porch, where a cutting in the bedrock has been identified as consistent with a water feature, though Jeppesen</w:t>
      </w:r>
      <w:r w:rsidR="00F606AA">
        <w:rPr>
          <w:rStyle w:val="FootnoteReference"/>
          <w:color w:val="000000"/>
        </w:rPr>
        <w:footnoteReference w:id="9"/>
      </w:r>
      <w:r w:rsidR="00B5733F">
        <w:rPr>
          <w:color w:val="000000"/>
        </w:rPr>
        <w:t xml:space="preserve"> and others have noted that the physical evidence is ambiguous enough to resist a definitive answer. What is not ambiguous is the</w:t>
      </w:r>
      <w:r w:rsidR="00B5733F">
        <w:rPr>
          <w:rStyle w:val="apple-converted-space"/>
          <w:rFonts w:eastAsiaTheme="majorEastAsia"/>
          <w:color w:val="000000"/>
        </w:rPr>
        <w:t> </w:t>
      </w:r>
      <w:r w:rsidR="00B5733F" w:rsidRPr="00555DAD">
        <w:rPr>
          <w:rStyle w:val="Emphasis"/>
          <w:rFonts w:eastAsiaTheme="majorEastAsia"/>
          <w:i w:val="0"/>
          <w:iCs w:val="0"/>
          <w:color w:val="000000"/>
        </w:rPr>
        <w:t>consequence</w:t>
      </w:r>
      <w:r w:rsidR="00B5733F">
        <w:rPr>
          <w:rStyle w:val="apple-converted-space"/>
          <w:rFonts w:eastAsiaTheme="majorEastAsia"/>
          <w:color w:val="000000"/>
        </w:rPr>
        <w:t> </w:t>
      </w:r>
      <w:r w:rsidR="00B5733F">
        <w:rPr>
          <w:color w:val="000000"/>
        </w:rPr>
        <w:t>of the spring's presence: the north porch, with its dramatically lower floor level relative to the main hall, exists in large part because the sacred topography demanded access to this spot. The architecture steps down to meet the god's mark.</w:t>
      </w:r>
    </w:p>
    <w:p w14:paraId="0F15F368" w14:textId="4C8A45C6" w:rsidR="00B5733F" w:rsidRPr="005F412F" w:rsidRDefault="00B5733F" w:rsidP="00B36354">
      <w:pPr>
        <w:spacing w:line="360" w:lineRule="auto"/>
        <w:ind w:firstLine="360"/>
      </w:pPr>
      <w:r>
        <w:rPr>
          <w:color w:val="000000"/>
        </w:rPr>
        <w:t xml:space="preserve">Directly </w:t>
      </w:r>
      <w:r w:rsidRPr="005F412F">
        <w:t>related is the</w:t>
      </w:r>
      <w:r w:rsidRPr="005F412F">
        <w:rPr>
          <w:rFonts w:eastAsiaTheme="majorEastAsia"/>
        </w:rPr>
        <w:t> mark of Poseidon's trident</w:t>
      </w:r>
      <w:r w:rsidRPr="005F412F">
        <w:t>, which Pausanias describes as visible in the rock near the salt spring. Here the literary and physical evidence converge in</w:t>
      </w:r>
      <w:r>
        <w:rPr>
          <w:color w:val="000000"/>
        </w:rPr>
        <w:t xml:space="preserve"> an interesting way. A cutting in the bedrock of the north porch area has long been identified as the trident mark in </w:t>
      </w:r>
      <w:r>
        <w:rPr>
          <w:color w:val="000000"/>
        </w:rPr>
        <w:lastRenderedPageBreak/>
        <w:t>question, and while it is impossible to verify that Classical Athenians interpreted this specific feature as divine in origin, the location is suggestive. More importantly, the open ceiling of the north porch</w:t>
      </w:r>
      <w:r w:rsidR="00555DAD">
        <w:rPr>
          <w:color w:val="000000"/>
        </w:rPr>
        <w:t>,</w:t>
      </w:r>
      <w:r>
        <w:rPr>
          <w:color w:val="000000"/>
        </w:rPr>
        <w:t xml:space="preserve"> </w:t>
      </w:r>
      <w:r w:rsidR="00555DAD">
        <w:rPr>
          <w:color w:val="000000"/>
        </w:rPr>
        <w:t>(</w:t>
      </w:r>
      <w:r>
        <w:rPr>
          <w:color w:val="000000"/>
        </w:rPr>
        <w:t>a highly unusual feature that left a section of the roof deliberately unenclosed</w:t>
      </w:r>
      <w:r w:rsidR="00555DAD">
        <w:rPr>
          <w:color w:val="000000"/>
        </w:rPr>
        <w:t>)</w:t>
      </w:r>
      <w:r>
        <w:rPr>
          <w:color w:val="000000"/>
        </w:rPr>
        <w:t xml:space="preserve"> has been interpreted by Hurwit</w:t>
      </w:r>
      <w:r w:rsidR="00555DAD">
        <w:rPr>
          <w:rStyle w:val="FootnoteReference"/>
          <w:color w:val="000000"/>
        </w:rPr>
        <w:footnoteReference w:id="10"/>
      </w:r>
      <w:r>
        <w:rPr>
          <w:color w:val="000000"/>
        </w:rPr>
        <w:t xml:space="preserve"> and others</w:t>
      </w:r>
      <w:r w:rsidR="00BB4AD0">
        <w:rPr>
          <w:rStyle w:val="FootnoteReference"/>
          <w:color w:val="000000"/>
        </w:rPr>
        <w:footnoteReference w:id="11"/>
      </w:r>
      <w:r>
        <w:rPr>
          <w:color w:val="000000"/>
        </w:rPr>
        <w:t xml:space="preserve"> as a means of keeping the trident mark visible from above, or at minimum of marking it as a spot requiring special architectural treatment. The building, in other words, does not just accommodate the mark</w:t>
      </w:r>
      <w:r w:rsidR="00555DAD">
        <w:rPr>
          <w:color w:val="000000"/>
        </w:rPr>
        <w:t>. The space</w:t>
      </w:r>
      <w:r>
        <w:rPr>
          <w:color w:val="000000"/>
        </w:rPr>
        <w:t xml:space="preserve"> frames it.</w:t>
      </w:r>
    </w:p>
    <w:p w14:paraId="4850BE87" w14:textId="77777777" w:rsidR="005F412F" w:rsidRDefault="005F412F" w:rsidP="00B36354">
      <w:pPr>
        <w:spacing w:line="360" w:lineRule="auto"/>
      </w:pPr>
    </w:p>
    <w:p w14:paraId="58279C65" w14:textId="68198AD2" w:rsidR="00B5733F" w:rsidRDefault="00B5733F" w:rsidP="00B36354">
      <w:pPr>
        <w:spacing w:line="360" w:lineRule="auto"/>
        <w:ind w:firstLine="360"/>
        <w:rPr>
          <w:color w:val="000000"/>
        </w:rPr>
      </w:pPr>
      <w:r w:rsidRPr="005F412F">
        <w:t>Perhaps the most spatially consequential of all the sacred features is the</w:t>
      </w:r>
      <w:r w:rsidRPr="005F412F">
        <w:rPr>
          <w:rFonts w:eastAsiaTheme="majorEastAsia"/>
        </w:rPr>
        <w:t> tomb of Kekrops</w:t>
      </w:r>
      <w:r w:rsidRPr="005F412F">
        <w:t xml:space="preserve">, the legendary first king of Athens, located at the southwest </w:t>
      </w:r>
      <w:r>
        <w:rPr>
          <w:color w:val="000000"/>
        </w:rPr>
        <w:t>corner of the building.</w:t>
      </w:r>
      <w:r w:rsidR="00BB4AD0">
        <w:rPr>
          <w:rStyle w:val="FootnoteReference"/>
          <w:color w:val="000000"/>
        </w:rPr>
        <w:footnoteReference w:id="12"/>
      </w:r>
      <w:r>
        <w:rPr>
          <w:color w:val="000000"/>
        </w:rPr>
        <w:t xml:space="preserve"> Kekrops occupies a fascinating position in Athenian religious imagination: he was present at the original contest between Athena and Poseidon, served as witness and judge, and was understood as the primordial ancestor of the Athenian people. His tomb could not be built over, relocated, or treated as ordinary ground. It is this obligation that most directly explains the position and character of the Caryatid porch which projects southward from the main structure precisely over the area associated with Kekrops' burial. The six caryatid figures who serve as its columns</w:t>
      </w:r>
      <w:r w:rsidR="00825764">
        <w:rPr>
          <w:rStyle w:val="FootnoteReference"/>
          <w:color w:val="000000"/>
        </w:rPr>
        <w:footnoteReference w:id="13"/>
      </w:r>
      <w:r>
        <w:rPr>
          <w:color w:val="000000"/>
        </w:rPr>
        <w:t xml:space="preserve"> stand, in effect, as perpetual guardians over the tomb of Athens' first king. The iconographic implications of this will be explored </w:t>
      </w:r>
      <w:r w:rsidR="00BB4AD0">
        <w:rPr>
          <w:color w:val="000000"/>
        </w:rPr>
        <w:t>later</w:t>
      </w:r>
      <w:r>
        <w:rPr>
          <w:color w:val="000000"/>
        </w:rPr>
        <w:t xml:space="preserve">, but the topographic point is worth </w:t>
      </w:r>
      <w:r w:rsidR="00BB4AD0">
        <w:rPr>
          <w:color w:val="000000"/>
        </w:rPr>
        <w:t>emphasizing</w:t>
      </w:r>
      <w:r>
        <w:rPr>
          <w:color w:val="000000"/>
        </w:rPr>
        <w:t xml:space="preserve"> here: the porch exists because the tomb exists, and its position is not an aesthetic </w:t>
      </w:r>
      <w:r w:rsidR="00DD6879">
        <w:rPr>
          <w:color w:val="000000"/>
        </w:rPr>
        <w:t>choice,</w:t>
      </w:r>
      <w:r>
        <w:rPr>
          <w:color w:val="000000"/>
        </w:rPr>
        <w:t xml:space="preserve"> but a sacred obligation made visible in marble.</w:t>
      </w:r>
    </w:p>
    <w:p w14:paraId="02A7B0B4" w14:textId="5B73367C" w:rsidR="00B5733F" w:rsidRDefault="00B5733F" w:rsidP="00B36354">
      <w:pPr>
        <w:pStyle w:val="font-claude-response-body"/>
        <w:spacing w:line="360" w:lineRule="auto"/>
        <w:ind w:firstLine="360"/>
        <w:rPr>
          <w:color w:val="000000"/>
        </w:rPr>
      </w:pPr>
      <w:r>
        <w:rPr>
          <w:color w:val="000000"/>
        </w:rPr>
        <w:t xml:space="preserve">Finally, though technically outside the building's </w:t>
      </w:r>
      <w:r w:rsidRPr="005F412F">
        <w:t>walls, the</w:t>
      </w:r>
      <w:r w:rsidRPr="005F412F">
        <w:rPr>
          <w:rFonts w:eastAsiaTheme="majorEastAsia"/>
        </w:rPr>
        <w:t> sacred olive tree of Athena </w:t>
      </w:r>
      <w:r w:rsidRPr="005F412F">
        <w:t>in</w:t>
      </w:r>
      <w:r>
        <w:rPr>
          <w:color w:val="000000"/>
        </w:rPr>
        <w:t xml:space="preserve"> the adjacent Pandrosion</w:t>
      </w:r>
      <w:r w:rsidR="00A36FD1">
        <w:rPr>
          <w:rStyle w:val="FootnoteReference"/>
          <w:color w:val="000000"/>
        </w:rPr>
        <w:footnoteReference w:id="14"/>
      </w:r>
      <w:r>
        <w:rPr>
          <w:color w:val="000000"/>
        </w:rPr>
        <w:t xml:space="preserve"> demands attention as a topographic force in its own right. The olive tree</w:t>
      </w:r>
      <w:r w:rsidR="00A36FD1">
        <w:rPr>
          <w:color w:val="000000"/>
        </w:rPr>
        <w:t xml:space="preserve"> that was </w:t>
      </w:r>
      <w:r>
        <w:rPr>
          <w:color w:val="000000"/>
        </w:rPr>
        <w:t xml:space="preserve">Athena's gift to Athens in the original contest, </w:t>
      </w:r>
      <w:r w:rsidR="00A36FD1">
        <w:rPr>
          <w:color w:val="000000"/>
        </w:rPr>
        <w:t>(</w:t>
      </w:r>
      <w:r>
        <w:rPr>
          <w:color w:val="000000"/>
        </w:rPr>
        <w:t>and the reason she won</w:t>
      </w:r>
      <w:r w:rsidR="00A36FD1">
        <w:rPr>
          <w:color w:val="000000"/>
        </w:rPr>
        <w:t>),</w:t>
      </w:r>
      <w:r>
        <w:rPr>
          <w:color w:val="000000"/>
        </w:rPr>
        <w:t xml:space="preserve"> was housed in an open precinct to the west of the Erechtheion proper</w:t>
      </w:r>
      <w:r w:rsidR="00A36FD1">
        <w:rPr>
          <w:rStyle w:val="FootnoteReference"/>
          <w:color w:val="000000"/>
        </w:rPr>
        <w:footnoteReference w:id="15"/>
      </w:r>
      <w:r w:rsidR="00A36FD1">
        <w:rPr>
          <w:color w:val="000000"/>
        </w:rPr>
        <w:t>. This space was</w:t>
      </w:r>
      <w:r>
        <w:rPr>
          <w:color w:val="000000"/>
        </w:rPr>
        <w:t xml:space="preserve"> bounded by a wall that formed an integral part of the building's overall spatial </w:t>
      </w:r>
      <w:r w:rsidR="00A36FD1">
        <w:rPr>
          <w:color w:val="000000"/>
        </w:rPr>
        <w:t>organization</w:t>
      </w:r>
      <w:r>
        <w:rPr>
          <w:color w:val="000000"/>
        </w:rPr>
        <w:t>. Pausanias notes that the tree was still there in his own day, having allegedly regrown after the Persians burned i</w:t>
      </w:r>
      <w:r w:rsidR="00A36FD1">
        <w:rPr>
          <w:color w:val="000000"/>
        </w:rPr>
        <w:t>t, (</w:t>
      </w:r>
      <w:r>
        <w:rPr>
          <w:color w:val="000000"/>
        </w:rPr>
        <w:t xml:space="preserve">a detail the </w:t>
      </w:r>
      <w:r>
        <w:rPr>
          <w:color w:val="000000"/>
        </w:rPr>
        <w:lastRenderedPageBreak/>
        <w:t>Athenians presumably found enormously satisfying</w:t>
      </w:r>
      <w:r w:rsidR="00A36FD1">
        <w:rPr>
          <w:color w:val="000000"/>
        </w:rPr>
        <w:t>)</w:t>
      </w:r>
      <w:r>
        <w:rPr>
          <w:color w:val="000000"/>
        </w:rPr>
        <w:t>. The Pandrosion's integration into the Erechtheion complex meant that the building's western facade had to respond to the precinct's boundaries, further constraining the plan and contributing to the asymmetry that has puzzled observers ever since. The olive tree, like everything else on this site, was not going anywhere.</w:t>
      </w:r>
    </w:p>
    <w:p w14:paraId="76328CFB" w14:textId="71AA6455" w:rsidR="00B5733F" w:rsidRDefault="00B5733F" w:rsidP="00B36354">
      <w:pPr>
        <w:pStyle w:val="font-claude-response-body"/>
        <w:spacing w:line="360" w:lineRule="auto"/>
        <w:ind w:firstLine="360"/>
        <w:rPr>
          <w:color w:val="000000"/>
        </w:rPr>
      </w:pPr>
      <w:r>
        <w:rPr>
          <w:color w:val="000000"/>
        </w:rPr>
        <w:t>Taken together, these four features</w:t>
      </w:r>
      <w:r w:rsidR="00A36FD1">
        <w:rPr>
          <w:color w:val="000000"/>
        </w:rPr>
        <w:t>:</w:t>
      </w:r>
      <w:r>
        <w:rPr>
          <w:color w:val="000000"/>
        </w:rPr>
        <w:t xml:space="preserve"> the salt spring, the trident mark, the tomb of Kekrops, and the sacred olive tree</w:t>
      </w:r>
      <w:r w:rsidR="00A36FD1">
        <w:rPr>
          <w:color w:val="000000"/>
        </w:rPr>
        <w:t>,</w:t>
      </w:r>
      <w:r>
        <w:rPr>
          <w:color w:val="000000"/>
        </w:rPr>
        <w:t xml:space="preserve"> constitute what we might call the sacred grammar of the northern Acropolis. Each one was fixed, non-negotiable, and loaded with mythological and civic significance that the Athenians were in no position to ignore. The Erechtheion's architects did not work around these features so much as they worked</w:t>
      </w:r>
      <w:r>
        <w:rPr>
          <w:rStyle w:val="apple-converted-space"/>
          <w:rFonts w:eastAsiaTheme="majorEastAsia"/>
          <w:color w:val="000000"/>
        </w:rPr>
        <w:t> </w:t>
      </w:r>
      <w:r w:rsidRPr="00A36FD1">
        <w:rPr>
          <w:rStyle w:val="Emphasis"/>
          <w:rFonts w:eastAsiaTheme="majorEastAsia"/>
          <w:i w:val="0"/>
          <w:iCs w:val="0"/>
          <w:color w:val="000000"/>
        </w:rPr>
        <w:t>with</w:t>
      </w:r>
      <w:r>
        <w:rPr>
          <w:rStyle w:val="apple-converted-space"/>
          <w:rFonts w:eastAsiaTheme="majorEastAsia"/>
          <w:color w:val="000000"/>
        </w:rPr>
        <w:t> </w:t>
      </w:r>
      <w:r>
        <w:rPr>
          <w:color w:val="000000"/>
        </w:rPr>
        <w:t>them, producing a building whose every departure from conventional form maps onto a specific religious obligation. Far from being a compromise, the Erechtheion's complexity is a direct index of how seriously the Athenians took the ground they were building on.</w:t>
      </w:r>
    </w:p>
    <w:p w14:paraId="1AB452C3" w14:textId="17822F13" w:rsidR="00B5733F" w:rsidRDefault="00B5733F" w:rsidP="00B36354">
      <w:pPr>
        <w:pStyle w:val="font-claude-response-body"/>
        <w:spacing w:line="360" w:lineRule="auto"/>
        <w:ind w:firstLine="360"/>
        <w:rPr>
          <w:color w:val="000000"/>
        </w:rPr>
      </w:pPr>
      <w:r>
        <w:rPr>
          <w:color w:val="000000"/>
        </w:rPr>
        <w:t>The Erechtheion is not merely a functional solution to a topographic problem</w:t>
      </w:r>
      <w:r w:rsidR="00AB1638">
        <w:rPr>
          <w:color w:val="000000"/>
        </w:rPr>
        <w:t>.</w:t>
      </w:r>
      <w:r>
        <w:rPr>
          <w:color w:val="000000"/>
        </w:rPr>
        <w:t xml:space="preserve"> </w:t>
      </w:r>
      <w:r w:rsidR="00AB1638">
        <w:rPr>
          <w:color w:val="000000"/>
        </w:rPr>
        <w:t>I</w:t>
      </w:r>
      <w:r>
        <w:rPr>
          <w:color w:val="000000"/>
        </w:rPr>
        <w:t>t is a building that thinks carefully about how sacred space should look, feel, and communicate meaning to the people moving through it.</w:t>
      </w:r>
    </w:p>
    <w:p w14:paraId="12D7C0A9" w14:textId="28A08AD4" w:rsidR="00B5733F" w:rsidRDefault="00994218" w:rsidP="00B36354">
      <w:pPr>
        <w:pStyle w:val="font-claude-response-body"/>
        <w:spacing w:line="360" w:lineRule="auto"/>
        <w:ind w:firstLine="720"/>
        <w:rPr>
          <w:color w:val="000000"/>
        </w:rPr>
      </w:pPr>
      <w:r w:rsidRPr="00994218">
        <w:rPr>
          <w:color w:val="000000"/>
        </w:rPr>
        <w:t>The Erechtheion's plan is, on first glance, a puzzle</w:t>
      </w:r>
      <w:r w:rsidR="0083663B">
        <w:rPr>
          <w:color w:val="000000"/>
        </w:rPr>
        <w:t>. O</w:t>
      </w:r>
      <w:r w:rsidRPr="00994218">
        <w:rPr>
          <w:color w:val="000000"/>
        </w:rPr>
        <w:t xml:space="preserve">n second glance, </w:t>
      </w:r>
      <w:r w:rsidR="0083663B">
        <w:rPr>
          <w:color w:val="000000"/>
        </w:rPr>
        <w:t xml:space="preserve">it’s </w:t>
      </w:r>
      <w:r w:rsidRPr="00994218">
        <w:rPr>
          <w:color w:val="000000"/>
        </w:rPr>
        <w:t>an argument.</w:t>
      </w:r>
      <w:r w:rsidR="00B5733F" w:rsidRPr="00994218">
        <w:rPr>
          <w:color w:val="000000"/>
        </w:rPr>
        <w:t xml:space="preserve"> The</w:t>
      </w:r>
      <w:r w:rsidR="00B5733F">
        <w:rPr>
          <w:color w:val="000000"/>
        </w:rPr>
        <w:t xml:space="preserve"> main east-west block housed the two primary cult spaces: the eastern chamber, with its own porch of six Ionic columns, served the cult of Athena Polias and almost certainly sheltered her ancient olive-wood image</w:t>
      </w:r>
      <w:r w:rsidR="005143D0">
        <w:rPr>
          <w:color w:val="000000"/>
        </w:rPr>
        <w:t>.</w:t>
      </w:r>
      <w:r w:rsidR="005143D0">
        <w:rPr>
          <w:rStyle w:val="FootnoteReference"/>
          <w:color w:val="000000"/>
        </w:rPr>
        <w:footnoteReference w:id="16"/>
      </w:r>
      <w:r w:rsidR="00B5733F">
        <w:rPr>
          <w:color w:val="000000"/>
        </w:rPr>
        <w:t xml:space="preserve"> The western section, accessible from the north porch rather than the east, served the cult of Poseidon-Erechtheus along with the minor cults of Hephaestus and Boutes.</w:t>
      </w:r>
      <w:r w:rsidR="0023424A">
        <w:rPr>
          <w:rStyle w:val="FootnoteReference"/>
          <w:color w:val="000000"/>
        </w:rPr>
        <w:footnoteReference w:id="17"/>
      </w:r>
      <w:r w:rsidR="00B5733F">
        <w:rPr>
          <w:color w:val="000000"/>
        </w:rPr>
        <w:t xml:space="preserve"> This separation of cult spaces within a single structure is itself remarkable. The two divine presences who contested Athens' patronage are housed under the same roof but kept</w:t>
      </w:r>
      <w:r w:rsidR="0023424A">
        <w:rPr>
          <w:color w:val="000000"/>
        </w:rPr>
        <w:t>, (</w:t>
      </w:r>
      <w:r w:rsidR="00B5733F">
        <w:rPr>
          <w:color w:val="000000"/>
        </w:rPr>
        <w:t>carefully</w:t>
      </w:r>
      <w:r w:rsidR="0023424A">
        <w:rPr>
          <w:color w:val="000000"/>
        </w:rPr>
        <w:t xml:space="preserve"> and very</w:t>
      </w:r>
      <w:r w:rsidR="00B5733F">
        <w:rPr>
          <w:color w:val="000000"/>
        </w:rPr>
        <w:t xml:space="preserve"> deliberately</w:t>
      </w:r>
      <w:r w:rsidR="0023424A">
        <w:rPr>
          <w:color w:val="000000"/>
        </w:rPr>
        <w:t>)</w:t>
      </w:r>
      <w:r w:rsidR="00B5733F">
        <w:rPr>
          <w:color w:val="000000"/>
        </w:rPr>
        <w:t xml:space="preserve"> in distinct spatial zones</w:t>
      </w:r>
      <w:r w:rsidR="0023424A">
        <w:rPr>
          <w:color w:val="000000"/>
        </w:rPr>
        <w:t xml:space="preserve"> </w:t>
      </w:r>
      <w:r w:rsidR="00B5733F">
        <w:rPr>
          <w:color w:val="000000"/>
        </w:rPr>
        <w:t xml:space="preserve">with </w:t>
      </w:r>
      <w:r w:rsidR="0023424A">
        <w:rPr>
          <w:color w:val="000000"/>
        </w:rPr>
        <w:t>their</w:t>
      </w:r>
      <w:r w:rsidR="00B5733F">
        <w:rPr>
          <w:color w:val="000000"/>
        </w:rPr>
        <w:t xml:space="preserve"> own point of entry. The building manages a theological tension by translating it into architectural </w:t>
      </w:r>
      <w:r w:rsidR="0023424A">
        <w:rPr>
          <w:color w:val="000000"/>
        </w:rPr>
        <w:t>organization</w:t>
      </w:r>
      <w:r w:rsidR="00B5733F">
        <w:rPr>
          <w:color w:val="000000"/>
        </w:rPr>
        <w:t xml:space="preserve">. You do not accidentally wander from Athena's space into Poseidon's. The </w:t>
      </w:r>
      <w:r w:rsidR="0023424A">
        <w:rPr>
          <w:color w:val="000000"/>
        </w:rPr>
        <w:t xml:space="preserve">special </w:t>
      </w:r>
      <w:r w:rsidR="00B5733F">
        <w:rPr>
          <w:color w:val="000000"/>
        </w:rPr>
        <w:t>plan makes sure of it.</w:t>
      </w:r>
    </w:p>
    <w:p w14:paraId="7A06C13F" w14:textId="47B3A5F1" w:rsidR="00B5733F" w:rsidRDefault="00B5733F" w:rsidP="00B36354">
      <w:pPr>
        <w:pStyle w:val="font-claude-response-body"/>
        <w:spacing w:line="360" w:lineRule="auto"/>
        <w:ind w:firstLine="720"/>
        <w:rPr>
          <w:color w:val="000000"/>
        </w:rPr>
      </w:pPr>
      <w:r w:rsidRPr="00AB1638">
        <w:lastRenderedPageBreak/>
        <w:t>The</w:t>
      </w:r>
      <w:r w:rsidRPr="00AB1638">
        <w:rPr>
          <w:rFonts w:eastAsiaTheme="majorEastAsia"/>
        </w:rPr>
        <w:t> north porch </w:t>
      </w:r>
      <w:r w:rsidRPr="00AB1638">
        <w:t>deserves particular</w:t>
      </w:r>
      <w:r>
        <w:rPr>
          <w:color w:val="000000"/>
        </w:rPr>
        <w:t xml:space="preserve"> attention as a feat of architectural problem-solving. Projecting from the northern face of the main block and set at a dramatically lower floor </w:t>
      </w:r>
      <w:r w:rsidR="0023424A">
        <w:rPr>
          <w:color w:val="000000"/>
        </w:rPr>
        <w:t xml:space="preserve">level, </w:t>
      </w:r>
      <w:r>
        <w:rPr>
          <w:color w:val="000000"/>
        </w:rPr>
        <w:t>t</w:t>
      </w:r>
      <w:r w:rsidR="0023424A">
        <w:rPr>
          <w:color w:val="000000"/>
        </w:rPr>
        <w:t>he porch</w:t>
      </w:r>
      <w:r>
        <w:rPr>
          <w:color w:val="000000"/>
        </w:rPr>
        <w:t xml:space="preserve"> provided direct access to the salt spring and trident mark below. Its six tall Ionic columns, among the most elegant surviving examples of the order, frame an entrance that feels almost theatrical in its deliberateness: you descend to reach it, which is itself a spatially meaningful act in a sanctuary context. The porch's coffered ceiling contains the </w:t>
      </w:r>
      <w:r w:rsidRPr="00967E00">
        <w:t>famous</w:t>
      </w:r>
      <w:r w:rsidRPr="00967E00">
        <w:rPr>
          <w:rFonts w:eastAsiaTheme="majorEastAsia"/>
        </w:rPr>
        <w:t> open panel </w:t>
      </w:r>
      <w:r w:rsidRPr="00967E00">
        <w:t>directly above</w:t>
      </w:r>
      <w:r>
        <w:rPr>
          <w:color w:val="000000"/>
        </w:rPr>
        <w:t xml:space="preserve"> the trident cutting in the floor</w:t>
      </w:r>
      <w:r w:rsidR="0023424A">
        <w:rPr>
          <w:color w:val="000000"/>
        </w:rPr>
        <w:t xml:space="preserve">. </w:t>
      </w:r>
      <w:r>
        <w:rPr>
          <w:color w:val="000000"/>
        </w:rPr>
        <w:t>As Hurwit has noted, it is one of the most explicit examples in Greek architecture of a building acknowledging the priority of the ground over the structure built upon it.</w:t>
      </w:r>
      <w:r w:rsidR="0023424A">
        <w:rPr>
          <w:rStyle w:val="FootnoteReference"/>
          <w:color w:val="000000"/>
        </w:rPr>
        <w:footnoteReference w:id="18"/>
      </w:r>
    </w:p>
    <w:p w14:paraId="70309461" w14:textId="2BB604F8" w:rsidR="00B5733F" w:rsidRDefault="00994218" w:rsidP="00B36354">
      <w:pPr>
        <w:pStyle w:val="font-claude-response-body"/>
        <w:spacing w:line="360" w:lineRule="auto"/>
        <w:ind w:firstLine="720"/>
        <w:rPr>
          <w:color w:val="000000"/>
        </w:rPr>
      </w:pPr>
      <w:r w:rsidRPr="00994218">
        <w:rPr>
          <w:color w:val="000000"/>
        </w:rPr>
        <w:t>Fortunately</w:t>
      </w:r>
      <w:r w:rsidRPr="00994218">
        <w:rPr>
          <w:color w:val="000000"/>
        </w:rPr>
        <w:t xml:space="preserve"> for us</w:t>
      </w:r>
      <w:r w:rsidRPr="00994218">
        <w:rPr>
          <w:color w:val="000000"/>
        </w:rPr>
        <w:t>, the builders left a paper trail. IG I³ 474–479, the Erechtheion's building inscription</w:t>
      </w:r>
      <w:r w:rsidRPr="00994218">
        <w:rPr>
          <w:color w:val="000000"/>
        </w:rPr>
        <w:t xml:space="preserve"> from the late fifth-century</w:t>
      </w:r>
      <w:r w:rsidRPr="00994218">
        <w:rPr>
          <w:color w:val="000000"/>
        </w:rPr>
        <w:t>, survives in fragmentary form but contains enough to give us a rare and candid look at the construction process from the inside</w:t>
      </w:r>
      <w:r w:rsidRPr="00994218">
        <w:rPr>
          <w:color w:val="000000"/>
        </w:rPr>
        <w:t xml:space="preserve">. It </w:t>
      </w:r>
      <w:r w:rsidR="00B5733F" w:rsidRPr="00994218">
        <w:rPr>
          <w:color w:val="000000"/>
        </w:rPr>
        <w:t>documents</w:t>
      </w:r>
      <w:r w:rsidR="00B5733F">
        <w:rPr>
          <w:color w:val="000000"/>
        </w:rPr>
        <w:t xml:space="preserve"> payments to the workmen who built various sections of the Erechtheion, describing individual architectural elements with enough specificity to allow scholars to correlate the textual record with the physical remains. What the inscription makes quietly clear is the sheer complexity of the construction process</w:t>
      </w:r>
      <w:r w:rsidR="0023424A">
        <w:rPr>
          <w:color w:val="000000"/>
        </w:rPr>
        <w:t>. There are</w:t>
      </w:r>
      <w:r w:rsidR="00B5733F">
        <w:rPr>
          <w:color w:val="000000"/>
        </w:rPr>
        <w:t xml:space="preserve"> </w:t>
      </w:r>
      <w:r w:rsidR="0023424A">
        <w:rPr>
          <w:color w:val="000000"/>
        </w:rPr>
        <w:t>a</w:t>
      </w:r>
      <w:r w:rsidR="00B5733F">
        <w:rPr>
          <w:color w:val="000000"/>
        </w:rPr>
        <w:t xml:space="preserve"> number of distinct elements, </w:t>
      </w:r>
      <w:r w:rsidR="0023424A">
        <w:rPr>
          <w:color w:val="000000"/>
        </w:rPr>
        <w:t>a</w:t>
      </w:r>
      <w:r w:rsidR="00B5733F">
        <w:rPr>
          <w:color w:val="000000"/>
        </w:rPr>
        <w:t xml:space="preserve"> variety of craftsmen involved, </w:t>
      </w:r>
      <w:r w:rsidR="0023424A">
        <w:rPr>
          <w:color w:val="000000"/>
        </w:rPr>
        <w:t xml:space="preserve">and </w:t>
      </w:r>
      <w:r w:rsidR="00B5733F">
        <w:rPr>
          <w:color w:val="000000"/>
        </w:rPr>
        <w:t>careful sequencing of work around pre-existing features. It is not the record of a building going up in a straightforward manner. It is the record of a building being threaded, with some difficulty, through a landscape of sacred obligations. Reading it alongside the physical structure, you get a vivid sense of architects and builders navigating constraints that had nothing to do with engineering and everything to do with religion.</w:t>
      </w:r>
    </w:p>
    <w:p w14:paraId="12B94F3E" w14:textId="15327815" w:rsidR="00B5733F" w:rsidRDefault="00994218" w:rsidP="00B36354">
      <w:pPr>
        <w:pStyle w:val="font-claude-response-body"/>
        <w:spacing w:line="360" w:lineRule="auto"/>
        <w:ind w:firstLine="720"/>
        <w:rPr>
          <w:color w:val="000000"/>
        </w:rPr>
      </w:pPr>
      <w:r w:rsidRPr="00994218">
        <w:rPr>
          <w:color w:val="000000"/>
        </w:rPr>
        <w:t xml:space="preserve">Of everything the Erechtheion has to offer the Caryatid porch has kept scholars </w:t>
      </w:r>
      <w:r w:rsidRPr="00994218">
        <w:rPr>
          <w:color w:val="000000"/>
        </w:rPr>
        <w:t>busiest,</w:t>
      </w:r>
      <w:r w:rsidRPr="00994218">
        <w:rPr>
          <w:color w:val="000000"/>
        </w:rPr>
        <w:t xml:space="preserve"> and it is not hard to see why.</w:t>
      </w:r>
      <w:r w:rsidR="00B5733F" w:rsidRPr="00994218">
        <w:rPr>
          <w:color w:val="000000"/>
        </w:rPr>
        <w:t xml:space="preserve"> Projecting southward from the southwest corner of the building</w:t>
      </w:r>
      <w:r w:rsidR="0023424A" w:rsidRPr="00994218">
        <w:rPr>
          <w:color w:val="000000"/>
        </w:rPr>
        <w:t>,</w:t>
      </w:r>
      <w:r w:rsidR="00B5733F" w:rsidRPr="00994218">
        <w:rPr>
          <w:color w:val="000000"/>
        </w:rPr>
        <w:t xml:space="preserve"> the porch replaces conventional Ionic columns with six marble female figures, each standing in a posture of composed weightbearing, one knee slightly bent,</w:t>
      </w:r>
      <w:r w:rsidR="00B5733F">
        <w:rPr>
          <w:color w:val="000000"/>
        </w:rPr>
        <w:t xml:space="preserve"> drapery falling in careful folds that subtly echo the fluting of a column shaft.</w:t>
      </w:r>
      <w:r w:rsidR="0023424A">
        <w:rPr>
          <w:rStyle w:val="FootnoteReference"/>
          <w:color w:val="000000"/>
        </w:rPr>
        <w:footnoteReference w:id="19"/>
      </w:r>
      <w:r w:rsidR="00B5733F">
        <w:rPr>
          <w:color w:val="000000"/>
        </w:rPr>
        <w:t xml:space="preserve"> The effect is immediately arresting. These are not </w:t>
      </w:r>
      <w:r w:rsidR="00B5733F">
        <w:rPr>
          <w:color w:val="000000"/>
        </w:rPr>
        <w:lastRenderedPageBreak/>
        <w:t>decorative additions to a conventional structur</w:t>
      </w:r>
      <w:r w:rsidR="0023424A">
        <w:rPr>
          <w:color w:val="000000"/>
        </w:rPr>
        <w:t>e. These ladies</w:t>
      </w:r>
      <w:r w:rsidR="00B5733F">
        <w:rPr>
          <w:rStyle w:val="apple-converted-space"/>
          <w:rFonts w:eastAsiaTheme="majorEastAsia"/>
          <w:color w:val="000000"/>
        </w:rPr>
        <w:t> </w:t>
      </w:r>
      <w:r w:rsidR="00B5733F" w:rsidRPr="0023424A">
        <w:rPr>
          <w:rStyle w:val="Emphasis"/>
          <w:rFonts w:eastAsiaTheme="majorEastAsia"/>
          <w:i w:val="0"/>
          <w:iCs w:val="0"/>
          <w:color w:val="000000"/>
        </w:rPr>
        <w:t>are</w:t>
      </w:r>
      <w:r w:rsidR="00B5733F">
        <w:rPr>
          <w:rStyle w:val="apple-converted-space"/>
          <w:rFonts w:eastAsiaTheme="majorEastAsia"/>
          <w:color w:val="000000"/>
        </w:rPr>
        <w:t> </w:t>
      </w:r>
      <w:r w:rsidR="00B5733F">
        <w:rPr>
          <w:color w:val="000000"/>
        </w:rPr>
        <w:t>the structure, their bodies doing the architectural work that columns would otherwise perform.</w:t>
      </w:r>
    </w:p>
    <w:p w14:paraId="6A21B6B1" w14:textId="01B398EF" w:rsidR="00B5733F" w:rsidRDefault="0083663B" w:rsidP="00B36354">
      <w:pPr>
        <w:pStyle w:val="font-claude-response-body"/>
        <w:spacing w:line="360" w:lineRule="auto"/>
        <w:ind w:firstLine="720"/>
        <w:rPr>
          <w:color w:val="000000"/>
        </w:rPr>
      </w:pPr>
      <w:r w:rsidRPr="0083663B">
        <w:rPr>
          <w:color w:val="000000"/>
        </w:rPr>
        <w:t>Ask ten classicists who the Caryatids are and you will get, conservatively, fifteen answers.</w:t>
      </w:r>
      <w:r w:rsidR="00B5733F">
        <w:rPr>
          <w:color w:val="000000"/>
        </w:rPr>
        <w:t xml:space="preserve"> The most straightforward reading identifies </w:t>
      </w:r>
      <w:r w:rsidR="00B5733F" w:rsidRPr="00AB1638">
        <w:t>them as</w:t>
      </w:r>
      <w:r w:rsidR="00B5733F" w:rsidRPr="00AB1638">
        <w:rPr>
          <w:rFonts w:eastAsiaTheme="majorEastAsia"/>
        </w:rPr>
        <w:t> Korai</w:t>
      </w:r>
      <w:r w:rsidR="0023424A">
        <w:rPr>
          <w:rFonts w:eastAsiaTheme="majorEastAsia"/>
        </w:rPr>
        <w:t>,</w:t>
      </w:r>
      <w:r w:rsidR="00B5733F" w:rsidRPr="00AB1638">
        <w:t xml:space="preserve"> the generic category of idealized female figures common in Archaic and early Classical Greek art</w:t>
      </w:r>
      <w:r w:rsidR="0023424A">
        <w:t xml:space="preserve">, </w:t>
      </w:r>
      <w:r w:rsidR="00B5733F" w:rsidRPr="00AB1638">
        <w:t>deployed here for their visual and formal qualities rather than any specific identity.</w:t>
      </w:r>
      <w:r w:rsidR="0023424A">
        <w:rPr>
          <w:rStyle w:val="FootnoteReference"/>
        </w:rPr>
        <w:footnoteReference w:id="20"/>
      </w:r>
      <w:r w:rsidR="00B5733F" w:rsidRPr="00AB1638">
        <w:t xml:space="preserve"> A more contextually specific proposal identifies them as</w:t>
      </w:r>
      <w:r w:rsidR="00B5733F" w:rsidRPr="00AB1638">
        <w:rPr>
          <w:rFonts w:eastAsiaTheme="majorEastAsia"/>
        </w:rPr>
        <w:t> Arrephoroi</w:t>
      </w:r>
      <w:r w:rsidR="00B5733F" w:rsidRPr="00AB1638">
        <w:t>,</w:t>
      </w:r>
      <w:r w:rsidR="0023424A">
        <w:rPr>
          <w:rStyle w:val="FootnoteReference"/>
        </w:rPr>
        <w:footnoteReference w:id="21"/>
      </w:r>
      <w:r w:rsidR="00B5733F" w:rsidRPr="00AB1638">
        <w:t xml:space="preserve"> the young girls of noble Athenian family who served Athena Polias in a ritual capacity, living on the Acropolis and performing sacred duties including the weaving of the goddess's peplos. This identification has intuitive appeal given the figures' proximity to Athena's cult space and their evident civic </w:t>
      </w:r>
      <w:r w:rsidR="0023424A" w:rsidRPr="00AB1638">
        <w:t>respectability and</w:t>
      </w:r>
      <w:r w:rsidR="00B5733F" w:rsidRPr="00AB1638">
        <w:t xml:space="preserve"> has been supported by scholars including Dohan Morrow.</w:t>
      </w:r>
      <w:r w:rsidR="00274AA3">
        <w:rPr>
          <w:rStyle w:val="FootnoteReference"/>
        </w:rPr>
        <w:footnoteReference w:id="22"/>
      </w:r>
      <w:r w:rsidR="00B5733F" w:rsidRPr="00AB1638">
        <w:t xml:space="preserve"> </w:t>
      </w:r>
      <w:r w:rsidR="00B5733F">
        <w:rPr>
          <w:color w:val="000000"/>
        </w:rPr>
        <w:t>Ridgway</w:t>
      </w:r>
      <w:r w:rsidR="00274AA3">
        <w:rPr>
          <w:color w:val="000000"/>
        </w:rPr>
        <w:t xml:space="preserve"> </w:t>
      </w:r>
      <w:r w:rsidR="00B5733F">
        <w:rPr>
          <w:color w:val="000000"/>
        </w:rPr>
        <w:t>has argued that the search for a single specific identification may itself be misguided</w:t>
      </w:r>
      <w:r w:rsidR="00274AA3">
        <w:rPr>
          <w:color w:val="000000"/>
        </w:rPr>
        <w:t>.</w:t>
      </w:r>
      <w:r w:rsidR="00A85F4B">
        <w:rPr>
          <w:rStyle w:val="FootnoteReference"/>
          <w:color w:val="000000"/>
        </w:rPr>
        <w:footnoteReference w:id="23"/>
      </w:r>
      <w:r w:rsidR="00274AA3">
        <w:rPr>
          <w:color w:val="000000"/>
        </w:rPr>
        <w:t xml:space="preserve"> T</w:t>
      </w:r>
      <w:r w:rsidR="00B5733F">
        <w:rPr>
          <w:color w:val="000000"/>
        </w:rPr>
        <w:t>he figures operate at multiple levels simultaneously, functioning as architectural elements, as cult attendants, and as visual markers of the sacred ground beneath them, without resolving neatly into any one category.</w:t>
      </w:r>
    </w:p>
    <w:p w14:paraId="330ACEED" w14:textId="6EBAFC87" w:rsidR="00621068" w:rsidRDefault="00B5733F" w:rsidP="00B36354">
      <w:pPr>
        <w:pStyle w:val="font-claude-response-body"/>
        <w:spacing w:line="360" w:lineRule="auto"/>
        <w:ind w:firstLine="720"/>
        <w:rPr>
          <w:color w:val="000000"/>
        </w:rPr>
      </w:pPr>
      <w:r>
        <w:rPr>
          <w:color w:val="000000"/>
        </w:rPr>
        <w:t>What all of these readings share, however, is an acknowledgement that the choice to use figural supports at this particular spot directly over the tomb of Kekrops was not arbitrary. Whether the figures are read as priestesses, as generic idealized women, or as something more theologically specific, their placement encodes the sanctity of the ground they stand on. They are, in the most literal sense, guardians: bodies in marble performing the act of sacred watchfulness over Athens' first king. The Caryatid porch does not merely sit above Kekrops' tomb. It commemorates it, marks it, and makes it permanently visible in the architectural fabric of the Acropolis.</w:t>
      </w:r>
    </w:p>
    <w:p w14:paraId="1FB1C8DD" w14:textId="77777777" w:rsidR="00621068" w:rsidRPr="00AB1638" w:rsidRDefault="00621068" w:rsidP="00B36354">
      <w:pPr>
        <w:pStyle w:val="font-claude-response-body"/>
        <w:spacing w:line="360" w:lineRule="auto"/>
        <w:ind w:firstLine="720"/>
        <w:rPr>
          <w:color w:val="000000"/>
        </w:rPr>
      </w:pPr>
      <w:r w:rsidRPr="00AB1638">
        <w:rPr>
          <w:color w:val="000000"/>
        </w:rPr>
        <w:t xml:space="preserve">No building on the Acropolis has generated quite so much scholarly disagreement as the Erechtheion, which is saying something given the competition. The debates surrounding it touch on questions of chronology, function, politics, and iconography, and while some have moved </w:t>
      </w:r>
      <w:r w:rsidRPr="00AB1638">
        <w:rPr>
          <w:color w:val="000000"/>
        </w:rPr>
        <w:lastRenderedPageBreak/>
        <w:t>toward resolution over the past century of scholarship, others remain productively open. What follows is a map of the major fault lines.</w:t>
      </w:r>
    </w:p>
    <w:p w14:paraId="02739903" w14:textId="59A8D3DD" w:rsidR="00621068" w:rsidRPr="00AB1638" w:rsidRDefault="00621068" w:rsidP="00B36354">
      <w:pPr>
        <w:pStyle w:val="font-claude-response-body"/>
        <w:spacing w:line="360" w:lineRule="auto"/>
        <w:ind w:firstLine="720"/>
        <w:rPr>
          <w:color w:val="000000"/>
        </w:rPr>
      </w:pPr>
      <w:r w:rsidRPr="00AB1638">
        <w:rPr>
          <w:color w:val="000000"/>
        </w:rPr>
        <w:t>The most foundational debate concerns</w:t>
      </w:r>
      <w:r w:rsidRPr="00AB1638">
        <w:rPr>
          <w:rStyle w:val="apple-converted-space"/>
          <w:rFonts w:eastAsiaTheme="majorEastAsia"/>
          <w:color w:val="000000"/>
        </w:rPr>
        <w:t> </w:t>
      </w:r>
      <w:r w:rsidRPr="00AB1638">
        <w:rPr>
          <w:rFonts w:eastAsiaTheme="majorEastAsia"/>
        </w:rPr>
        <w:t>dating and construction phasing</w:t>
      </w:r>
      <w:r w:rsidRPr="00AB1638">
        <w:t>. The</w:t>
      </w:r>
      <w:r w:rsidRPr="00AB1638">
        <w:rPr>
          <w:color w:val="000000"/>
        </w:rPr>
        <w:t xml:space="preserve"> broad outlines are agreed upon: the Erechtheion was begun sometime around 421 BCE, construction was interrupted</w:t>
      </w:r>
      <w:r w:rsidR="00A85F4B">
        <w:rPr>
          <w:color w:val="000000"/>
        </w:rPr>
        <w:t>,</w:t>
      </w:r>
      <w:r w:rsidRPr="00AB1638">
        <w:rPr>
          <w:color w:val="000000"/>
        </w:rPr>
        <w:t xml:space="preserve"> </w:t>
      </w:r>
      <w:r w:rsidR="00A85F4B">
        <w:rPr>
          <w:color w:val="000000"/>
        </w:rPr>
        <w:t>likely</w:t>
      </w:r>
      <w:r w:rsidRPr="00AB1638">
        <w:rPr>
          <w:color w:val="000000"/>
        </w:rPr>
        <w:t xml:space="preserve"> by the resumption of the Peloponnesian War following the collapse of the Peace of Nikias</w:t>
      </w:r>
      <w:r w:rsidR="00A85F4B">
        <w:rPr>
          <w:color w:val="000000"/>
        </w:rPr>
        <w:t>,</w:t>
      </w:r>
      <w:r w:rsidRPr="00AB1638">
        <w:rPr>
          <w:color w:val="000000"/>
        </w:rPr>
        <w:t xml:space="preserve"> and the building was completed around 406 BCE, just a few years before Athens' catastrophic defeat at the hands of Sparta. Dinsmoor's early twentieth-century analysis established much of the chronological framework that subsequent scholars have worked within.</w:t>
      </w:r>
      <w:r w:rsidR="00967E00">
        <w:rPr>
          <w:rStyle w:val="FootnoteReference"/>
          <w:color w:val="000000"/>
        </w:rPr>
        <w:footnoteReference w:id="24"/>
      </w:r>
      <w:r w:rsidRPr="00AB1638">
        <w:rPr>
          <w:color w:val="000000"/>
        </w:rPr>
        <w:t xml:space="preserve"> The building inscription, which dates to the final phase of construction in the 408–406 period, documents the completion of a building that had clearly been standing incomplete for some years, and scholars have debated which elements belong to the original </w:t>
      </w:r>
      <w:r w:rsidR="00A85F4B">
        <w:rPr>
          <w:color w:val="000000"/>
        </w:rPr>
        <w:t xml:space="preserve">building </w:t>
      </w:r>
      <w:r w:rsidRPr="00AB1638">
        <w:rPr>
          <w:color w:val="000000"/>
        </w:rPr>
        <w:t xml:space="preserve">campaign and which to the </w:t>
      </w:r>
      <w:r w:rsidR="00A85F4B">
        <w:rPr>
          <w:color w:val="000000"/>
        </w:rPr>
        <w:t>restart</w:t>
      </w:r>
      <w:r w:rsidRPr="00AB1638">
        <w:rPr>
          <w:color w:val="000000"/>
        </w:rPr>
        <w:t>.</w:t>
      </w:r>
      <w:r w:rsidR="00967E00">
        <w:rPr>
          <w:rStyle w:val="FootnoteReference"/>
          <w:color w:val="000000"/>
        </w:rPr>
        <w:footnoteReference w:id="25"/>
      </w:r>
      <w:r w:rsidRPr="00AB1638">
        <w:rPr>
          <w:color w:val="000000"/>
        </w:rPr>
        <w:t xml:space="preserve"> </w:t>
      </w:r>
      <w:r w:rsidR="00A85F4B">
        <w:rPr>
          <w:color w:val="000000"/>
        </w:rPr>
        <w:t>Though this debate may seem</w:t>
      </w:r>
      <w:r w:rsidR="00D019B9">
        <w:rPr>
          <w:color w:val="000000"/>
        </w:rPr>
        <w:t xml:space="preserve"> a little fussy it brings up an important question:</w:t>
      </w:r>
      <w:r w:rsidRPr="00AB1638">
        <w:rPr>
          <w:color w:val="000000"/>
        </w:rPr>
        <w:t xml:space="preserve"> if different sections of the building belong to different phases</w:t>
      </w:r>
      <w:r w:rsidR="00D019B9">
        <w:rPr>
          <w:color w:val="000000"/>
        </w:rPr>
        <w:t xml:space="preserve"> was there a</w:t>
      </w:r>
      <w:r w:rsidRPr="00AB1638">
        <w:rPr>
          <w:color w:val="000000"/>
        </w:rPr>
        <w:t xml:space="preserve"> unified architectural vision</w:t>
      </w:r>
      <w:r w:rsidR="00D019B9">
        <w:rPr>
          <w:color w:val="000000"/>
        </w:rPr>
        <w:t>?</w:t>
      </w:r>
      <w:r w:rsidRPr="00AB1638">
        <w:rPr>
          <w:color w:val="000000"/>
        </w:rPr>
        <w:t xml:space="preserve"> Most recent scholarship, including Hurwit's synthesis, has tended toward reading the building as fundamentally coherent in conception even if interrupted in execution</w:t>
      </w:r>
      <w:r w:rsidR="00D019B9">
        <w:rPr>
          <w:color w:val="000000"/>
        </w:rPr>
        <w:t>, just t</w:t>
      </w:r>
      <w:r w:rsidRPr="00AB1638">
        <w:rPr>
          <w:color w:val="000000"/>
        </w:rPr>
        <w:t>wo separate building campaigns working at cross purposes.</w:t>
      </w:r>
      <w:r w:rsidR="00967E00">
        <w:rPr>
          <w:rStyle w:val="FootnoteReference"/>
          <w:color w:val="000000"/>
        </w:rPr>
        <w:footnoteReference w:id="26"/>
      </w:r>
    </w:p>
    <w:p w14:paraId="0DC5BE3D" w14:textId="11B959C2" w:rsidR="005D6E43" w:rsidRPr="005D6E43" w:rsidRDefault="0083663B" w:rsidP="00B36354">
      <w:pPr>
        <w:pStyle w:val="font-claude-response-body"/>
        <w:spacing w:line="360" w:lineRule="auto"/>
        <w:ind w:firstLine="720"/>
        <w:rPr>
          <w:color w:val="000000"/>
        </w:rPr>
      </w:pPr>
      <w:r w:rsidRPr="0083663B">
        <w:rPr>
          <w:color w:val="000000"/>
        </w:rPr>
        <w:t>Chronology and spatial arrangements are productive puzzles, but they pale beside the most charged question of all</w:t>
      </w:r>
      <w:r w:rsidRPr="0083663B">
        <w:rPr>
          <w:color w:val="000000"/>
        </w:rPr>
        <w:t xml:space="preserve">: </w:t>
      </w:r>
      <w:r w:rsidRPr="0083663B">
        <w:rPr>
          <w:color w:val="000000"/>
        </w:rPr>
        <w:t>what was the Erechtheion actually arguing?</w:t>
      </w:r>
      <w:r w:rsidR="00621068" w:rsidRPr="0083663B">
        <w:rPr>
          <w:color w:val="000000"/>
        </w:rPr>
        <w:t xml:space="preserve"> The building was begun in the aftermath of Pericles' death and completed in the shadow of Athens'</w:t>
      </w:r>
      <w:r w:rsidR="00621068" w:rsidRPr="00AB1638">
        <w:rPr>
          <w:color w:val="000000"/>
        </w:rPr>
        <w:t xml:space="preserve"> defeat, a period of intense civic stress during which questions of Athenian identity, democratic legitimacy, and the relationship between old aristocratic traditions and newer democratic ones were very much alive. Robert Parker, in his essential study of Athenian religion, has drawn attention to the way the Erechtheion's cultic program negotiates between different strands of Athenian religious and civic identity: the cult of Athena Polias represents the ancient, pan-Athenian civic religion, while the cult of Erechtheus-Poseidon is bound up with older</w:t>
      </w:r>
      <w:r w:rsidR="00BD4C10">
        <w:rPr>
          <w:color w:val="000000"/>
        </w:rPr>
        <w:t xml:space="preserve"> civic identity</w:t>
      </w:r>
      <w:r w:rsidR="00621068" w:rsidRPr="00AB1638">
        <w:rPr>
          <w:color w:val="000000"/>
        </w:rPr>
        <w:t>.</w:t>
      </w:r>
      <w:r w:rsidR="00967E00">
        <w:rPr>
          <w:rStyle w:val="FootnoteReference"/>
          <w:color w:val="000000"/>
        </w:rPr>
        <w:footnoteReference w:id="27"/>
      </w:r>
      <w:r w:rsidR="00621068" w:rsidRPr="00AB1638">
        <w:rPr>
          <w:color w:val="000000"/>
        </w:rPr>
        <w:t xml:space="preserve"> Housing both cults under </w:t>
      </w:r>
      <w:r w:rsidR="00621068" w:rsidRPr="00AB1638">
        <w:rPr>
          <w:color w:val="000000"/>
        </w:rPr>
        <w:lastRenderedPageBreak/>
        <w:t>the same roof, in this reading, is not merely a practical accommodation of pre-existing sacred spots but a deliberate political statement about the inclusivity of Athenian civic identity.</w:t>
      </w:r>
    </w:p>
    <w:p w14:paraId="020DE22F" w14:textId="347E7A13" w:rsidR="00621068" w:rsidRDefault="00621068" w:rsidP="00B36354">
      <w:pPr>
        <w:pStyle w:val="font-claude-response-body"/>
        <w:spacing w:line="360" w:lineRule="auto"/>
        <w:ind w:firstLine="720"/>
        <w:rPr>
          <w:color w:val="000000"/>
        </w:rPr>
      </w:pPr>
      <w:r>
        <w:rPr>
          <w:color w:val="000000"/>
        </w:rPr>
        <w:t>Athena and Poseidon never really resolved their dispute. That, in a sense, is the point. The contest for Athens ended with a winner and a loser, but the ground on which it was fought remained contested physically, religiously, and architecturally for centuries afterward. The Erechtheion is the monument to that irresolution: a building that could not simply celebrate Athena's victory because it was also obligated to acknowledge Poseidon's claim, could not ignore Erechtheus because he was buried beneath it, could not relocate the olive tree because it was Athena's gift, could not pave over the trident mark because it was divine evidence. The result is a building that wears its obligations on its sleeve or rather, in its plan, its porches, its split levels, and its extraordinary figural columns.</w:t>
      </w:r>
    </w:p>
    <w:p w14:paraId="69AAE91B" w14:textId="7A57C7CC" w:rsidR="00621068" w:rsidRDefault="00621068" w:rsidP="00B36354">
      <w:pPr>
        <w:pStyle w:val="font-claude-response-body"/>
        <w:spacing w:line="360" w:lineRule="auto"/>
        <w:ind w:firstLine="720"/>
        <w:rPr>
          <w:color w:val="000000"/>
        </w:rPr>
      </w:pPr>
      <w:r>
        <w:rPr>
          <w:color w:val="000000"/>
        </w:rPr>
        <w:t xml:space="preserve">This paper has argued that the Erechtheion's anomalous form is best understood not as architectural compromise but as architectural consequence. The sacred topography of the northern Acropolis </w:t>
      </w:r>
      <w:r w:rsidR="00A85F4B">
        <w:rPr>
          <w:color w:val="000000"/>
        </w:rPr>
        <w:t xml:space="preserve">including </w:t>
      </w:r>
      <w:r>
        <w:rPr>
          <w:color w:val="000000"/>
        </w:rPr>
        <w:t>the salt spring, the trident mark, the tomb of Kekrops, the Pandrosion and its olive tree</w:t>
      </w:r>
      <w:r w:rsidR="00A85F4B">
        <w:rPr>
          <w:color w:val="000000"/>
        </w:rPr>
        <w:t xml:space="preserve"> all</w:t>
      </w:r>
      <w:r>
        <w:rPr>
          <w:color w:val="000000"/>
        </w:rPr>
        <w:t xml:space="preserve"> preceded the building and shaped it at every turn, producing a structure whose departures from conventional form map directly onto specific religious obligations that the architects could neither ignore nor redesign away. The building inscription confirms the complexity of what was being navigated. Pausanias confirms that the sacred features were still present, still venerated, still legible as divine evidence centuries after construction. The Caryatid figures confirm that even the choice of architectural support was inflected by the sanctity of the ground being stood upon. </w:t>
      </w:r>
    </w:p>
    <w:p w14:paraId="5CBDAE50" w14:textId="5E5A11EE" w:rsidR="00621068" w:rsidRDefault="00621068" w:rsidP="00B36354">
      <w:pPr>
        <w:pStyle w:val="font-claude-response-body"/>
        <w:spacing w:line="360" w:lineRule="auto"/>
        <w:ind w:firstLine="720"/>
        <w:rPr>
          <w:color w:val="000000"/>
        </w:rPr>
      </w:pPr>
      <w:r>
        <w:rPr>
          <w:color w:val="000000"/>
        </w:rPr>
        <w:t xml:space="preserve">The broader implication is worth sitting with for a moment. The Erechtheion is an unusually vivid example of something that was, in fact, widely true of Greek sacred space: sanctity was located before it was built upon. The gods and heroes of the Greek world left traces </w:t>
      </w:r>
      <w:r w:rsidR="00A85F4B">
        <w:rPr>
          <w:color w:val="000000"/>
        </w:rPr>
        <w:t>like</w:t>
      </w:r>
      <w:r>
        <w:rPr>
          <w:color w:val="000000"/>
        </w:rPr>
        <w:t xml:space="preserve"> springs, marks, tombs, </w:t>
      </w:r>
      <w:r w:rsidR="00A85F4B">
        <w:rPr>
          <w:color w:val="000000"/>
        </w:rPr>
        <w:t xml:space="preserve">and </w:t>
      </w:r>
      <w:r>
        <w:rPr>
          <w:color w:val="000000"/>
        </w:rPr>
        <w:t>trees</w:t>
      </w:r>
      <w:r w:rsidR="00A85F4B">
        <w:rPr>
          <w:color w:val="000000"/>
        </w:rPr>
        <w:t>. T</w:t>
      </w:r>
      <w:r>
        <w:rPr>
          <w:color w:val="000000"/>
        </w:rPr>
        <w:t xml:space="preserve">hose traces generated obligations that accumulated over time, layering meaning onto specific patches of ground until the landscape itself became a kind of religious text. Buildings were one way of reading that text aloud, of making its meanings permanent and publicly visible. When the Athenians built the Erechtheion, they were not </w:t>
      </w:r>
      <w:r>
        <w:rPr>
          <w:color w:val="000000"/>
        </w:rPr>
        <w:lastRenderedPageBreak/>
        <w:t>imposing a new religious order on the northern Acropolis. They were transcribing one that already existed.</w:t>
      </w:r>
    </w:p>
    <w:p w14:paraId="73D52D6B" w14:textId="16B71667" w:rsidR="00621068" w:rsidRDefault="00621068" w:rsidP="00B36354">
      <w:pPr>
        <w:pStyle w:val="font-claude-response-body"/>
        <w:spacing w:line="360" w:lineRule="auto"/>
        <w:ind w:firstLine="720"/>
        <w:rPr>
          <w:color w:val="000000"/>
        </w:rPr>
      </w:pPr>
      <w:r>
        <w:rPr>
          <w:color w:val="000000"/>
        </w:rPr>
        <w:t>Which brings us back, inevitably, to Athena and Poseidon. The myth tells us that Athena won. The building tells us something more complicated: that in the religious imagination of the Athenians, winning was never quite the whole story. The salt spring is still there in the north porch. The trident mark is still framed by its open ceiling. Poseidon-Erechtheus still has his chamber, his cult, his place in the building's spatial logic. The Erechtheion did not resolve the contest between the two gods</w:t>
      </w:r>
      <w:r w:rsidR="00A85F4B">
        <w:rPr>
          <w:color w:val="000000"/>
        </w:rPr>
        <w:t>. The space instead</w:t>
      </w:r>
      <w:r>
        <w:rPr>
          <w:color w:val="000000"/>
        </w:rPr>
        <w:t xml:space="preserve"> </w:t>
      </w:r>
      <w:r w:rsidR="00A85F4B">
        <w:rPr>
          <w:color w:val="000000"/>
        </w:rPr>
        <w:t>institutionalized</w:t>
      </w:r>
      <w:r>
        <w:rPr>
          <w:color w:val="000000"/>
        </w:rPr>
        <w:t xml:space="preserve"> it, carved it in marble, and set it on the Acropolis for the whole city to see. If that is a compromise, it is one of the most architecturally eloquent compromises ever built.</w:t>
      </w:r>
    </w:p>
    <w:p w14:paraId="6C575F4C" w14:textId="77777777" w:rsidR="00621068" w:rsidRDefault="00621068" w:rsidP="00621068">
      <w:pPr>
        <w:spacing w:before="100" w:beforeAutospacing="1" w:after="100" w:afterAutospacing="1"/>
        <w:rPr>
          <w:color w:val="000000"/>
        </w:rPr>
      </w:pPr>
    </w:p>
    <w:p w14:paraId="529CB4F6" w14:textId="77777777" w:rsidR="00B36354" w:rsidRDefault="00B36354" w:rsidP="00621068">
      <w:pPr>
        <w:spacing w:before="100" w:beforeAutospacing="1" w:after="100" w:afterAutospacing="1"/>
        <w:rPr>
          <w:color w:val="000000"/>
        </w:rPr>
      </w:pPr>
    </w:p>
    <w:p w14:paraId="38440607" w14:textId="77777777" w:rsidR="00B36354" w:rsidRDefault="00B36354" w:rsidP="00621068">
      <w:pPr>
        <w:spacing w:before="100" w:beforeAutospacing="1" w:after="100" w:afterAutospacing="1"/>
        <w:rPr>
          <w:color w:val="000000"/>
        </w:rPr>
      </w:pPr>
    </w:p>
    <w:p w14:paraId="5FBDFE4A" w14:textId="77777777" w:rsidR="00B36354" w:rsidRDefault="00B36354" w:rsidP="00621068">
      <w:pPr>
        <w:spacing w:before="100" w:beforeAutospacing="1" w:after="100" w:afterAutospacing="1"/>
        <w:rPr>
          <w:color w:val="000000"/>
        </w:rPr>
      </w:pPr>
    </w:p>
    <w:p w14:paraId="74411C76" w14:textId="77777777" w:rsidR="00B36354" w:rsidRDefault="00B36354" w:rsidP="00621068">
      <w:pPr>
        <w:spacing w:before="100" w:beforeAutospacing="1" w:after="100" w:afterAutospacing="1"/>
        <w:rPr>
          <w:color w:val="000000"/>
        </w:rPr>
      </w:pPr>
    </w:p>
    <w:p w14:paraId="3E1CE8C1" w14:textId="77777777" w:rsidR="00B36354" w:rsidRDefault="00B36354" w:rsidP="00621068">
      <w:pPr>
        <w:spacing w:before="100" w:beforeAutospacing="1" w:after="100" w:afterAutospacing="1"/>
        <w:rPr>
          <w:color w:val="000000"/>
        </w:rPr>
      </w:pPr>
    </w:p>
    <w:p w14:paraId="609906A5" w14:textId="77777777" w:rsidR="00B36354" w:rsidRDefault="00B36354" w:rsidP="00621068">
      <w:pPr>
        <w:spacing w:before="100" w:beforeAutospacing="1" w:after="100" w:afterAutospacing="1"/>
        <w:rPr>
          <w:color w:val="000000"/>
        </w:rPr>
      </w:pPr>
    </w:p>
    <w:p w14:paraId="5B13BAD7" w14:textId="77777777" w:rsidR="00B36354" w:rsidRDefault="00B36354" w:rsidP="00621068">
      <w:pPr>
        <w:spacing w:before="100" w:beforeAutospacing="1" w:after="100" w:afterAutospacing="1"/>
        <w:rPr>
          <w:color w:val="000000"/>
        </w:rPr>
      </w:pPr>
    </w:p>
    <w:p w14:paraId="04190A43" w14:textId="77777777" w:rsidR="00B36354" w:rsidRDefault="00B36354" w:rsidP="00621068">
      <w:pPr>
        <w:spacing w:before="100" w:beforeAutospacing="1" w:after="100" w:afterAutospacing="1"/>
        <w:rPr>
          <w:color w:val="000000"/>
        </w:rPr>
      </w:pPr>
    </w:p>
    <w:p w14:paraId="7CD822F9" w14:textId="77777777" w:rsidR="00B36354" w:rsidRDefault="00B36354" w:rsidP="00621068">
      <w:pPr>
        <w:spacing w:before="100" w:beforeAutospacing="1" w:after="100" w:afterAutospacing="1"/>
        <w:rPr>
          <w:color w:val="000000"/>
        </w:rPr>
      </w:pPr>
    </w:p>
    <w:p w14:paraId="68FD286F" w14:textId="77777777" w:rsidR="00B36354" w:rsidRDefault="00B36354" w:rsidP="00621068">
      <w:pPr>
        <w:spacing w:before="100" w:beforeAutospacing="1" w:after="100" w:afterAutospacing="1"/>
        <w:rPr>
          <w:color w:val="000000"/>
        </w:rPr>
      </w:pPr>
    </w:p>
    <w:p w14:paraId="03E4E0C5" w14:textId="77777777" w:rsidR="00B36354" w:rsidRDefault="00B36354" w:rsidP="00621068">
      <w:pPr>
        <w:spacing w:before="100" w:beforeAutospacing="1" w:after="100" w:afterAutospacing="1"/>
        <w:rPr>
          <w:color w:val="000000"/>
        </w:rPr>
      </w:pPr>
    </w:p>
    <w:p w14:paraId="636849C4" w14:textId="77777777" w:rsidR="00B36354" w:rsidRDefault="00B36354" w:rsidP="00621068">
      <w:pPr>
        <w:spacing w:before="100" w:beforeAutospacing="1" w:after="100" w:afterAutospacing="1"/>
        <w:rPr>
          <w:color w:val="000000"/>
        </w:rPr>
      </w:pPr>
    </w:p>
    <w:p w14:paraId="408D3310" w14:textId="77777777" w:rsidR="00B36354" w:rsidRPr="005D6E43" w:rsidRDefault="00B36354" w:rsidP="00621068">
      <w:pPr>
        <w:spacing w:before="100" w:beforeAutospacing="1" w:after="100" w:afterAutospacing="1"/>
        <w:rPr>
          <w:color w:val="000000"/>
        </w:rPr>
      </w:pPr>
    </w:p>
    <w:p w14:paraId="23F9B4D4" w14:textId="07B8B228" w:rsidR="005D6E43" w:rsidRPr="005D6E43" w:rsidRDefault="005D6E43" w:rsidP="005D6E43"/>
    <w:p w14:paraId="191644C2" w14:textId="77777777" w:rsidR="00621068" w:rsidRPr="00A85F4B" w:rsidRDefault="00621068" w:rsidP="00B653BC">
      <w:pPr>
        <w:jc w:val="center"/>
      </w:pPr>
      <w:r w:rsidRPr="00A85F4B">
        <w:lastRenderedPageBreak/>
        <w:t>Bibliography</w:t>
      </w:r>
    </w:p>
    <w:p w14:paraId="435E40B3" w14:textId="77777777" w:rsidR="00A85F4B" w:rsidRDefault="00A85F4B" w:rsidP="00A85F4B">
      <w:pPr>
        <w:pStyle w:val="font-claude-response-body"/>
        <w:rPr>
          <w:color w:val="000000"/>
        </w:rPr>
      </w:pPr>
      <w:r>
        <w:rPr>
          <w:color w:val="000000"/>
        </w:rPr>
        <w:t>IG I³ 474–479.</w:t>
      </w:r>
      <w:r>
        <w:rPr>
          <w:rStyle w:val="apple-converted-space"/>
          <w:rFonts w:eastAsiaTheme="majorEastAsia"/>
          <w:color w:val="000000"/>
        </w:rPr>
        <w:t> </w:t>
      </w:r>
      <w:r>
        <w:rPr>
          <w:rStyle w:val="Emphasis"/>
          <w:rFonts w:eastAsiaTheme="majorEastAsia"/>
          <w:color w:val="000000"/>
        </w:rPr>
        <w:t>Inscriptiones Graecae.</w:t>
      </w:r>
      <w:r>
        <w:rPr>
          <w:rStyle w:val="apple-converted-space"/>
          <w:rFonts w:eastAsiaTheme="majorEastAsia"/>
          <w:color w:val="000000"/>
        </w:rPr>
        <w:t> </w:t>
      </w:r>
      <w:r>
        <w:rPr>
          <w:color w:val="000000"/>
        </w:rPr>
        <w:t>Berlin: de Gruyter.</w:t>
      </w:r>
    </w:p>
    <w:p w14:paraId="16E0A673" w14:textId="77777777" w:rsidR="00A85F4B" w:rsidRDefault="00A85F4B" w:rsidP="00621068">
      <w:pPr>
        <w:pStyle w:val="font-claude-response-body"/>
        <w:rPr>
          <w:color w:val="000000"/>
        </w:rPr>
      </w:pPr>
    </w:p>
    <w:p w14:paraId="26E65F9E" w14:textId="38F48009" w:rsidR="00621068" w:rsidRDefault="00621068" w:rsidP="00621068">
      <w:pPr>
        <w:pStyle w:val="font-claude-response-body"/>
        <w:rPr>
          <w:color w:val="000000"/>
        </w:rPr>
      </w:pPr>
      <w:r>
        <w:rPr>
          <w:color w:val="000000"/>
        </w:rPr>
        <w:t>Burkert, Walter.</w:t>
      </w:r>
      <w:r>
        <w:rPr>
          <w:rStyle w:val="apple-converted-space"/>
          <w:rFonts w:eastAsiaTheme="majorEastAsia"/>
          <w:color w:val="000000"/>
        </w:rPr>
        <w:t> </w:t>
      </w:r>
      <w:r>
        <w:rPr>
          <w:rStyle w:val="Emphasis"/>
          <w:rFonts w:eastAsiaTheme="majorEastAsia"/>
          <w:color w:val="000000"/>
        </w:rPr>
        <w:t>Greek Religion: Archaic and Classical.</w:t>
      </w:r>
      <w:r>
        <w:rPr>
          <w:rStyle w:val="apple-converted-space"/>
          <w:rFonts w:eastAsiaTheme="majorEastAsia"/>
          <w:color w:val="000000"/>
        </w:rPr>
        <w:t> </w:t>
      </w:r>
      <w:r>
        <w:rPr>
          <w:color w:val="000000"/>
        </w:rPr>
        <w:t xml:space="preserve">Translated by John Raffan. Oxford: </w:t>
      </w:r>
      <w:r w:rsidR="00B653BC">
        <w:rPr>
          <w:color w:val="000000"/>
        </w:rPr>
        <w:tab/>
      </w:r>
      <w:r>
        <w:rPr>
          <w:color w:val="000000"/>
        </w:rPr>
        <w:t>Blackwell, 1985.</w:t>
      </w:r>
    </w:p>
    <w:p w14:paraId="6EEEF9E7" w14:textId="77777777" w:rsidR="00621068" w:rsidRDefault="00621068" w:rsidP="00621068">
      <w:pPr>
        <w:pStyle w:val="font-claude-response-body"/>
        <w:rPr>
          <w:color w:val="000000"/>
        </w:rPr>
      </w:pPr>
      <w:r>
        <w:rPr>
          <w:color w:val="000000"/>
        </w:rPr>
        <w:t>Camp, John M.</w:t>
      </w:r>
      <w:r>
        <w:rPr>
          <w:rStyle w:val="apple-converted-space"/>
          <w:rFonts w:eastAsiaTheme="majorEastAsia"/>
          <w:color w:val="000000"/>
        </w:rPr>
        <w:t> </w:t>
      </w:r>
      <w:r>
        <w:rPr>
          <w:rStyle w:val="Emphasis"/>
          <w:rFonts w:eastAsiaTheme="majorEastAsia"/>
          <w:color w:val="000000"/>
        </w:rPr>
        <w:t>The Archaeology of Athens.</w:t>
      </w:r>
      <w:r>
        <w:rPr>
          <w:rStyle w:val="apple-converted-space"/>
          <w:rFonts w:eastAsiaTheme="majorEastAsia"/>
          <w:color w:val="000000"/>
        </w:rPr>
        <w:t> </w:t>
      </w:r>
      <w:r>
        <w:rPr>
          <w:color w:val="000000"/>
        </w:rPr>
        <w:t>New Haven: Yale University Press, 2001.</w:t>
      </w:r>
    </w:p>
    <w:p w14:paraId="60F5F406" w14:textId="153F45C9" w:rsidR="00621068" w:rsidRDefault="00621068" w:rsidP="00621068">
      <w:pPr>
        <w:pStyle w:val="font-claude-response-body"/>
        <w:rPr>
          <w:color w:val="000000"/>
        </w:rPr>
      </w:pPr>
      <w:r>
        <w:rPr>
          <w:color w:val="000000"/>
        </w:rPr>
        <w:t>Dinsmoor, William Bell.</w:t>
      </w:r>
      <w:r>
        <w:rPr>
          <w:rStyle w:val="apple-converted-space"/>
          <w:rFonts w:eastAsiaTheme="majorEastAsia"/>
          <w:color w:val="000000"/>
        </w:rPr>
        <w:t> </w:t>
      </w:r>
      <w:r>
        <w:rPr>
          <w:rStyle w:val="Emphasis"/>
          <w:rFonts w:eastAsiaTheme="majorEastAsia"/>
          <w:color w:val="000000"/>
        </w:rPr>
        <w:t xml:space="preserve">The Architecture of Ancient Greece: An Account of its Historic </w:t>
      </w:r>
      <w:r w:rsidR="00B653BC">
        <w:rPr>
          <w:rStyle w:val="Emphasis"/>
          <w:rFonts w:eastAsiaTheme="majorEastAsia"/>
          <w:color w:val="000000"/>
        </w:rPr>
        <w:tab/>
      </w:r>
      <w:r>
        <w:rPr>
          <w:rStyle w:val="Emphasis"/>
          <w:rFonts w:eastAsiaTheme="majorEastAsia"/>
          <w:color w:val="000000"/>
        </w:rPr>
        <w:t>Development.</w:t>
      </w:r>
      <w:r>
        <w:rPr>
          <w:rStyle w:val="apple-converted-space"/>
          <w:rFonts w:eastAsiaTheme="majorEastAsia"/>
          <w:color w:val="000000"/>
        </w:rPr>
        <w:t> </w:t>
      </w:r>
      <w:r>
        <w:rPr>
          <w:color w:val="000000"/>
        </w:rPr>
        <w:t>3rd ed. London: Batsford, 1950.</w:t>
      </w:r>
    </w:p>
    <w:p w14:paraId="569F739A" w14:textId="3764F3AE" w:rsidR="00621068" w:rsidRDefault="00621068" w:rsidP="00621068">
      <w:pPr>
        <w:pStyle w:val="font-claude-response-body"/>
        <w:rPr>
          <w:color w:val="000000"/>
        </w:rPr>
      </w:pPr>
      <w:r>
        <w:rPr>
          <w:color w:val="000000"/>
        </w:rPr>
        <w:t>Dohan Morrow, Katherine.</w:t>
      </w:r>
      <w:r>
        <w:rPr>
          <w:rStyle w:val="apple-converted-space"/>
          <w:rFonts w:eastAsiaTheme="majorEastAsia"/>
          <w:color w:val="000000"/>
        </w:rPr>
        <w:t> </w:t>
      </w:r>
      <w:r>
        <w:rPr>
          <w:rStyle w:val="Emphasis"/>
          <w:rFonts w:eastAsiaTheme="majorEastAsia"/>
          <w:color w:val="000000"/>
        </w:rPr>
        <w:t>Greek Footwear and the Dating of Sculpture.</w:t>
      </w:r>
      <w:r>
        <w:rPr>
          <w:rStyle w:val="apple-converted-space"/>
          <w:rFonts w:eastAsiaTheme="majorEastAsia"/>
          <w:color w:val="000000"/>
        </w:rPr>
        <w:t> </w:t>
      </w:r>
      <w:r>
        <w:rPr>
          <w:color w:val="000000"/>
        </w:rPr>
        <w:t xml:space="preserve">Madison: University of </w:t>
      </w:r>
      <w:r w:rsidR="00B653BC">
        <w:rPr>
          <w:color w:val="000000"/>
        </w:rPr>
        <w:tab/>
      </w:r>
      <w:r>
        <w:rPr>
          <w:color w:val="000000"/>
        </w:rPr>
        <w:t>Wisconsin Press, 1985.</w:t>
      </w:r>
    </w:p>
    <w:p w14:paraId="3E22CA97" w14:textId="36E534E0" w:rsidR="00621068" w:rsidRDefault="00621068" w:rsidP="00621068">
      <w:pPr>
        <w:pStyle w:val="font-claude-response-body"/>
        <w:rPr>
          <w:color w:val="000000"/>
        </w:rPr>
      </w:pPr>
      <w:r>
        <w:rPr>
          <w:color w:val="000000"/>
        </w:rPr>
        <w:t>Emerson, Mary.</w:t>
      </w:r>
      <w:r>
        <w:rPr>
          <w:rStyle w:val="apple-converted-space"/>
          <w:rFonts w:eastAsiaTheme="majorEastAsia"/>
          <w:color w:val="000000"/>
        </w:rPr>
        <w:t> </w:t>
      </w:r>
      <w:r>
        <w:rPr>
          <w:rStyle w:val="Emphasis"/>
          <w:rFonts w:eastAsiaTheme="majorEastAsia"/>
          <w:color w:val="000000"/>
        </w:rPr>
        <w:t>Greek Sanctuaries and Temple Architecture: An Introduction.</w:t>
      </w:r>
      <w:r>
        <w:rPr>
          <w:rStyle w:val="apple-converted-space"/>
          <w:rFonts w:eastAsiaTheme="majorEastAsia"/>
          <w:color w:val="000000"/>
        </w:rPr>
        <w:t> </w:t>
      </w:r>
      <w:r>
        <w:rPr>
          <w:color w:val="000000"/>
        </w:rPr>
        <w:t xml:space="preserve">London: </w:t>
      </w:r>
      <w:r w:rsidR="00B653BC">
        <w:rPr>
          <w:color w:val="000000"/>
        </w:rPr>
        <w:tab/>
      </w:r>
      <w:r>
        <w:rPr>
          <w:color w:val="000000"/>
        </w:rPr>
        <w:t>Bloomsbury, 2007.</w:t>
      </w:r>
    </w:p>
    <w:p w14:paraId="32041A1D" w14:textId="6FD96250" w:rsidR="00F606AA" w:rsidRDefault="00621068" w:rsidP="00621068">
      <w:pPr>
        <w:pStyle w:val="font-claude-response-body"/>
        <w:rPr>
          <w:color w:val="000000"/>
        </w:rPr>
      </w:pPr>
      <w:r>
        <w:rPr>
          <w:color w:val="000000"/>
        </w:rPr>
        <w:t>Hurwit, Jeffrey M.</w:t>
      </w:r>
      <w:r>
        <w:rPr>
          <w:rStyle w:val="apple-converted-space"/>
          <w:rFonts w:eastAsiaTheme="majorEastAsia"/>
          <w:color w:val="000000"/>
        </w:rPr>
        <w:t> </w:t>
      </w:r>
      <w:r>
        <w:rPr>
          <w:rStyle w:val="Emphasis"/>
          <w:rFonts w:eastAsiaTheme="majorEastAsia"/>
          <w:color w:val="000000"/>
        </w:rPr>
        <w:t xml:space="preserve">The Athenian Acropolis: History, Mythology, and Archaeology from the </w:t>
      </w:r>
      <w:r w:rsidR="00B653BC">
        <w:rPr>
          <w:rStyle w:val="Emphasis"/>
          <w:rFonts w:eastAsiaTheme="majorEastAsia"/>
          <w:color w:val="000000"/>
        </w:rPr>
        <w:tab/>
      </w:r>
      <w:r>
        <w:rPr>
          <w:rStyle w:val="Emphasis"/>
          <w:rFonts w:eastAsiaTheme="majorEastAsia"/>
          <w:color w:val="000000"/>
        </w:rPr>
        <w:t>Neolithic Era to the Present.</w:t>
      </w:r>
      <w:r>
        <w:rPr>
          <w:color w:val="000000"/>
        </w:rPr>
        <w:t>Cambridge: Cambridge University Press, 1999.</w:t>
      </w:r>
      <w:r w:rsidR="00B653BC">
        <w:rPr>
          <w:color w:val="000000"/>
        </w:rPr>
        <w:tab/>
      </w:r>
    </w:p>
    <w:p w14:paraId="3089E48A" w14:textId="0B6033AB" w:rsidR="00F606AA" w:rsidRDefault="00F606AA" w:rsidP="00621068">
      <w:pPr>
        <w:pStyle w:val="font-claude-response-body"/>
        <w:rPr>
          <w:color w:val="000000"/>
        </w:rPr>
      </w:pPr>
      <w:r w:rsidRPr="00F606AA">
        <w:rPr>
          <w:color w:val="000000"/>
        </w:rPr>
        <w:t>Jeppesen, Kristian. "Where Was the So-Called Erechtheion?"</w:t>
      </w:r>
      <w:r w:rsidRPr="00F606AA">
        <w:rPr>
          <w:rStyle w:val="apple-converted-space"/>
          <w:rFonts w:eastAsiaTheme="majorEastAsia"/>
          <w:color w:val="000000"/>
        </w:rPr>
        <w:t> </w:t>
      </w:r>
      <w:r w:rsidRPr="00F606AA">
        <w:rPr>
          <w:rStyle w:val="Emphasis"/>
          <w:rFonts w:eastAsiaTheme="majorEastAsia"/>
          <w:color w:val="000000"/>
        </w:rPr>
        <w:t xml:space="preserve">American Journal of </w:t>
      </w:r>
      <w:r>
        <w:rPr>
          <w:rStyle w:val="Emphasis"/>
          <w:rFonts w:eastAsiaTheme="majorEastAsia"/>
          <w:color w:val="000000"/>
        </w:rPr>
        <w:tab/>
      </w:r>
      <w:r w:rsidRPr="00F606AA">
        <w:rPr>
          <w:rStyle w:val="Emphasis"/>
          <w:rFonts w:eastAsiaTheme="majorEastAsia"/>
          <w:color w:val="000000"/>
        </w:rPr>
        <w:t>Archaeology</w:t>
      </w:r>
      <w:r w:rsidRPr="00F606AA">
        <w:rPr>
          <w:rStyle w:val="apple-converted-space"/>
          <w:rFonts w:eastAsiaTheme="majorEastAsia"/>
          <w:color w:val="000000"/>
        </w:rPr>
        <w:t> </w:t>
      </w:r>
      <w:r w:rsidRPr="00F606AA">
        <w:rPr>
          <w:color w:val="000000"/>
        </w:rPr>
        <w:t>83 (1979): 381–394.</w:t>
      </w:r>
    </w:p>
    <w:p w14:paraId="12AEA4FF" w14:textId="430FE124" w:rsidR="00F606AA" w:rsidRPr="00F606AA" w:rsidRDefault="00F606AA" w:rsidP="00621068">
      <w:pPr>
        <w:pStyle w:val="font-claude-response-body"/>
        <w:rPr>
          <w:color w:val="000000"/>
        </w:rPr>
      </w:pPr>
      <w:r w:rsidRPr="00F606AA">
        <w:rPr>
          <w:color w:val="000000"/>
        </w:rPr>
        <w:t xml:space="preserve">Jeppesen, Kristian. </w:t>
      </w:r>
      <w:r w:rsidRPr="00F606AA">
        <w:rPr>
          <w:rStyle w:val="Emphasis"/>
          <w:rFonts w:eastAsiaTheme="majorEastAsia"/>
          <w:color w:val="000000"/>
        </w:rPr>
        <w:t>The Theory of the Alternative Erechtheion.</w:t>
      </w:r>
      <w:r w:rsidRPr="00F606AA">
        <w:rPr>
          <w:rStyle w:val="apple-converted-space"/>
          <w:rFonts w:eastAsiaTheme="majorEastAsia"/>
          <w:color w:val="000000"/>
        </w:rPr>
        <w:t> </w:t>
      </w:r>
      <w:r w:rsidRPr="00F606AA">
        <w:rPr>
          <w:color w:val="000000"/>
        </w:rPr>
        <w:t xml:space="preserve">Aarhus: Aarhus University Press, </w:t>
      </w:r>
      <w:r>
        <w:rPr>
          <w:color w:val="000000"/>
        </w:rPr>
        <w:tab/>
      </w:r>
      <w:r w:rsidRPr="00F606AA">
        <w:rPr>
          <w:color w:val="000000"/>
        </w:rPr>
        <w:t>1987.</w:t>
      </w:r>
    </w:p>
    <w:p w14:paraId="5781F688" w14:textId="626AA6B2" w:rsidR="00621068" w:rsidRDefault="00621068" w:rsidP="00621068">
      <w:pPr>
        <w:pStyle w:val="font-claude-response-body"/>
        <w:rPr>
          <w:color w:val="000000"/>
        </w:rPr>
      </w:pPr>
      <w:r>
        <w:rPr>
          <w:color w:val="000000"/>
        </w:rPr>
        <w:t>Loraux, Nicole.</w:t>
      </w:r>
      <w:r>
        <w:rPr>
          <w:rStyle w:val="apple-converted-space"/>
          <w:rFonts w:eastAsiaTheme="majorEastAsia"/>
          <w:color w:val="000000"/>
        </w:rPr>
        <w:t> </w:t>
      </w:r>
      <w:r>
        <w:rPr>
          <w:rStyle w:val="Emphasis"/>
          <w:rFonts w:eastAsiaTheme="majorEastAsia"/>
          <w:color w:val="000000"/>
        </w:rPr>
        <w:t xml:space="preserve">The Children of Athena: Athenian Ideas about Citizenship and the Division </w:t>
      </w:r>
      <w:r w:rsidR="00B653BC">
        <w:rPr>
          <w:rStyle w:val="Emphasis"/>
          <w:rFonts w:eastAsiaTheme="majorEastAsia"/>
          <w:color w:val="000000"/>
        </w:rPr>
        <w:tab/>
      </w:r>
      <w:r>
        <w:rPr>
          <w:rStyle w:val="Emphasis"/>
          <w:rFonts w:eastAsiaTheme="majorEastAsia"/>
          <w:color w:val="000000"/>
        </w:rPr>
        <w:t>between the Sexes.</w:t>
      </w:r>
      <w:r>
        <w:rPr>
          <w:rStyle w:val="apple-converted-space"/>
          <w:rFonts w:eastAsiaTheme="majorEastAsia"/>
          <w:color w:val="000000"/>
        </w:rPr>
        <w:t> </w:t>
      </w:r>
      <w:r>
        <w:rPr>
          <w:color w:val="000000"/>
        </w:rPr>
        <w:t xml:space="preserve">Translated by Caroline Levine. Princeton: Princeton University Press, </w:t>
      </w:r>
      <w:r w:rsidR="00B653BC">
        <w:rPr>
          <w:color w:val="000000"/>
        </w:rPr>
        <w:tab/>
      </w:r>
      <w:r>
        <w:rPr>
          <w:color w:val="000000"/>
        </w:rPr>
        <w:t>1993.</w:t>
      </w:r>
    </w:p>
    <w:p w14:paraId="2FDB962D" w14:textId="11305EFC" w:rsidR="00621068" w:rsidRDefault="00B653BC" w:rsidP="00621068">
      <w:pPr>
        <w:pStyle w:val="font-claude-response-body"/>
        <w:rPr>
          <w:color w:val="000000"/>
        </w:rPr>
      </w:pPr>
      <w:r>
        <w:rPr>
          <w:color w:val="000000"/>
        </w:rPr>
        <w:t>Loraux, Nicole</w:t>
      </w:r>
      <w:r w:rsidR="00621068">
        <w:rPr>
          <w:color w:val="000000"/>
        </w:rPr>
        <w:t>.</w:t>
      </w:r>
      <w:r w:rsidR="00621068">
        <w:rPr>
          <w:rStyle w:val="apple-converted-space"/>
          <w:rFonts w:eastAsiaTheme="majorEastAsia"/>
          <w:color w:val="000000"/>
        </w:rPr>
        <w:t> </w:t>
      </w:r>
      <w:r w:rsidR="00621068">
        <w:rPr>
          <w:rStyle w:val="Emphasis"/>
          <w:rFonts w:eastAsiaTheme="majorEastAsia"/>
          <w:color w:val="000000"/>
        </w:rPr>
        <w:t>The Invention of Athens: The Funeral Oration in the Classical City.</w:t>
      </w:r>
      <w:r w:rsidR="00621068">
        <w:rPr>
          <w:rStyle w:val="apple-converted-space"/>
          <w:rFonts w:eastAsiaTheme="majorEastAsia"/>
          <w:color w:val="000000"/>
        </w:rPr>
        <w:t> </w:t>
      </w:r>
      <w:r w:rsidR="00621068">
        <w:rPr>
          <w:color w:val="000000"/>
        </w:rPr>
        <w:t xml:space="preserve">Translated </w:t>
      </w:r>
      <w:r>
        <w:rPr>
          <w:color w:val="000000"/>
        </w:rPr>
        <w:tab/>
      </w:r>
      <w:r w:rsidR="00621068">
        <w:rPr>
          <w:color w:val="000000"/>
        </w:rPr>
        <w:t>by Alan Sheridan. Cambridge, MA: Harvard University Press, 1986.</w:t>
      </w:r>
    </w:p>
    <w:p w14:paraId="161CFCDD" w14:textId="77777777" w:rsidR="00621068" w:rsidRDefault="00621068" w:rsidP="00621068">
      <w:pPr>
        <w:pStyle w:val="font-claude-response-body"/>
        <w:rPr>
          <w:color w:val="000000"/>
        </w:rPr>
      </w:pPr>
      <w:r>
        <w:rPr>
          <w:color w:val="000000"/>
        </w:rPr>
        <w:t>Parker, Robert.</w:t>
      </w:r>
      <w:r>
        <w:rPr>
          <w:rStyle w:val="apple-converted-space"/>
          <w:rFonts w:eastAsiaTheme="majorEastAsia"/>
          <w:color w:val="000000"/>
        </w:rPr>
        <w:t> </w:t>
      </w:r>
      <w:r>
        <w:rPr>
          <w:rStyle w:val="Emphasis"/>
          <w:rFonts w:eastAsiaTheme="majorEastAsia"/>
          <w:color w:val="000000"/>
        </w:rPr>
        <w:t>Athenian Religion: A History.</w:t>
      </w:r>
      <w:r>
        <w:rPr>
          <w:rStyle w:val="apple-converted-space"/>
          <w:rFonts w:eastAsiaTheme="majorEastAsia"/>
          <w:color w:val="000000"/>
        </w:rPr>
        <w:t> </w:t>
      </w:r>
      <w:r>
        <w:rPr>
          <w:color w:val="000000"/>
        </w:rPr>
        <w:t>Oxford: Clarendon Press, 1996.</w:t>
      </w:r>
    </w:p>
    <w:p w14:paraId="048A935D" w14:textId="692E69CC" w:rsidR="00A85F4B" w:rsidRDefault="00A85F4B" w:rsidP="00621068">
      <w:pPr>
        <w:pStyle w:val="font-claude-response-body"/>
        <w:rPr>
          <w:color w:val="000000"/>
        </w:rPr>
      </w:pPr>
      <w:r>
        <w:rPr>
          <w:color w:val="000000"/>
        </w:rPr>
        <w:t>Pausanias.</w:t>
      </w:r>
      <w:r>
        <w:rPr>
          <w:rStyle w:val="apple-converted-space"/>
          <w:rFonts w:eastAsiaTheme="majorEastAsia"/>
          <w:color w:val="000000"/>
        </w:rPr>
        <w:t> </w:t>
      </w:r>
      <w:r>
        <w:rPr>
          <w:rStyle w:val="Emphasis"/>
          <w:rFonts w:eastAsiaTheme="majorEastAsia"/>
          <w:color w:val="000000"/>
        </w:rPr>
        <w:t>Description of Greece.</w:t>
      </w:r>
      <w:r>
        <w:rPr>
          <w:rStyle w:val="apple-converted-space"/>
          <w:rFonts w:eastAsiaTheme="majorEastAsia"/>
          <w:color w:val="000000"/>
        </w:rPr>
        <w:t> </w:t>
      </w:r>
      <w:r>
        <w:rPr>
          <w:color w:val="000000"/>
        </w:rPr>
        <w:t xml:space="preserve">Translated by W.H.S. Jones. Loeb Classical Library. </w:t>
      </w:r>
      <w:r>
        <w:rPr>
          <w:color w:val="000000"/>
        </w:rPr>
        <w:tab/>
      </w:r>
      <w:r>
        <w:rPr>
          <w:color w:val="000000"/>
        </w:rPr>
        <w:t>Cambridge, MA: Harvard University Press, 1918.</w:t>
      </w:r>
    </w:p>
    <w:p w14:paraId="711D6CD2" w14:textId="5B486D01" w:rsidR="00621068" w:rsidRDefault="00621068" w:rsidP="00621068">
      <w:pPr>
        <w:pStyle w:val="font-claude-response-body"/>
        <w:rPr>
          <w:color w:val="000000"/>
        </w:rPr>
      </w:pPr>
      <w:r>
        <w:rPr>
          <w:color w:val="000000"/>
        </w:rPr>
        <w:t>Pedley, John.</w:t>
      </w:r>
      <w:r>
        <w:rPr>
          <w:rStyle w:val="apple-converted-space"/>
          <w:rFonts w:eastAsiaTheme="majorEastAsia"/>
          <w:color w:val="000000"/>
        </w:rPr>
        <w:t> </w:t>
      </w:r>
      <w:r>
        <w:rPr>
          <w:rStyle w:val="Emphasis"/>
          <w:rFonts w:eastAsiaTheme="majorEastAsia"/>
          <w:color w:val="000000"/>
        </w:rPr>
        <w:t>Sanctuaries and the Sacred in the Ancient Greek World.</w:t>
      </w:r>
      <w:r>
        <w:rPr>
          <w:rStyle w:val="apple-converted-space"/>
          <w:rFonts w:eastAsiaTheme="majorEastAsia"/>
          <w:color w:val="000000"/>
        </w:rPr>
        <w:t> </w:t>
      </w:r>
      <w:r>
        <w:rPr>
          <w:color w:val="000000"/>
        </w:rPr>
        <w:t>Cambridge: Cambridge</w:t>
      </w:r>
      <w:r w:rsidR="00B653BC">
        <w:rPr>
          <w:color w:val="000000"/>
        </w:rPr>
        <w:tab/>
      </w:r>
      <w:r w:rsidR="00B653BC">
        <w:rPr>
          <w:color w:val="000000"/>
        </w:rPr>
        <w:tab/>
      </w:r>
      <w:r>
        <w:rPr>
          <w:color w:val="000000"/>
        </w:rPr>
        <w:t>University Press, 2005.</w:t>
      </w:r>
      <w:r w:rsidR="00B653BC">
        <w:rPr>
          <w:color w:val="000000"/>
        </w:rPr>
        <w:tab/>
      </w:r>
    </w:p>
    <w:p w14:paraId="10E49985" w14:textId="06D42BC6" w:rsidR="00621068" w:rsidRDefault="00621068" w:rsidP="00621068">
      <w:pPr>
        <w:pStyle w:val="font-claude-response-body"/>
        <w:rPr>
          <w:color w:val="000000"/>
        </w:rPr>
      </w:pPr>
      <w:r>
        <w:rPr>
          <w:color w:val="000000"/>
        </w:rPr>
        <w:t>Ridgway, Brunilde Sismondo.</w:t>
      </w:r>
      <w:r>
        <w:rPr>
          <w:rStyle w:val="apple-converted-space"/>
          <w:rFonts w:eastAsiaTheme="majorEastAsia"/>
          <w:color w:val="000000"/>
        </w:rPr>
        <w:t> </w:t>
      </w:r>
      <w:r>
        <w:rPr>
          <w:rStyle w:val="Emphasis"/>
          <w:rFonts w:eastAsiaTheme="majorEastAsia"/>
          <w:color w:val="000000"/>
        </w:rPr>
        <w:t>Fifth Century Styles in Greek Sculpture.</w:t>
      </w:r>
      <w:r>
        <w:rPr>
          <w:rStyle w:val="apple-converted-space"/>
          <w:rFonts w:eastAsiaTheme="majorEastAsia"/>
          <w:color w:val="000000"/>
        </w:rPr>
        <w:t> </w:t>
      </w:r>
      <w:r>
        <w:rPr>
          <w:color w:val="000000"/>
        </w:rPr>
        <w:t>Princeton: Princeton</w:t>
      </w:r>
      <w:r w:rsidR="00B653BC">
        <w:rPr>
          <w:color w:val="000000"/>
        </w:rPr>
        <w:tab/>
      </w:r>
      <w:r w:rsidR="00B653BC">
        <w:rPr>
          <w:color w:val="000000"/>
        </w:rPr>
        <w:tab/>
      </w:r>
      <w:r>
        <w:rPr>
          <w:color w:val="000000"/>
        </w:rPr>
        <w:t>University Press, 1981.</w:t>
      </w:r>
    </w:p>
    <w:p w14:paraId="2CE24614" w14:textId="48ECB2C8" w:rsidR="00621068" w:rsidRDefault="00B653BC" w:rsidP="00621068">
      <w:pPr>
        <w:pStyle w:val="font-claude-response-body"/>
        <w:rPr>
          <w:color w:val="000000"/>
        </w:rPr>
      </w:pPr>
      <w:r>
        <w:rPr>
          <w:color w:val="000000"/>
        </w:rPr>
        <w:lastRenderedPageBreak/>
        <w:t>Ridgway, Brunilde Sismondo.</w:t>
      </w:r>
      <w:r w:rsidR="00621068">
        <w:rPr>
          <w:rStyle w:val="apple-converted-space"/>
          <w:rFonts w:eastAsiaTheme="majorEastAsia"/>
          <w:color w:val="000000"/>
        </w:rPr>
        <w:t> </w:t>
      </w:r>
      <w:r w:rsidR="00621068">
        <w:rPr>
          <w:rStyle w:val="Emphasis"/>
          <w:rFonts w:eastAsiaTheme="majorEastAsia"/>
          <w:color w:val="000000"/>
        </w:rPr>
        <w:t>The Severe Style in Greek Sculpture.</w:t>
      </w:r>
      <w:r w:rsidR="00621068">
        <w:rPr>
          <w:rStyle w:val="apple-converted-space"/>
          <w:rFonts w:eastAsiaTheme="majorEastAsia"/>
          <w:color w:val="000000"/>
        </w:rPr>
        <w:t> </w:t>
      </w:r>
      <w:r w:rsidR="00621068">
        <w:rPr>
          <w:color w:val="000000"/>
        </w:rPr>
        <w:t xml:space="preserve">Princeton: Princeton </w:t>
      </w:r>
      <w:r>
        <w:rPr>
          <w:color w:val="000000"/>
        </w:rPr>
        <w:tab/>
      </w:r>
      <w:r w:rsidR="00621068">
        <w:rPr>
          <w:color w:val="000000"/>
        </w:rPr>
        <w:t>University Press, 1970.</w:t>
      </w:r>
    </w:p>
    <w:p w14:paraId="1CF932C4" w14:textId="0F0938EC" w:rsidR="00A85F4B" w:rsidRDefault="00A85F4B" w:rsidP="00621068">
      <w:pPr>
        <w:pStyle w:val="font-claude-response-body"/>
        <w:rPr>
          <w:color w:val="000000"/>
        </w:rPr>
      </w:pPr>
      <w:r>
        <w:rPr>
          <w:color w:val="000000"/>
        </w:rPr>
        <w:t>Vitruvius.</w:t>
      </w:r>
      <w:r>
        <w:rPr>
          <w:rStyle w:val="apple-converted-space"/>
          <w:rFonts w:eastAsiaTheme="majorEastAsia"/>
          <w:color w:val="000000"/>
        </w:rPr>
        <w:t> </w:t>
      </w:r>
      <w:r>
        <w:rPr>
          <w:rStyle w:val="Emphasis"/>
          <w:rFonts w:eastAsiaTheme="majorEastAsia"/>
          <w:color w:val="000000"/>
        </w:rPr>
        <w:t>De Architectura.</w:t>
      </w:r>
      <w:r>
        <w:rPr>
          <w:rStyle w:val="apple-converted-space"/>
          <w:rFonts w:eastAsiaTheme="majorEastAsia"/>
          <w:color w:val="000000"/>
        </w:rPr>
        <w:t> </w:t>
      </w:r>
      <w:r>
        <w:rPr>
          <w:color w:val="000000"/>
        </w:rPr>
        <w:t xml:space="preserve">Translated by Frank Granger. Loeb Classical Library. Cambridge, </w:t>
      </w:r>
      <w:r>
        <w:rPr>
          <w:color w:val="000000"/>
        </w:rPr>
        <w:tab/>
      </w:r>
      <w:r>
        <w:rPr>
          <w:color w:val="000000"/>
        </w:rPr>
        <w:t>MA: Harvard University Press, 1931.</w:t>
      </w:r>
      <w:r>
        <w:rPr>
          <w:color w:val="000000"/>
        </w:rPr>
        <w:tab/>
      </w:r>
    </w:p>
    <w:p w14:paraId="7FA74108" w14:textId="62285224" w:rsidR="00621068" w:rsidRDefault="00621068" w:rsidP="00621068"/>
    <w:p w14:paraId="7C43EDFA" w14:textId="77777777" w:rsidR="005D6E43" w:rsidRDefault="005D6E43" w:rsidP="00621068">
      <w:pPr>
        <w:spacing w:before="100" w:beforeAutospacing="1" w:after="100" w:afterAutospacing="1"/>
        <w:outlineLvl w:val="2"/>
      </w:pPr>
    </w:p>
    <w:sectPr w:rsidR="005D6E43" w:rsidSect="0067725D">
      <w:headerReference w:type="even" r:id="rId8"/>
      <w:headerReference w:type="default" r:id="rId9"/>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E29F4C" w14:textId="77777777" w:rsidR="00FD643B" w:rsidRDefault="00FD643B" w:rsidP="00EB1B56">
      <w:r>
        <w:separator/>
      </w:r>
    </w:p>
  </w:endnote>
  <w:endnote w:type="continuationSeparator" w:id="0">
    <w:p w14:paraId="5D436DD6" w14:textId="77777777" w:rsidR="00FD643B" w:rsidRDefault="00FD643B" w:rsidP="00EB1B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912247" w14:textId="77777777" w:rsidR="00FD643B" w:rsidRDefault="00FD643B" w:rsidP="00EB1B56">
      <w:r>
        <w:separator/>
      </w:r>
    </w:p>
  </w:footnote>
  <w:footnote w:type="continuationSeparator" w:id="0">
    <w:p w14:paraId="1FB64340" w14:textId="77777777" w:rsidR="00FD643B" w:rsidRDefault="00FD643B" w:rsidP="00EB1B56">
      <w:r>
        <w:continuationSeparator/>
      </w:r>
    </w:p>
  </w:footnote>
  <w:footnote w:id="1">
    <w:p w14:paraId="7F1C0DFA" w14:textId="562E835A" w:rsidR="00AB1638" w:rsidRPr="000D3FD9" w:rsidRDefault="00AB1638">
      <w:pPr>
        <w:pStyle w:val="FootnoteText"/>
      </w:pPr>
      <w:r w:rsidRPr="000D3FD9">
        <w:rPr>
          <w:rStyle w:val="FootnoteReference"/>
        </w:rPr>
        <w:footnoteRef/>
      </w:r>
      <w:r w:rsidRPr="000D3FD9">
        <w:t xml:space="preserve"> </w:t>
      </w:r>
      <w:r w:rsidRPr="000D3FD9">
        <w:rPr>
          <w:color w:val="000000"/>
        </w:rPr>
        <w:t>John Pedley,</w:t>
      </w:r>
      <w:r w:rsidRPr="000D3FD9">
        <w:rPr>
          <w:rStyle w:val="apple-converted-space"/>
          <w:rFonts w:eastAsiaTheme="majorEastAsia"/>
          <w:color w:val="000000"/>
        </w:rPr>
        <w:t> </w:t>
      </w:r>
      <w:r w:rsidRPr="000D3FD9">
        <w:rPr>
          <w:rStyle w:val="Emphasis"/>
          <w:rFonts w:eastAsiaTheme="majorEastAsia"/>
          <w:color w:val="000000"/>
        </w:rPr>
        <w:t>Sanctuaries and the Sacred in the Ancient Greek World</w:t>
      </w:r>
      <w:r w:rsidRPr="000D3FD9">
        <w:rPr>
          <w:rStyle w:val="apple-converted-space"/>
          <w:rFonts w:eastAsiaTheme="majorEastAsia"/>
          <w:color w:val="000000"/>
        </w:rPr>
        <w:t> </w:t>
      </w:r>
      <w:r w:rsidRPr="000D3FD9">
        <w:rPr>
          <w:color w:val="000000"/>
        </w:rPr>
        <w:t xml:space="preserve">(Cambridge: Cambridge University Press, 2005), </w:t>
      </w:r>
      <w:r w:rsidRPr="000D3FD9">
        <w:rPr>
          <w:color w:val="000000"/>
        </w:rPr>
        <w:t>198.</w:t>
      </w:r>
    </w:p>
  </w:footnote>
  <w:footnote w:id="2">
    <w:p w14:paraId="4879D9F3" w14:textId="04E0D50A" w:rsidR="00AB1638" w:rsidRDefault="00AB1638">
      <w:pPr>
        <w:pStyle w:val="FootnoteText"/>
      </w:pPr>
      <w:r w:rsidRPr="000D3FD9">
        <w:rPr>
          <w:rStyle w:val="FootnoteReference"/>
        </w:rPr>
        <w:footnoteRef/>
      </w:r>
      <w:r w:rsidRPr="000D3FD9">
        <w:t xml:space="preserve"> </w:t>
      </w:r>
      <w:r w:rsidRPr="000D3FD9">
        <w:rPr>
          <w:color w:val="000000"/>
        </w:rPr>
        <w:t>Pausanias,</w:t>
      </w:r>
      <w:r w:rsidRPr="000D3FD9">
        <w:rPr>
          <w:rStyle w:val="apple-converted-space"/>
          <w:rFonts w:eastAsiaTheme="majorEastAsia"/>
          <w:color w:val="000000"/>
        </w:rPr>
        <w:t> </w:t>
      </w:r>
      <w:r w:rsidRPr="000D3FD9">
        <w:rPr>
          <w:rStyle w:val="Emphasis"/>
          <w:rFonts w:eastAsiaTheme="majorEastAsia"/>
          <w:color w:val="000000"/>
        </w:rPr>
        <w:t>Description of Greece,</w:t>
      </w:r>
      <w:r w:rsidRPr="000D3FD9">
        <w:rPr>
          <w:rStyle w:val="apple-converted-space"/>
          <w:rFonts w:eastAsiaTheme="majorEastAsia"/>
          <w:color w:val="000000"/>
        </w:rPr>
        <w:t> </w:t>
      </w:r>
      <w:r w:rsidRPr="000D3FD9">
        <w:rPr>
          <w:color w:val="000000"/>
        </w:rPr>
        <w:t xml:space="preserve">trans. W.H.S. Jones, Loeb Classical Library (Cambridge, MA: Harvard University Press, 1918), </w:t>
      </w:r>
      <w:r w:rsidRPr="000D3FD9">
        <w:rPr>
          <w:color w:val="000000"/>
        </w:rPr>
        <w:t>37.</w:t>
      </w:r>
    </w:p>
  </w:footnote>
  <w:footnote w:id="3">
    <w:p w14:paraId="149868B9" w14:textId="6CDD0832" w:rsidR="00AB1638" w:rsidRPr="000D3FD9" w:rsidRDefault="00AB1638">
      <w:pPr>
        <w:pStyle w:val="FootnoteText"/>
      </w:pPr>
      <w:r w:rsidRPr="000D3FD9">
        <w:rPr>
          <w:rStyle w:val="FootnoteReference"/>
        </w:rPr>
        <w:footnoteRef/>
      </w:r>
      <w:r w:rsidRPr="000D3FD9">
        <w:t xml:space="preserve"> </w:t>
      </w:r>
      <w:r w:rsidRPr="000D3FD9">
        <w:rPr>
          <w:color w:val="000000"/>
        </w:rPr>
        <w:t>John Pedley,</w:t>
      </w:r>
      <w:r w:rsidRPr="000D3FD9">
        <w:rPr>
          <w:rStyle w:val="apple-converted-space"/>
          <w:rFonts w:eastAsiaTheme="majorEastAsia"/>
          <w:color w:val="000000"/>
        </w:rPr>
        <w:t> </w:t>
      </w:r>
      <w:r w:rsidRPr="000D3FD9">
        <w:rPr>
          <w:rStyle w:val="Emphasis"/>
          <w:rFonts w:eastAsiaTheme="majorEastAsia"/>
          <w:color w:val="000000"/>
        </w:rPr>
        <w:t>Sanctuaries and the Sacred in the Ancient Greek World</w:t>
      </w:r>
      <w:r w:rsidRPr="000D3FD9">
        <w:rPr>
          <w:rStyle w:val="apple-converted-space"/>
          <w:rFonts w:eastAsiaTheme="majorEastAsia"/>
          <w:color w:val="000000"/>
        </w:rPr>
        <w:t> </w:t>
      </w:r>
      <w:r w:rsidRPr="000D3FD9">
        <w:rPr>
          <w:color w:val="000000"/>
        </w:rPr>
        <w:t>(Cambridge: Cambridge University Press, 2005), 19</w:t>
      </w:r>
      <w:r w:rsidRPr="000D3FD9">
        <w:rPr>
          <w:color w:val="000000"/>
        </w:rPr>
        <w:t>5.</w:t>
      </w:r>
    </w:p>
  </w:footnote>
  <w:footnote w:id="4">
    <w:p w14:paraId="622819B1" w14:textId="44449C26" w:rsidR="00AB1638" w:rsidRPr="000D3FD9" w:rsidRDefault="00AB1638">
      <w:pPr>
        <w:pStyle w:val="FootnoteText"/>
      </w:pPr>
      <w:r w:rsidRPr="000D3FD9">
        <w:rPr>
          <w:rStyle w:val="FootnoteReference"/>
        </w:rPr>
        <w:footnoteRef/>
      </w:r>
      <w:r w:rsidRPr="000D3FD9">
        <w:t xml:space="preserve"> </w:t>
      </w:r>
      <w:r w:rsidRPr="000D3FD9">
        <w:rPr>
          <w:color w:val="000000"/>
        </w:rPr>
        <w:t>Mary Emerson,</w:t>
      </w:r>
      <w:r w:rsidRPr="000D3FD9">
        <w:rPr>
          <w:rStyle w:val="apple-converted-space"/>
          <w:rFonts w:eastAsiaTheme="majorEastAsia"/>
          <w:color w:val="000000"/>
        </w:rPr>
        <w:t> </w:t>
      </w:r>
      <w:r w:rsidRPr="000D3FD9">
        <w:rPr>
          <w:rStyle w:val="Emphasis"/>
          <w:rFonts w:eastAsiaTheme="majorEastAsia"/>
          <w:color w:val="000000"/>
        </w:rPr>
        <w:t>Greek Sanctuaries and Temple Architecture: An Introduction</w:t>
      </w:r>
      <w:r w:rsidRPr="000D3FD9">
        <w:rPr>
          <w:rStyle w:val="apple-converted-space"/>
          <w:rFonts w:eastAsiaTheme="majorEastAsia"/>
          <w:color w:val="000000"/>
        </w:rPr>
        <w:t> </w:t>
      </w:r>
      <w:r w:rsidRPr="000D3FD9">
        <w:rPr>
          <w:color w:val="000000"/>
        </w:rPr>
        <w:t xml:space="preserve">(London: Bloomsbury, 2007), </w:t>
      </w:r>
      <w:r w:rsidRPr="000D3FD9">
        <w:rPr>
          <w:color w:val="000000"/>
        </w:rPr>
        <w:t>90.</w:t>
      </w:r>
    </w:p>
  </w:footnote>
  <w:footnote w:id="5">
    <w:p w14:paraId="19137F98" w14:textId="44078204" w:rsidR="00AB1638" w:rsidRDefault="00AB1638">
      <w:pPr>
        <w:pStyle w:val="FootnoteText"/>
      </w:pPr>
      <w:r w:rsidRPr="000D3FD9">
        <w:rPr>
          <w:rStyle w:val="FootnoteReference"/>
        </w:rPr>
        <w:footnoteRef/>
      </w:r>
      <w:r w:rsidRPr="000D3FD9">
        <w:t xml:space="preserve"> </w:t>
      </w:r>
      <w:r w:rsidRPr="000D3FD9">
        <w:rPr>
          <w:color w:val="000000"/>
        </w:rPr>
        <w:t>John Pedley,</w:t>
      </w:r>
      <w:r w:rsidRPr="000D3FD9">
        <w:rPr>
          <w:rStyle w:val="apple-converted-space"/>
          <w:rFonts w:eastAsiaTheme="majorEastAsia"/>
          <w:color w:val="000000"/>
        </w:rPr>
        <w:t> </w:t>
      </w:r>
      <w:r w:rsidRPr="000D3FD9">
        <w:rPr>
          <w:rStyle w:val="Emphasis"/>
          <w:rFonts w:eastAsiaTheme="majorEastAsia"/>
          <w:color w:val="000000"/>
        </w:rPr>
        <w:t>Sanctuaries and the Sacred in the Ancient Greek World</w:t>
      </w:r>
      <w:r w:rsidRPr="000D3FD9">
        <w:rPr>
          <w:rStyle w:val="apple-converted-space"/>
          <w:rFonts w:eastAsiaTheme="majorEastAsia"/>
          <w:color w:val="000000"/>
        </w:rPr>
        <w:t> </w:t>
      </w:r>
      <w:r w:rsidRPr="000D3FD9">
        <w:rPr>
          <w:color w:val="000000"/>
        </w:rPr>
        <w:t>(Cambridge: Cambridge University Press, 2005), 1</w:t>
      </w:r>
      <w:r w:rsidRPr="000D3FD9">
        <w:rPr>
          <w:color w:val="000000"/>
        </w:rPr>
        <w:t>88-189.</w:t>
      </w:r>
    </w:p>
  </w:footnote>
  <w:footnote w:id="6">
    <w:p w14:paraId="596B22B4" w14:textId="7523F4BA" w:rsidR="006A36CD" w:rsidRPr="00F606AA" w:rsidRDefault="006A36CD">
      <w:pPr>
        <w:pStyle w:val="FootnoteText"/>
      </w:pPr>
      <w:r w:rsidRPr="00F606AA">
        <w:rPr>
          <w:rStyle w:val="FootnoteReference"/>
        </w:rPr>
        <w:footnoteRef/>
      </w:r>
      <w:r w:rsidRPr="00F606AA">
        <w:t xml:space="preserve"> </w:t>
      </w:r>
      <w:r w:rsidRPr="00F606AA">
        <w:rPr>
          <w:color w:val="000000"/>
        </w:rPr>
        <w:t>Robert Parker,</w:t>
      </w:r>
      <w:r w:rsidRPr="00F606AA">
        <w:rPr>
          <w:rStyle w:val="apple-converted-space"/>
          <w:rFonts w:eastAsiaTheme="majorEastAsia"/>
          <w:color w:val="000000"/>
        </w:rPr>
        <w:t> </w:t>
      </w:r>
      <w:r w:rsidRPr="00F606AA">
        <w:rPr>
          <w:rStyle w:val="Emphasis"/>
          <w:rFonts w:eastAsiaTheme="majorEastAsia"/>
          <w:color w:val="000000"/>
        </w:rPr>
        <w:t>Athenian Religion: A History</w:t>
      </w:r>
      <w:r w:rsidRPr="00F606AA">
        <w:rPr>
          <w:rStyle w:val="apple-converted-space"/>
          <w:rFonts w:eastAsiaTheme="majorEastAsia"/>
          <w:color w:val="000000"/>
        </w:rPr>
        <w:t> </w:t>
      </w:r>
      <w:r w:rsidRPr="00F606AA">
        <w:rPr>
          <w:color w:val="000000"/>
        </w:rPr>
        <w:t>(Oxford: Clarendon Press, 1996),</w:t>
      </w:r>
      <w:r w:rsidRPr="00F606AA">
        <w:rPr>
          <w:color w:val="000000"/>
        </w:rPr>
        <w:t xml:space="preserve"> 19.</w:t>
      </w:r>
    </w:p>
  </w:footnote>
  <w:footnote w:id="7">
    <w:p w14:paraId="486253B8" w14:textId="1BAC363B" w:rsidR="00F606AA" w:rsidRPr="00F606AA" w:rsidRDefault="00F606AA">
      <w:pPr>
        <w:pStyle w:val="FootnoteText"/>
      </w:pPr>
      <w:r w:rsidRPr="00F606AA">
        <w:rPr>
          <w:rStyle w:val="FootnoteReference"/>
        </w:rPr>
        <w:footnoteRef/>
      </w:r>
      <w:r w:rsidRPr="00F606AA">
        <w:t xml:space="preserve"> </w:t>
      </w:r>
      <w:r w:rsidRPr="00F606AA">
        <w:rPr>
          <w:color w:val="000000"/>
        </w:rPr>
        <w:t>Robert Parker,</w:t>
      </w:r>
      <w:r w:rsidRPr="00F606AA">
        <w:rPr>
          <w:rStyle w:val="apple-converted-space"/>
          <w:rFonts w:eastAsiaTheme="majorEastAsia"/>
          <w:color w:val="000000"/>
        </w:rPr>
        <w:t> </w:t>
      </w:r>
      <w:r w:rsidRPr="00F606AA">
        <w:rPr>
          <w:rStyle w:val="Emphasis"/>
          <w:rFonts w:eastAsiaTheme="majorEastAsia"/>
          <w:color w:val="000000"/>
        </w:rPr>
        <w:t>Athenian Religion: A History</w:t>
      </w:r>
      <w:r w:rsidRPr="00F606AA">
        <w:rPr>
          <w:rStyle w:val="apple-converted-space"/>
          <w:rFonts w:eastAsiaTheme="majorEastAsia"/>
          <w:color w:val="000000"/>
        </w:rPr>
        <w:t> </w:t>
      </w:r>
      <w:r w:rsidRPr="00F606AA">
        <w:rPr>
          <w:color w:val="000000"/>
        </w:rPr>
        <w:t>(Oxford: Clarendon Press, 1996),</w:t>
      </w:r>
      <w:r w:rsidRPr="00F606AA">
        <w:rPr>
          <w:color w:val="000000"/>
        </w:rPr>
        <w:t xml:space="preserve"> 242.</w:t>
      </w:r>
    </w:p>
  </w:footnote>
  <w:footnote w:id="8">
    <w:p w14:paraId="4BD9D8AF" w14:textId="12513C7E" w:rsidR="00F606AA" w:rsidRDefault="00F606AA">
      <w:pPr>
        <w:pStyle w:val="FootnoteText"/>
      </w:pPr>
      <w:r w:rsidRPr="00F606AA">
        <w:rPr>
          <w:rStyle w:val="FootnoteReference"/>
        </w:rPr>
        <w:footnoteRef/>
      </w:r>
      <w:r w:rsidRPr="00F606AA">
        <w:t xml:space="preserve"> </w:t>
      </w:r>
      <w:r w:rsidRPr="00F606AA">
        <w:rPr>
          <w:color w:val="000000"/>
        </w:rPr>
        <w:t>Pausanias,</w:t>
      </w:r>
      <w:r w:rsidRPr="00F606AA">
        <w:rPr>
          <w:rStyle w:val="apple-converted-space"/>
          <w:rFonts w:eastAsiaTheme="majorEastAsia"/>
          <w:color w:val="000000"/>
        </w:rPr>
        <w:t> </w:t>
      </w:r>
      <w:r w:rsidRPr="00F606AA">
        <w:rPr>
          <w:rStyle w:val="Emphasis"/>
          <w:rFonts w:eastAsiaTheme="majorEastAsia"/>
          <w:color w:val="000000"/>
        </w:rPr>
        <w:t>Description of Greece,</w:t>
      </w:r>
      <w:r w:rsidRPr="00F606AA">
        <w:rPr>
          <w:rStyle w:val="apple-converted-space"/>
          <w:rFonts w:eastAsiaTheme="majorEastAsia"/>
          <w:color w:val="000000"/>
        </w:rPr>
        <w:t> </w:t>
      </w:r>
      <w:r w:rsidRPr="00F606AA">
        <w:rPr>
          <w:color w:val="000000"/>
        </w:rPr>
        <w:t xml:space="preserve">trans. W.H.S. Jones, Loeb Classical Library (Cambridge, MA: Harvard University Press, 1918), </w:t>
      </w:r>
      <w:r w:rsidRPr="00F606AA">
        <w:rPr>
          <w:color w:val="000000"/>
        </w:rPr>
        <w:t>36-37.</w:t>
      </w:r>
    </w:p>
  </w:footnote>
  <w:footnote w:id="9">
    <w:p w14:paraId="1A84A7BF" w14:textId="33F498DC" w:rsidR="00F606AA" w:rsidRPr="00555DAD" w:rsidRDefault="00F606AA">
      <w:pPr>
        <w:pStyle w:val="FootnoteText"/>
      </w:pPr>
      <w:r w:rsidRPr="00F606AA">
        <w:rPr>
          <w:rStyle w:val="FootnoteReference"/>
        </w:rPr>
        <w:footnoteRef/>
      </w:r>
      <w:r w:rsidRPr="00F606AA">
        <w:t xml:space="preserve"> </w:t>
      </w:r>
      <w:r w:rsidR="00555DAD" w:rsidRPr="00555DAD">
        <w:rPr>
          <w:color w:val="000000"/>
        </w:rPr>
        <w:t>Kristian Jeppesen, "Where Was the So-Called Erechtheion?"</w:t>
      </w:r>
      <w:r w:rsidR="00555DAD" w:rsidRPr="00555DAD">
        <w:rPr>
          <w:rStyle w:val="apple-converted-space"/>
          <w:rFonts w:eastAsiaTheme="majorEastAsia"/>
          <w:color w:val="000000"/>
        </w:rPr>
        <w:t> </w:t>
      </w:r>
      <w:r w:rsidR="00555DAD" w:rsidRPr="00555DAD">
        <w:rPr>
          <w:rStyle w:val="Emphasis"/>
          <w:rFonts w:eastAsiaTheme="majorEastAsia"/>
          <w:color w:val="000000"/>
        </w:rPr>
        <w:t>American Journal of Archaeology</w:t>
      </w:r>
      <w:r w:rsidR="00555DAD" w:rsidRPr="00555DAD">
        <w:rPr>
          <w:rStyle w:val="apple-converted-space"/>
          <w:rFonts w:eastAsiaTheme="majorEastAsia"/>
          <w:color w:val="000000"/>
        </w:rPr>
        <w:t> </w:t>
      </w:r>
      <w:r w:rsidR="00555DAD" w:rsidRPr="00555DAD">
        <w:rPr>
          <w:color w:val="000000"/>
        </w:rPr>
        <w:t>83 (1979):</w:t>
      </w:r>
      <w:r w:rsidR="00555DAD" w:rsidRPr="00555DAD">
        <w:rPr>
          <w:rStyle w:val="apple-converted-space"/>
          <w:rFonts w:eastAsiaTheme="majorEastAsia"/>
          <w:color w:val="000000"/>
        </w:rPr>
        <w:t> </w:t>
      </w:r>
      <w:r w:rsidR="00BB4AD0">
        <w:rPr>
          <w:rStyle w:val="apple-converted-space"/>
          <w:rFonts w:eastAsiaTheme="majorEastAsia"/>
          <w:color w:val="000000"/>
        </w:rPr>
        <w:t>382.</w:t>
      </w:r>
    </w:p>
  </w:footnote>
  <w:footnote w:id="10">
    <w:p w14:paraId="106937B8" w14:textId="79A20D8C" w:rsidR="00555DAD" w:rsidRPr="00555DAD" w:rsidRDefault="00555DAD">
      <w:pPr>
        <w:pStyle w:val="FootnoteText"/>
      </w:pPr>
      <w:r>
        <w:rPr>
          <w:rStyle w:val="FootnoteReference"/>
        </w:rPr>
        <w:footnoteRef/>
      </w:r>
      <w:r>
        <w:t xml:space="preserve"> </w:t>
      </w:r>
      <w:r w:rsidRPr="00555DAD">
        <w:rPr>
          <w:color w:val="000000"/>
        </w:rPr>
        <w:t>Jeffrey M. Hurwit,</w:t>
      </w:r>
      <w:r w:rsidRPr="00555DAD">
        <w:rPr>
          <w:rStyle w:val="apple-converted-space"/>
          <w:rFonts w:eastAsiaTheme="majorEastAsia"/>
          <w:color w:val="000000"/>
        </w:rPr>
        <w:t> </w:t>
      </w:r>
      <w:r w:rsidRPr="00555DAD">
        <w:rPr>
          <w:rStyle w:val="Emphasis"/>
          <w:rFonts w:eastAsiaTheme="majorEastAsia"/>
          <w:color w:val="000000"/>
        </w:rPr>
        <w:t>The Athenian Acropolis: History, Mythology, and Archaeology from the Neolithic Era to the Present</w:t>
      </w:r>
      <w:r w:rsidRPr="00555DAD">
        <w:rPr>
          <w:color w:val="000000"/>
        </w:rPr>
        <w:t>(Cambridge: Cambridge University Press, 1999),</w:t>
      </w:r>
    </w:p>
  </w:footnote>
  <w:footnote w:id="11">
    <w:p w14:paraId="6FA39CD6" w14:textId="041D3C7F" w:rsidR="00BB4AD0" w:rsidRPr="00BB4AD0" w:rsidRDefault="00BB4AD0">
      <w:pPr>
        <w:pStyle w:val="FootnoteText"/>
      </w:pPr>
      <w:r w:rsidRPr="00BB4AD0">
        <w:rPr>
          <w:rStyle w:val="FootnoteReference"/>
        </w:rPr>
        <w:footnoteRef/>
      </w:r>
      <w:r w:rsidRPr="00BB4AD0">
        <w:t xml:space="preserve"> </w:t>
      </w:r>
      <w:r w:rsidRPr="00BB4AD0">
        <w:rPr>
          <w:color w:val="000000"/>
        </w:rPr>
        <w:t>Kristian Jeppesen, "Where Was the So-Called Erechtheion?"</w:t>
      </w:r>
      <w:r w:rsidRPr="00BB4AD0">
        <w:rPr>
          <w:rStyle w:val="apple-converted-space"/>
          <w:rFonts w:eastAsiaTheme="majorEastAsia"/>
          <w:color w:val="000000"/>
        </w:rPr>
        <w:t> </w:t>
      </w:r>
      <w:r w:rsidRPr="00BB4AD0">
        <w:rPr>
          <w:rStyle w:val="Emphasis"/>
          <w:rFonts w:eastAsiaTheme="majorEastAsia"/>
          <w:color w:val="000000"/>
        </w:rPr>
        <w:t>American Journal of Archaeology</w:t>
      </w:r>
      <w:r w:rsidRPr="00BB4AD0">
        <w:rPr>
          <w:rStyle w:val="apple-converted-space"/>
          <w:rFonts w:eastAsiaTheme="majorEastAsia"/>
          <w:color w:val="000000"/>
        </w:rPr>
        <w:t> </w:t>
      </w:r>
      <w:r w:rsidRPr="00BB4AD0">
        <w:rPr>
          <w:color w:val="000000"/>
        </w:rPr>
        <w:t>83 (1979):</w:t>
      </w:r>
      <w:r w:rsidRPr="00BB4AD0">
        <w:rPr>
          <w:color w:val="000000"/>
        </w:rPr>
        <w:t xml:space="preserve"> 381.</w:t>
      </w:r>
    </w:p>
  </w:footnote>
  <w:footnote w:id="12">
    <w:p w14:paraId="3B513F61" w14:textId="5E851908" w:rsidR="00BB4AD0" w:rsidRPr="00BB4AD0" w:rsidRDefault="00BB4AD0">
      <w:pPr>
        <w:pStyle w:val="FootnoteText"/>
      </w:pPr>
      <w:r>
        <w:rPr>
          <w:rStyle w:val="FootnoteReference"/>
        </w:rPr>
        <w:footnoteRef/>
      </w:r>
      <w:r>
        <w:t xml:space="preserve"> </w:t>
      </w:r>
      <w:r w:rsidRPr="00BB4AD0">
        <w:rPr>
          <w:color w:val="000000"/>
        </w:rPr>
        <w:t>John M. Camp,</w:t>
      </w:r>
      <w:r w:rsidRPr="00BB4AD0">
        <w:rPr>
          <w:rStyle w:val="apple-converted-space"/>
          <w:rFonts w:eastAsiaTheme="majorEastAsia"/>
          <w:color w:val="000000"/>
        </w:rPr>
        <w:t> </w:t>
      </w:r>
      <w:r w:rsidRPr="00BB4AD0">
        <w:rPr>
          <w:rStyle w:val="Emphasis"/>
          <w:rFonts w:eastAsiaTheme="majorEastAsia"/>
          <w:color w:val="000000"/>
        </w:rPr>
        <w:t>The Archaeology of Athens</w:t>
      </w:r>
      <w:r w:rsidRPr="00BB4AD0">
        <w:rPr>
          <w:rStyle w:val="apple-converted-space"/>
          <w:rFonts w:eastAsiaTheme="majorEastAsia"/>
          <w:color w:val="000000"/>
        </w:rPr>
        <w:t> </w:t>
      </w:r>
      <w:r w:rsidRPr="00BB4AD0">
        <w:rPr>
          <w:color w:val="000000"/>
        </w:rPr>
        <w:t>(New Haven: Yale University Press, 2001),</w:t>
      </w:r>
      <w:r w:rsidRPr="00BB4AD0">
        <w:rPr>
          <w:color w:val="000000"/>
        </w:rPr>
        <w:t xml:space="preserve"> 52.</w:t>
      </w:r>
    </w:p>
  </w:footnote>
  <w:footnote w:id="13">
    <w:p w14:paraId="36EF8A15" w14:textId="136500EB" w:rsidR="00825764" w:rsidRPr="00825764" w:rsidRDefault="00825764">
      <w:pPr>
        <w:pStyle w:val="FootnoteText"/>
      </w:pPr>
      <w:r>
        <w:rPr>
          <w:rStyle w:val="FootnoteReference"/>
        </w:rPr>
        <w:footnoteRef/>
      </w:r>
      <w:r>
        <w:t xml:space="preserve"> </w:t>
      </w:r>
      <w:r w:rsidRPr="00825764">
        <w:rPr>
          <w:color w:val="000000"/>
        </w:rPr>
        <w:t>Mary Emerson,</w:t>
      </w:r>
      <w:r w:rsidRPr="00825764">
        <w:rPr>
          <w:rStyle w:val="apple-converted-space"/>
          <w:rFonts w:eastAsiaTheme="majorEastAsia"/>
          <w:color w:val="000000"/>
        </w:rPr>
        <w:t> </w:t>
      </w:r>
      <w:r w:rsidRPr="00825764">
        <w:rPr>
          <w:rStyle w:val="Emphasis"/>
          <w:rFonts w:eastAsiaTheme="majorEastAsia"/>
          <w:color w:val="000000"/>
        </w:rPr>
        <w:t>Greek Sanctuaries and Temple Architecture: An Introduction</w:t>
      </w:r>
      <w:r w:rsidRPr="00825764">
        <w:rPr>
          <w:rStyle w:val="apple-converted-space"/>
          <w:rFonts w:eastAsiaTheme="majorEastAsia"/>
          <w:color w:val="000000"/>
        </w:rPr>
        <w:t> </w:t>
      </w:r>
      <w:r w:rsidRPr="00825764">
        <w:rPr>
          <w:color w:val="000000"/>
        </w:rPr>
        <w:t>(London: Bloomsbury, 2007),</w:t>
      </w:r>
      <w:r w:rsidRPr="00825764">
        <w:rPr>
          <w:color w:val="000000"/>
        </w:rPr>
        <w:t xml:space="preserve"> 156-157.</w:t>
      </w:r>
    </w:p>
  </w:footnote>
  <w:footnote w:id="14">
    <w:p w14:paraId="682BD161" w14:textId="4B6ACE25" w:rsidR="00A36FD1" w:rsidRDefault="00A36FD1">
      <w:pPr>
        <w:pStyle w:val="FootnoteText"/>
      </w:pPr>
      <w:r>
        <w:rPr>
          <w:rStyle w:val="FootnoteReference"/>
        </w:rPr>
        <w:footnoteRef/>
      </w:r>
      <w:r>
        <w:t xml:space="preserve"> </w:t>
      </w:r>
      <w:r w:rsidRPr="00555DAD">
        <w:rPr>
          <w:color w:val="000000"/>
        </w:rPr>
        <w:t>Kristian Jeppesen, "Where Was the So-Called Erechtheion?"</w:t>
      </w:r>
      <w:r w:rsidRPr="00555DAD">
        <w:rPr>
          <w:rStyle w:val="apple-converted-space"/>
          <w:rFonts w:eastAsiaTheme="majorEastAsia"/>
          <w:color w:val="000000"/>
        </w:rPr>
        <w:t> </w:t>
      </w:r>
      <w:r w:rsidRPr="00555DAD">
        <w:rPr>
          <w:rStyle w:val="Emphasis"/>
          <w:rFonts w:eastAsiaTheme="majorEastAsia"/>
          <w:color w:val="000000"/>
        </w:rPr>
        <w:t>American Journal of Archaeology</w:t>
      </w:r>
      <w:r w:rsidRPr="00555DAD">
        <w:rPr>
          <w:rStyle w:val="apple-converted-space"/>
          <w:rFonts w:eastAsiaTheme="majorEastAsia"/>
          <w:color w:val="000000"/>
        </w:rPr>
        <w:t> </w:t>
      </w:r>
      <w:r w:rsidRPr="00555DAD">
        <w:rPr>
          <w:color w:val="000000"/>
        </w:rPr>
        <w:t>83 (1979):</w:t>
      </w:r>
      <w:r w:rsidRPr="00555DAD">
        <w:rPr>
          <w:rStyle w:val="apple-converted-space"/>
          <w:rFonts w:eastAsiaTheme="majorEastAsia"/>
          <w:color w:val="000000"/>
        </w:rPr>
        <w:t> </w:t>
      </w:r>
      <w:r>
        <w:rPr>
          <w:rStyle w:val="apple-converted-space"/>
          <w:rFonts w:eastAsiaTheme="majorEastAsia"/>
          <w:color w:val="000000"/>
        </w:rPr>
        <w:t>3</w:t>
      </w:r>
      <w:r>
        <w:rPr>
          <w:rStyle w:val="apple-converted-space"/>
          <w:rFonts w:eastAsiaTheme="majorEastAsia"/>
          <w:color w:val="000000"/>
        </w:rPr>
        <w:t>93.</w:t>
      </w:r>
    </w:p>
  </w:footnote>
  <w:footnote w:id="15">
    <w:p w14:paraId="6DFE131A" w14:textId="06E142F9" w:rsidR="00A36FD1" w:rsidRDefault="00A36FD1">
      <w:pPr>
        <w:pStyle w:val="FootnoteText"/>
      </w:pPr>
      <w:r>
        <w:rPr>
          <w:rStyle w:val="FootnoteReference"/>
        </w:rPr>
        <w:footnoteRef/>
      </w:r>
      <w:r>
        <w:t xml:space="preserve"> </w:t>
      </w:r>
      <w:r w:rsidRPr="00555DAD">
        <w:rPr>
          <w:color w:val="000000"/>
        </w:rPr>
        <w:t>Kristian Jeppesen, "Where Was the So-Called Erechtheion?"</w:t>
      </w:r>
      <w:r w:rsidRPr="00555DAD">
        <w:rPr>
          <w:rStyle w:val="apple-converted-space"/>
          <w:rFonts w:eastAsiaTheme="majorEastAsia"/>
          <w:color w:val="000000"/>
        </w:rPr>
        <w:t> </w:t>
      </w:r>
      <w:r w:rsidRPr="00555DAD">
        <w:rPr>
          <w:rStyle w:val="Emphasis"/>
          <w:rFonts w:eastAsiaTheme="majorEastAsia"/>
          <w:color w:val="000000"/>
        </w:rPr>
        <w:t>American Journal of Archaeology</w:t>
      </w:r>
      <w:r w:rsidRPr="00555DAD">
        <w:rPr>
          <w:rStyle w:val="apple-converted-space"/>
          <w:rFonts w:eastAsiaTheme="majorEastAsia"/>
          <w:color w:val="000000"/>
        </w:rPr>
        <w:t> </w:t>
      </w:r>
      <w:r w:rsidRPr="00555DAD">
        <w:rPr>
          <w:color w:val="000000"/>
        </w:rPr>
        <w:t>83 (1979):</w:t>
      </w:r>
      <w:r w:rsidRPr="00555DAD">
        <w:rPr>
          <w:rStyle w:val="apple-converted-space"/>
          <w:rFonts w:eastAsiaTheme="majorEastAsia"/>
          <w:color w:val="000000"/>
        </w:rPr>
        <w:t> </w:t>
      </w:r>
      <w:r>
        <w:rPr>
          <w:rStyle w:val="apple-converted-space"/>
          <w:rFonts w:eastAsiaTheme="majorEastAsia"/>
          <w:color w:val="000000"/>
        </w:rPr>
        <w:t>3</w:t>
      </w:r>
      <w:r>
        <w:rPr>
          <w:rStyle w:val="apple-converted-space"/>
          <w:rFonts w:eastAsiaTheme="majorEastAsia"/>
          <w:color w:val="000000"/>
        </w:rPr>
        <w:t>93.</w:t>
      </w:r>
    </w:p>
  </w:footnote>
  <w:footnote w:id="16">
    <w:p w14:paraId="6D2588D0" w14:textId="34112EF1" w:rsidR="005143D0" w:rsidRDefault="005143D0">
      <w:pPr>
        <w:pStyle w:val="FootnoteText"/>
      </w:pPr>
      <w:r>
        <w:rPr>
          <w:rStyle w:val="FootnoteReference"/>
        </w:rPr>
        <w:footnoteRef/>
      </w:r>
      <w:r>
        <w:t xml:space="preserve"> </w:t>
      </w:r>
      <w:r w:rsidRPr="00BB4AD0">
        <w:rPr>
          <w:color w:val="000000"/>
        </w:rPr>
        <w:t>John M. Camp,</w:t>
      </w:r>
      <w:r w:rsidRPr="00BB4AD0">
        <w:rPr>
          <w:rStyle w:val="apple-converted-space"/>
          <w:rFonts w:eastAsiaTheme="majorEastAsia"/>
          <w:color w:val="000000"/>
        </w:rPr>
        <w:t> </w:t>
      </w:r>
      <w:r w:rsidRPr="00BB4AD0">
        <w:rPr>
          <w:rStyle w:val="Emphasis"/>
          <w:rFonts w:eastAsiaTheme="majorEastAsia"/>
          <w:color w:val="000000"/>
        </w:rPr>
        <w:t>The Archaeology of Athens</w:t>
      </w:r>
      <w:r w:rsidRPr="00BB4AD0">
        <w:rPr>
          <w:rStyle w:val="apple-converted-space"/>
          <w:rFonts w:eastAsiaTheme="majorEastAsia"/>
          <w:color w:val="000000"/>
        </w:rPr>
        <w:t> </w:t>
      </w:r>
      <w:r w:rsidRPr="00BB4AD0">
        <w:rPr>
          <w:color w:val="000000"/>
        </w:rPr>
        <w:t xml:space="preserve">(New Haven: Yale University Press, 2001), </w:t>
      </w:r>
      <w:r>
        <w:rPr>
          <w:color w:val="000000"/>
        </w:rPr>
        <w:t>93.</w:t>
      </w:r>
    </w:p>
  </w:footnote>
  <w:footnote w:id="17">
    <w:p w14:paraId="753D5EB2" w14:textId="69FB79AD" w:rsidR="0023424A" w:rsidRDefault="0023424A">
      <w:pPr>
        <w:pStyle w:val="FootnoteText"/>
      </w:pPr>
      <w:r>
        <w:rPr>
          <w:rStyle w:val="FootnoteReference"/>
        </w:rPr>
        <w:footnoteRef/>
      </w:r>
      <w:r>
        <w:t xml:space="preserve"> </w:t>
      </w:r>
      <w:r w:rsidRPr="00BB4AD0">
        <w:rPr>
          <w:color w:val="000000"/>
        </w:rPr>
        <w:t>John M. Camp,</w:t>
      </w:r>
      <w:r w:rsidRPr="00BB4AD0">
        <w:rPr>
          <w:rStyle w:val="apple-converted-space"/>
          <w:rFonts w:eastAsiaTheme="majorEastAsia"/>
          <w:color w:val="000000"/>
        </w:rPr>
        <w:t> </w:t>
      </w:r>
      <w:r w:rsidRPr="00BB4AD0">
        <w:rPr>
          <w:rStyle w:val="Emphasis"/>
          <w:rFonts w:eastAsiaTheme="majorEastAsia"/>
          <w:color w:val="000000"/>
        </w:rPr>
        <w:t>The Archaeology of Athens</w:t>
      </w:r>
      <w:r w:rsidRPr="00BB4AD0">
        <w:rPr>
          <w:rStyle w:val="apple-converted-space"/>
          <w:rFonts w:eastAsiaTheme="majorEastAsia"/>
          <w:color w:val="000000"/>
        </w:rPr>
        <w:t> </w:t>
      </w:r>
      <w:r w:rsidRPr="00BB4AD0">
        <w:rPr>
          <w:color w:val="000000"/>
        </w:rPr>
        <w:t xml:space="preserve">(New Haven: Yale University Press, 2001), </w:t>
      </w:r>
      <w:r>
        <w:rPr>
          <w:color w:val="000000"/>
        </w:rPr>
        <w:t>93-95.</w:t>
      </w:r>
    </w:p>
  </w:footnote>
  <w:footnote w:id="18">
    <w:p w14:paraId="17F5DDEE" w14:textId="2C6DF238" w:rsidR="0023424A" w:rsidRDefault="0023424A">
      <w:pPr>
        <w:pStyle w:val="FootnoteText"/>
      </w:pPr>
      <w:r>
        <w:rPr>
          <w:rStyle w:val="FootnoteReference"/>
        </w:rPr>
        <w:footnoteRef/>
      </w:r>
      <w:r>
        <w:t xml:space="preserve"> </w:t>
      </w:r>
      <w:r w:rsidRPr="00555DAD">
        <w:rPr>
          <w:color w:val="000000"/>
        </w:rPr>
        <w:t>Jeffrey M. Hurwit,</w:t>
      </w:r>
      <w:r w:rsidRPr="00555DAD">
        <w:rPr>
          <w:rStyle w:val="apple-converted-space"/>
          <w:rFonts w:eastAsiaTheme="majorEastAsia"/>
          <w:color w:val="000000"/>
        </w:rPr>
        <w:t> </w:t>
      </w:r>
      <w:r w:rsidRPr="00555DAD">
        <w:rPr>
          <w:rStyle w:val="Emphasis"/>
          <w:rFonts w:eastAsiaTheme="majorEastAsia"/>
          <w:color w:val="000000"/>
        </w:rPr>
        <w:t>The Athenian Acropolis: History, Mythology, and Archaeology from the Neolithic Era to the Present</w:t>
      </w:r>
      <w:r w:rsidRPr="00555DAD">
        <w:rPr>
          <w:color w:val="000000"/>
        </w:rPr>
        <w:t>(Cambridge: Cambridge University Press, 1999),</w:t>
      </w:r>
    </w:p>
  </w:footnote>
  <w:footnote w:id="19">
    <w:p w14:paraId="02112277" w14:textId="788B4737" w:rsidR="0023424A" w:rsidRDefault="0023424A">
      <w:pPr>
        <w:pStyle w:val="FootnoteText"/>
      </w:pPr>
      <w:r>
        <w:rPr>
          <w:rStyle w:val="FootnoteReference"/>
        </w:rPr>
        <w:footnoteRef/>
      </w:r>
      <w:r>
        <w:t xml:space="preserve"> </w:t>
      </w:r>
      <w:r w:rsidRPr="00825764">
        <w:rPr>
          <w:color w:val="000000"/>
        </w:rPr>
        <w:t>Mary Emerson,</w:t>
      </w:r>
      <w:r w:rsidRPr="00825764">
        <w:rPr>
          <w:rStyle w:val="apple-converted-space"/>
          <w:rFonts w:eastAsiaTheme="majorEastAsia"/>
          <w:color w:val="000000"/>
        </w:rPr>
        <w:t> </w:t>
      </w:r>
      <w:r w:rsidRPr="00825764">
        <w:rPr>
          <w:rStyle w:val="Emphasis"/>
          <w:rFonts w:eastAsiaTheme="majorEastAsia"/>
          <w:color w:val="000000"/>
        </w:rPr>
        <w:t>Greek Sanctuaries and Temple Architecture: An Introduction</w:t>
      </w:r>
      <w:r w:rsidRPr="00825764">
        <w:rPr>
          <w:rStyle w:val="apple-converted-space"/>
          <w:rFonts w:eastAsiaTheme="majorEastAsia"/>
          <w:color w:val="000000"/>
        </w:rPr>
        <w:t> </w:t>
      </w:r>
      <w:r w:rsidRPr="00825764">
        <w:rPr>
          <w:color w:val="000000"/>
        </w:rPr>
        <w:t>(London: Bloomsbury, 2007), 1</w:t>
      </w:r>
      <w:r>
        <w:rPr>
          <w:color w:val="000000"/>
        </w:rPr>
        <w:t>57-159.</w:t>
      </w:r>
    </w:p>
  </w:footnote>
  <w:footnote w:id="20">
    <w:p w14:paraId="5ADA443B" w14:textId="1A835428" w:rsidR="0023424A" w:rsidRDefault="0023424A">
      <w:pPr>
        <w:pStyle w:val="FootnoteText"/>
      </w:pPr>
      <w:r>
        <w:rPr>
          <w:rStyle w:val="FootnoteReference"/>
        </w:rPr>
        <w:footnoteRef/>
      </w:r>
      <w:r>
        <w:t xml:space="preserve"> </w:t>
      </w:r>
      <w:r w:rsidRPr="00825764">
        <w:rPr>
          <w:color w:val="000000"/>
        </w:rPr>
        <w:t>Mary Emerson,</w:t>
      </w:r>
      <w:r w:rsidRPr="00825764">
        <w:rPr>
          <w:rStyle w:val="apple-converted-space"/>
          <w:rFonts w:eastAsiaTheme="majorEastAsia"/>
          <w:color w:val="000000"/>
        </w:rPr>
        <w:t> </w:t>
      </w:r>
      <w:r w:rsidRPr="00825764">
        <w:rPr>
          <w:rStyle w:val="Emphasis"/>
          <w:rFonts w:eastAsiaTheme="majorEastAsia"/>
          <w:color w:val="000000"/>
        </w:rPr>
        <w:t>Greek Sanctuaries and Temple Architecture: An Introduction</w:t>
      </w:r>
      <w:r w:rsidRPr="00825764">
        <w:rPr>
          <w:rStyle w:val="apple-converted-space"/>
          <w:rFonts w:eastAsiaTheme="majorEastAsia"/>
          <w:color w:val="000000"/>
        </w:rPr>
        <w:t> </w:t>
      </w:r>
      <w:r w:rsidRPr="00825764">
        <w:rPr>
          <w:color w:val="000000"/>
        </w:rPr>
        <w:t>(London: Bloomsbury, 2007), 15</w:t>
      </w:r>
      <w:r>
        <w:rPr>
          <w:color w:val="000000"/>
        </w:rPr>
        <w:t>8.</w:t>
      </w:r>
    </w:p>
  </w:footnote>
  <w:footnote w:id="21">
    <w:p w14:paraId="4595B0A2" w14:textId="13639ACF" w:rsidR="0023424A" w:rsidRDefault="0023424A">
      <w:pPr>
        <w:pStyle w:val="FootnoteText"/>
      </w:pPr>
      <w:r>
        <w:rPr>
          <w:rStyle w:val="FootnoteReference"/>
        </w:rPr>
        <w:footnoteRef/>
      </w:r>
      <w:r>
        <w:t xml:space="preserve"> </w:t>
      </w:r>
      <w:r w:rsidRPr="00F606AA">
        <w:rPr>
          <w:color w:val="000000"/>
        </w:rPr>
        <w:t>Robert Parker,</w:t>
      </w:r>
      <w:r w:rsidRPr="00F606AA">
        <w:rPr>
          <w:rStyle w:val="apple-converted-space"/>
          <w:rFonts w:eastAsiaTheme="majorEastAsia"/>
          <w:color w:val="000000"/>
        </w:rPr>
        <w:t> </w:t>
      </w:r>
      <w:r w:rsidRPr="00F606AA">
        <w:rPr>
          <w:rStyle w:val="Emphasis"/>
          <w:rFonts w:eastAsiaTheme="majorEastAsia"/>
          <w:color w:val="000000"/>
        </w:rPr>
        <w:t>Athenian Religion: A History</w:t>
      </w:r>
      <w:r w:rsidRPr="00F606AA">
        <w:rPr>
          <w:rStyle w:val="apple-converted-space"/>
          <w:rFonts w:eastAsiaTheme="majorEastAsia"/>
          <w:color w:val="000000"/>
        </w:rPr>
        <w:t> </w:t>
      </w:r>
      <w:r w:rsidRPr="00F606AA">
        <w:rPr>
          <w:color w:val="000000"/>
        </w:rPr>
        <w:t xml:space="preserve">(Oxford: Clarendon Press, 1996), </w:t>
      </w:r>
      <w:r>
        <w:rPr>
          <w:color w:val="000000"/>
        </w:rPr>
        <w:t>271.</w:t>
      </w:r>
    </w:p>
  </w:footnote>
  <w:footnote w:id="22">
    <w:p w14:paraId="57C780D9" w14:textId="6837F1B4" w:rsidR="00274AA3" w:rsidRPr="00274AA3" w:rsidRDefault="00274AA3">
      <w:pPr>
        <w:pStyle w:val="FootnoteText"/>
      </w:pPr>
      <w:r>
        <w:rPr>
          <w:rStyle w:val="FootnoteReference"/>
        </w:rPr>
        <w:footnoteRef/>
      </w:r>
      <w:r>
        <w:t xml:space="preserve"> </w:t>
      </w:r>
      <w:r w:rsidRPr="00274AA3">
        <w:rPr>
          <w:color w:val="000000"/>
        </w:rPr>
        <w:t>Katherine Dohan Morrow,</w:t>
      </w:r>
      <w:r w:rsidRPr="00274AA3">
        <w:rPr>
          <w:rStyle w:val="apple-converted-space"/>
          <w:rFonts w:eastAsiaTheme="majorEastAsia"/>
          <w:color w:val="000000"/>
        </w:rPr>
        <w:t> </w:t>
      </w:r>
      <w:r w:rsidRPr="00274AA3">
        <w:rPr>
          <w:rStyle w:val="Emphasis"/>
          <w:rFonts w:eastAsiaTheme="majorEastAsia"/>
          <w:color w:val="000000"/>
        </w:rPr>
        <w:t>Greek Footwear and the Dating of Sculpture</w:t>
      </w:r>
      <w:r w:rsidRPr="00274AA3">
        <w:rPr>
          <w:rStyle w:val="apple-converted-space"/>
          <w:rFonts w:eastAsiaTheme="majorEastAsia"/>
          <w:color w:val="000000"/>
        </w:rPr>
        <w:t> </w:t>
      </w:r>
      <w:r w:rsidRPr="00274AA3">
        <w:rPr>
          <w:color w:val="000000"/>
        </w:rPr>
        <w:t>(Madison: University of Wisconsin Press, 1985)</w:t>
      </w:r>
    </w:p>
  </w:footnote>
  <w:footnote w:id="23">
    <w:p w14:paraId="52EAAFF9" w14:textId="5ABA8F29" w:rsidR="00A85F4B" w:rsidRPr="00A85F4B" w:rsidRDefault="00A85F4B">
      <w:pPr>
        <w:pStyle w:val="FootnoteText"/>
      </w:pPr>
      <w:r>
        <w:rPr>
          <w:rStyle w:val="FootnoteReference"/>
        </w:rPr>
        <w:footnoteRef/>
      </w:r>
      <w:r>
        <w:t xml:space="preserve"> </w:t>
      </w:r>
      <w:r w:rsidRPr="00A85F4B">
        <w:rPr>
          <w:color w:val="000000"/>
        </w:rPr>
        <w:t>Brunilde Sismondo Ridgway,</w:t>
      </w:r>
      <w:r w:rsidRPr="00A85F4B">
        <w:rPr>
          <w:rStyle w:val="apple-converted-space"/>
          <w:rFonts w:eastAsiaTheme="majorEastAsia"/>
          <w:color w:val="000000"/>
        </w:rPr>
        <w:t> </w:t>
      </w:r>
      <w:r w:rsidRPr="00A85F4B">
        <w:rPr>
          <w:rStyle w:val="Emphasis"/>
          <w:rFonts w:eastAsiaTheme="majorEastAsia"/>
          <w:color w:val="000000"/>
        </w:rPr>
        <w:t>Fifth Century Styles in Greek Sculpture</w:t>
      </w:r>
      <w:r w:rsidRPr="00A85F4B">
        <w:rPr>
          <w:rStyle w:val="apple-converted-space"/>
          <w:rFonts w:eastAsiaTheme="majorEastAsia"/>
          <w:color w:val="000000"/>
        </w:rPr>
        <w:t> </w:t>
      </w:r>
      <w:r w:rsidRPr="00A85F4B">
        <w:rPr>
          <w:color w:val="000000"/>
        </w:rPr>
        <w:t xml:space="preserve">(Princeton: Princeton University Press, 1981), </w:t>
      </w:r>
      <w:r w:rsidRPr="00A85F4B">
        <w:rPr>
          <w:color w:val="000000"/>
        </w:rPr>
        <w:t>104.</w:t>
      </w:r>
    </w:p>
  </w:footnote>
  <w:footnote w:id="24">
    <w:p w14:paraId="57C8EFA8" w14:textId="20EE39A6" w:rsidR="00967E00" w:rsidRPr="000D3FD9" w:rsidRDefault="00967E00">
      <w:pPr>
        <w:pStyle w:val="FootnoteText"/>
      </w:pPr>
      <w:r w:rsidRPr="000D3FD9">
        <w:rPr>
          <w:rStyle w:val="FootnoteReference"/>
        </w:rPr>
        <w:footnoteRef/>
      </w:r>
      <w:r w:rsidRPr="000D3FD9">
        <w:t xml:space="preserve"> </w:t>
      </w:r>
      <w:r w:rsidRPr="000D3FD9">
        <w:rPr>
          <w:color w:val="000000"/>
        </w:rPr>
        <w:t>William Bell Dinsmoor,</w:t>
      </w:r>
      <w:r w:rsidRPr="000D3FD9">
        <w:rPr>
          <w:rStyle w:val="apple-converted-space"/>
          <w:rFonts w:eastAsiaTheme="majorEastAsia"/>
          <w:color w:val="000000"/>
        </w:rPr>
        <w:t> </w:t>
      </w:r>
      <w:r w:rsidRPr="000D3FD9">
        <w:rPr>
          <w:rStyle w:val="Emphasis"/>
          <w:rFonts w:eastAsiaTheme="majorEastAsia"/>
          <w:color w:val="000000"/>
        </w:rPr>
        <w:t>The Architecture of Ancient Greece: An Account of its Historic Development,</w:t>
      </w:r>
      <w:r w:rsidRPr="000D3FD9">
        <w:rPr>
          <w:rStyle w:val="apple-converted-space"/>
          <w:rFonts w:eastAsiaTheme="majorEastAsia"/>
          <w:color w:val="000000"/>
        </w:rPr>
        <w:t> </w:t>
      </w:r>
      <w:r w:rsidRPr="000D3FD9">
        <w:rPr>
          <w:color w:val="000000"/>
        </w:rPr>
        <w:t>3rd ed. (London: Batsford, 1950),</w:t>
      </w:r>
    </w:p>
  </w:footnote>
  <w:footnote w:id="25">
    <w:p w14:paraId="7218BE18" w14:textId="7BB6EEF1" w:rsidR="00967E00" w:rsidRPr="000D3FD9" w:rsidRDefault="00967E00">
      <w:pPr>
        <w:pStyle w:val="FootnoteText"/>
      </w:pPr>
      <w:r w:rsidRPr="000D3FD9">
        <w:rPr>
          <w:rStyle w:val="FootnoteReference"/>
        </w:rPr>
        <w:footnoteRef/>
      </w:r>
      <w:r w:rsidRPr="000D3FD9">
        <w:t xml:space="preserve"> </w:t>
      </w:r>
      <w:r w:rsidRPr="000D3FD9">
        <w:rPr>
          <w:color w:val="000000"/>
        </w:rPr>
        <w:t>Jeffrey M. Hurwit,</w:t>
      </w:r>
      <w:r w:rsidRPr="000D3FD9">
        <w:rPr>
          <w:rStyle w:val="apple-converted-space"/>
          <w:rFonts w:eastAsiaTheme="majorEastAsia"/>
          <w:color w:val="000000"/>
        </w:rPr>
        <w:t> </w:t>
      </w:r>
      <w:r w:rsidRPr="000D3FD9">
        <w:rPr>
          <w:rStyle w:val="Emphasis"/>
          <w:rFonts w:eastAsiaTheme="majorEastAsia"/>
          <w:color w:val="000000"/>
        </w:rPr>
        <w:t>The Athenian Acropolis: History, Mythology, and Archaeology from the Neolithic Era to the Present</w:t>
      </w:r>
      <w:r w:rsidRPr="000D3FD9">
        <w:rPr>
          <w:color w:val="000000"/>
        </w:rPr>
        <w:t>(Cambridge: Cambridge University Press, 1999),</w:t>
      </w:r>
    </w:p>
  </w:footnote>
  <w:footnote w:id="26">
    <w:p w14:paraId="0A937127" w14:textId="5E8C1EA9" w:rsidR="00967E00" w:rsidRDefault="00967E00">
      <w:pPr>
        <w:pStyle w:val="FootnoteText"/>
      </w:pPr>
      <w:r w:rsidRPr="000D3FD9">
        <w:rPr>
          <w:rStyle w:val="FootnoteReference"/>
        </w:rPr>
        <w:footnoteRef/>
      </w:r>
      <w:r w:rsidRPr="000D3FD9">
        <w:t xml:space="preserve"> </w:t>
      </w:r>
      <w:r w:rsidRPr="000D3FD9">
        <w:rPr>
          <w:color w:val="000000"/>
        </w:rPr>
        <w:t>Jeffrey M. Hurwit,</w:t>
      </w:r>
      <w:r w:rsidRPr="000D3FD9">
        <w:rPr>
          <w:rStyle w:val="apple-converted-space"/>
          <w:rFonts w:eastAsiaTheme="majorEastAsia"/>
          <w:color w:val="000000"/>
        </w:rPr>
        <w:t> </w:t>
      </w:r>
      <w:r w:rsidRPr="000D3FD9">
        <w:rPr>
          <w:rStyle w:val="Emphasis"/>
          <w:rFonts w:eastAsiaTheme="majorEastAsia"/>
          <w:color w:val="000000"/>
        </w:rPr>
        <w:t>The Athenian Acropolis: History, Mythology, and Archaeology from the Neolithic Era to the Present</w:t>
      </w:r>
      <w:r w:rsidRPr="000D3FD9">
        <w:rPr>
          <w:color w:val="000000"/>
        </w:rPr>
        <w:t>(Cambridge: Cambridge University Press, 1999),</w:t>
      </w:r>
    </w:p>
  </w:footnote>
  <w:footnote w:id="27">
    <w:p w14:paraId="0333B033" w14:textId="236EFA68" w:rsidR="00967E00" w:rsidRDefault="00967E00">
      <w:pPr>
        <w:pStyle w:val="FootnoteText"/>
      </w:pPr>
      <w:r w:rsidRPr="000D3FD9">
        <w:rPr>
          <w:rStyle w:val="FootnoteReference"/>
        </w:rPr>
        <w:footnoteRef/>
      </w:r>
      <w:r w:rsidRPr="000D3FD9">
        <w:t xml:space="preserve"> </w:t>
      </w:r>
      <w:r w:rsidRPr="000D3FD9">
        <w:rPr>
          <w:color w:val="000000"/>
        </w:rPr>
        <w:t>Robert Parker,</w:t>
      </w:r>
      <w:r w:rsidRPr="000D3FD9">
        <w:rPr>
          <w:rStyle w:val="apple-converted-space"/>
          <w:rFonts w:eastAsiaTheme="majorEastAsia"/>
          <w:color w:val="000000"/>
        </w:rPr>
        <w:t> </w:t>
      </w:r>
      <w:r w:rsidRPr="000D3FD9">
        <w:rPr>
          <w:rStyle w:val="Emphasis"/>
          <w:rFonts w:eastAsiaTheme="majorEastAsia"/>
          <w:color w:val="000000"/>
        </w:rPr>
        <w:t>Athenian Religion: A History</w:t>
      </w:r>
      <w:r w:rsidRPr="000D3FD9">
        <w:rPr>
          <w:rStyle w:val="apple-converted-space"/>
          <w:rFonts w:eastAsiaTheme="majorEastAsia"/>
          <w:color w:val="000000"/>
        </w:rPr>
        <w:t> </w:t>
      </w:r>
      <w:r w:rsidRPr="000D3FD9">
        <w:rPr>
          <w:color w:val="000000"/>
        </w:rPr>
        <w:t>(Oxford: Clarendon Press, 1996),</w:t>
      </w:r>
      <w:r w:rsidR="006A36CD">
        <w:rPr>
          <w:color w:val="000000"/>
        </w:rPr>
        <w:t xml:space="preserve"> 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90917762"/>
      <w:docPartObj>
        <w:docPartGallery w:val="Page Numbers (Top of Page)"/>
        <w:docPartUnique/>
      </w:docPartObj>
    </w:sdtPr>
    <w:sdtContent>
      <w:p w14:paraId="46306A7D" w14:textId="17E6ED6C" w:rsidR="00EB1B56" w:rsidRDefault="00EB1B56" w:rsidP="004A1CF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02C150D" w14:textId="77777777" w:rsidR="00EB1B56" w:rsidRDefault="00EB1B56" w:rsidP="00EB1B5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sz w:val="21"/>
        <w:szCs w:val="21"/>
      </w:rPr>
      <w:id w:val="172694167"/>
      <w:docPartObj>
        <w:docPartGallery w:val="Page Numbers (Top of Page)"/>
        <w:docPartUnique/>
      </w:docPartObj>
    </w:sdtPr>
    <w:sdtContent>
      <w:p w14:paraId="20E49E8C" w14:textId="309A6CB0" w:rsidR="00EB1B56" w:rsidRPr="005F412F" w:rsidRDefault="00EB1B56" w:rsidP="004A1CF8">
        <w:pPr>
          <w:pStyle w:val="Header"/>
          <w:framePr w:wrap="none" w:vAnchor="text" w:hAnchor="margin" w:xAlign="right" w:y="1"/>
          <w:rPr>
            <w:rStyle w:val="PageNumber"/>
            <w:sz w:val="21"/>
            <w:szCs w:val="21"/>
          </w:rPr>
        </w:pPr>
        <w:r w:rsidRPr="005F412F">
          <w:rPr>
            <w:rStyle w:val="PageNumber"/>
            <w:sz w:val="21"/>
            <w:szCs w:val="21"/>
          </w:rPr>
          <w:fldChar w:fldCharType="begin"/>
        </w:r>
        <w:r w:rsidRPr="005F412F">
          <w:rPr>
            <w:rStyle w:val="PageNumber"/>
            <w:sz w:val="21"/>
            <w:szCs w:val="21"/>
          </w:rPr>
          <w:instrText xml:space="preserve"> PAGE </w:instrText>
        </w:r>
        <w:r w:rsidRPr="005F412F">
          <w:rPr>
            <w:rStyle w:val="PageNumber"/>
            <w:sz w:val="21"/>
            <w:szCs w:val="21"/>
          </w:rPr>
          <w:fldChar w:fldCharType="separate"/>
        </w:r>
        <w:r w:rsidRPr="005F412F">
          <w:rPr>
            <w:rStyle w:val="PageNumber"/>
            <w:noProof/>
            <w:sz w:val="21"/>
            <w:szCs w:val="21"/>
          </w:rPr>
          <w:t>1</w:t>
        </w:r>
        <w:r w:rsidRPr="005F412F">
          <w:rPr>
            <w:rStyle w:val="PageNumber"/>
            <w:sz w:val="21"/>
            <w:szCs w:val="21"/>
          </w:rPr>
          <w:fldChar w:fldCharType="end"/>
        </w:r>
      </w:p>
    </w:sdtContent>
  </w:sdt>
  <w:p w14:paraId="72C3F8F0" w14:textId="24A81C4F" w:rsidR="00EB1B56" w:rsidRPr="005F412F" w:rsidRDefault="00EB1B56" w:rsidP="00EB1B56">
    <w:pPr>
      <w:pStyle w:val="Header"/>
      <w:ind w:right="360"/>
      <w:rPr>
        <w:sz w:val="21"/>
        <w:szCs w:val="21"/>
      </w:rPr>
    </w:pPr>
    <w:r w:rsidRPr="005F412F">
      <w:rPr>
        <w:sz w:val="21"/>
        <w:szCs w:val="21"/>
      </w:rPr>
      <w:t>HPAH 7020 Spring 2026</w:t>
    </w:r>
    <w:r w:rsidRPr="005F412F">
      <w:rPr>
        <w:sz w:val="21"/>
        <w:szCs w:val="21"/>
      </w:rPr>
      <w:tab/>
    </w:r>
    <w:r w:rsidR="003767C9">
      <w:rPr>
        <w:sz w:val="21"/>
        <w:szCs w:val="21"/>
      </w:rPr>
      <w:t xml:space="preserve">: </w:t>
    </w:r>
    <w:r w:rsidRPr="005F412F">
      <w:rPr>
        <w:sz w:val="21"/>
        <w:szCs w:val="21"/>
      </w:rPr>
      <w:t xml:space="preserve">Aspects of Greek and Roman Religion and Cult                   </w:t>
    </w:r>
    <w:r w:rsidR="005F412F">
      <w:rPr>
        <w:sz w:val="21"/>
        <w:szCs w:val="21"/>
      </w:rPr>
      <w:t xml:space="preserve">                </w:t>
    </w:r>
    <w:r w:rsidR="003767C9">
      <w:rPr>
        <w:sz w:val="21"/>
        <w:szCs w:val="21"/>
      </w:rPr>
      <w:t xml:space="preserve">         </w:t>
    </w:r>
    <w:r w:rsidRPr="005F412F">
      <w:rPr>
        <w:sz w:val="21"/>
        <w:szCs w:val="21"/>
      </w:rPr>
      <w:t>Voss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55FE5"/>
    <w:multiLevelType w:val="multilevel"/>
    <w:tmpl w:val="5628C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5570FB"/>
    <w:multiLevelType w:val="multilevel"/>
    <w:tmpl w:val="5A98D6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E45D0B"/>
    <w:multiLevelType w:val="multilevel"/>
    <w:tmpl w:val="727EC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4268DF"/>
    <w:multiLevelType w:val="multilevel"/>
    <w:tmpl w:val="F6B40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700F5F"/>
    <w:multiLevelType w:val="multilevel"/>
    <w:tmpl w:val="DADA66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7B72BE"/>
    <w:multiLevelType w:val="multilevel"/>
    <w:tmpl w:val="74C05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A32BAB"/>
    <w:multiLevelType w:val="multilevel"/>
    <w:tmpl w:val="D76A7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7D04BD"/>
    <w:multiLevelType w:val="multilevel"/>
    <w:tmpl w:val="E17E41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2823123">
    <w:abstractNumId w:val="5"/>
  </w:num>
  <w:num w:numId="2" w16cid:durableId="1074083063">
    <w:abstractNumId w:val="3"/>
  </w:num>
  <w:num w:numId="3" w16cid:durableId="1144810596">
    <w:abstractNumId w:val="1"/>
  </w:num>
  <w:num w:numId="4" w16cid:durableId="1762753346">
    <w:abstractNumId w:val="7"/>
  </w:num>
  <w:num w:numId="5" w16cid:durableId="575089196">
    <w:abstractNumId w:val="4"/>
  </w:num>
  <w:num w:numId="6" w16cid:durableId="17124185">
    <w:abstractNumId w:val="0"/>
  </w:num>
  <w:num w:numId="7" w16cid:durableId="1038430496">
    <w:abstractNumId w:val="6"/>
  </w:num>
  <w:num w:numId="8" w16cid:durableId="1987804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B56"/>
    <w:rsid w:val="0005669D"/>
    <w:rsid w:val="000D3FD9"/>
    <w:rsid w:val="0023424A"/>
    <w:rsid w:val="00274AA3"/>
    <w:rsid w:val="003767C9"/>
    <w:rsid w:val="003E16E9"/>
    <w:rsid w:val="004476EB"/>
    <w:rsid w:val="004B329A"/>
    <w:rsid w:val="005143D0"/>
    <w:rsid w:val="00555DAD"/>
    <w:rsid w:val="005968D8"/>
    <w:rsid w:val="005D6E43"/>
    <w:rsid w:val="005F412F"/>
    <w:rsid w:val="00621068"/>
    <w:rsid w:val="00664FCA"/>
    <w:rsid w:val="0067725D"/>
    <w:rsid w:val="006A36CD"/>
    <w:rsid w:val="007C136A"/>
    <w:rsid w:val="00825764"/>
    <w:rsid w:val="0083663B"/>
    <w:rsid w:val="00967E00"/>
    <w:rsid w:val="00994218"/>
    <w:rsid w:val="00A36FD1"/>
    <w:rsid w:val="00A85F4B"/>
    <w:rsid w:val="00AB1638"/>
    <w:rsid w:val="00B36354"/>
    <w:rsid w:val="00B5733F"/>
    <w:rsid w:val="00B653BC"/>
    <w:rsid w:val="00BB4AD0"/>
    <w:rsid w:val="00BD4C10"/>
    <w:rsid w:val="00C24888"/>
    <w:rsid w:val="00CF7EB3"/>
    <w:rsid w:val="00D019B9"/>
    <w:rsid w:val="00D71316"/>
    <w:rsid w:val="00DD6879"/>
    <w:rsid w:val="00E22338"/>
    <w:rsid w:val="00EB1B56"/>
    <w:rsid w:val="00F606AA"/>
    <w:rsid w:val="00FD643B"/>
    <w:rsid w:val="00FF4A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1E7FB"/>
  <w15:chartTrackingRefBased/>
  <w15:docId w15:val="{CA69AF43-0D00-CB44-8729-F403751DB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pPr>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6E43"/>
    <w:pPr>
      <w:ind w:firstLine="0"/>
    </w:pPr>
    <w:rPr>
      <w:rFonts w:eastAsia="Times New Roman"/>
      <w:kern w:val="0"/>
      <w14:ligatures w14:val="none"/>
    </w:rPr>
  </w:style>
  <w:style w:type="paragraph" w:styleId="Heading1">
    <w:name w:val="heading 1"/>
    <w:basedOn w:val="Normal"/>
    <w:next w:val="Normal"/>
    <w:link w:val="Heading1Char"/>
    <w:uiPriority w:val="9"/>
    <w:qFormat/>
    <w:rsid w:val="00EB1B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1B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1B5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1B5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B1B5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B1B5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B1B5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B1B5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B1B5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B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1B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1B56"/>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1B5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EB1B5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EB1B5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EB1B5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EB1B5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B1B5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B1B5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B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1B56"/>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1B5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EB1B5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1B56"/>
    <w:rPr>
      <w:i/>
      <w:iCs/>
      <w:color w:val="404040" w:themeColor="text1" w:themeTint="BF"/>
    </w:rPr>
  </w:style>
  <w:style w:type="paragraph" w:styleId="ListParagraph">
    <w:name w:val="List Paragraph"/>
    <w:basedOn w:val="Normal"/>
    <w:uiPriority w:val="34"/>
    <w:qFormat/>
    <w:rsid w:val="00EB1B56"/>
    <w:pPr>
      <w:ind w:left="720"/>
      <w:contextualSpacing/>
    </w:pPr>
  </w:style>
  <w:style w:type="character" w:styleId="IntenseEmphasis">
    <w:name w:val="Intense Emphasis"/>
    <w:basedOn w:val="DefaultParagraphFont"/>
    <w:uiPriority w:val="21"/>
    <w:qFormat/>
    <w:rsid w:val="00EB1B56"/>
    <w:rPr>
      <w:i/>
      <w:iCs/>
      <w:color w:val="0F4761" w:themeColor="accent1" w:themeShade="BF"/>
    </w:rPr>
  </w:style>
  <w:style w:type="paragraph" w:styleId="IntenseQuote">
    <w:name w:val="Intense Quote"/>
    <w:basedOn w:val="Normal"/>
    <w:next w:val="Normal"/>
    <w:link w:val="IntenseQuoteChar"/>
    <w:uiPriority w:val="30"/>
    <w:qFormat/>
    <w:rsid w:val="00EB1B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1B56"/>
    <w:rPr>
      <w:i/>
      <w:iCs/>
      <w:color w:val="0F4761" w:themeColor="accent1" w:themeShade="BF"/>
    </w:rPr>
  </w:style>
  <w:style w:type="character" w:styleId="IntenseReference">
    <w:name w:val="Intense Reference"/>
    <w:basedOn w:val="DefaultParagraphFont"/>
    <w:uiPriority w:val="32"/>
    <w:qFormat/>
    <w:rsid w:val="00EB1B56"/>
    <w:rPr>
      <w:b/>
      <w:bCs/>
      <w:smallCaps/>
      <w:color w:val="0F4761" w:themeColor="accent1" w:themeShade="BF"/>
      <w:spacing w:val="5"/>
    </w:rPr>
  </w:style>
  <w:style w:type="paragraph" w:styleId="Header">
    <w:name w:val="header"/>
    <w:basedOn w:val="Normal"/>
    <w:link w:val="HeaderChar"/>
    <w:uiPriority w:val="99"/>
    <w:unhideWhenUsed/>
    <w:rsid w:val="00EB1B56"/>
    <w:pPr>
      <w:tabs>
        <w:tab w:val="center" w:pos="4680"/>
        <w:tab w:val="right" w:pos="9360"/>
      </w:tabs>
    </w:pPr>
  </w:style>
  <w:style w:type="character" w:customStyle="1" w:styleId="HeaderChar">
    <w:name w:val="Header Char"/>
    <w:basedOn w:val="DefaultParagraphFont"/>
    <w:link w:val="Header"/>
    <w:uiPriority w:val="99"/>
    <w:rsid w:val="00EB1B56"/>
  </w:style>
  <w:style w:type="paragraph" w:styleId="Footer">
    <w:name w:val="footer"/>
    <w:basedOn w:val="Normal"/>
    <w:link w:val="FooterChar"/>
    <w:uiPriority w:val="99"/>
    <w:unhideWhenUsed/>
    <w:rsid w:val="00EB1B56"/>
    <w:pPr>
      <w:tabs>
        <w:tab w:val="center" w:pos="4680"/>
        <w:tab w:val="right" w:pos="9360"/>
      </w:tabs>
    </w:pPr>
  </w:style>
  <w:style w:type="character" w:customStyle="1" w:styleId="FooterChar">
    <w:name w:val="Footer Char"/>
    <w:basedOn w:val="DefaultParagraphFont"/>
    <w:link w:val="Footer"/>
    <w:uiPriority w:val="99"/>
    <w:rsid w:val="00EB1B56"/>
  </w:style>
  <w:style w:type="character" w:styleId="PageNumber">
    <w:name w:val="page number"/>
    <w:basedOn w:val="DefaultParagraphFont"/>
    <w:uiPriority w:val="99"/>
    <w:semiHidden/>
    <w:unhideWhenUsed/>
    <w:rsid w:val="00EB1B56"/>
  </w:style>
  <w:style w:type="paragraph" w:styleId="NormalWeb">
    <w:name w:val="Normal (Web)"/>
    <w:basedOn w:val="Normal"/>
    <w:uiPriority w:val="99"/>
    <w:semiHidden/>
    <w:unhideWhenUsed/>
    <w:rsid w:val="005D6E43"/>
    <w:pPr>
      <w:spacing w:before="100" w:beforeAutospacing="1" w:after="100" w:afterAutospacing="1"/>
    </w:pPr>
  </w:style>
  <w:style w:type="character" w:styleId="Strong">
    <w:name w:val="Strong"/>
    <w:basedOn w:val="DefaultParagraphFont"/>
    <w:uiPriority w:val="22"/>
    <w:qFormat/>
    <w:rsid w:val="005D6E43"/>
    <w:rPr>
      <w:b/>
      <w:bCs/>
    </w:rPr>
  </w:style>
  <w:style w:type="character" w:customStyle="1" w:styleId="apple-converted-space">
    <w:name w:val="apple-converted-space"/>
    <w:basedOn w:val="DefaultParagraphFont"/>
    <w:rsid w:val="005D6E43"/>
  </w:style>
  <w:style w:type="character" w:styleId="Emphasis">
    <w:name w:val="Emphasis"/>
    <w:basedOn w:val="DefaultParagraphFont"/>
    <w:uiPriority w:val="20"/>
    <w:qFormat/>
    <w:rsid w:val="005D6E43"/>
    <w:rPr>
      <w:i/>
      <w:iCs/>
    </w:rPr>
  </w:style>
  <w:style w:type="paragraph" w:customStyle="1" w:styleId="font-claude-response-body">
    <w:name w:val="font-claude-response-body"/>
    <w:basedOn w:val="Normal"/>
    <w:rsid w:val="00B5733F"/>
    <w:pPr>
      <w:spacing w:before="100" w:beforeAutospacing="1" w:after="100" w:afterAutospacing="1"/>
    </w:pPr>
  </w:style>
  <w:style w:type="paragraph" w:customStyle="1" w:styleId="whitespace-normal">
    <w:name w:val="whitespace-normal"/>
    <w:basedOn w:val="Normal"/>
    <w:rsid w:val="00621068"/>
    <w:pPr>
      <w:spacing w:before="100" w:beforeAutospacing="1" w:after="100" w:afterAutospacing="1"/>
    </w:pPr>
  </w:style>
  <w:style w:type="paragraph" w:styleId="FootnoteText">
    <w:name w:val="footnote text"/>
    <w:basedOn w:val="Normal"/>
    <w:link w:val="FootnoteTextChar"/>
    <w:uiPriority w:val="99"/>
    <w:semiHidden/>
    <w:unhideWhenUsed/>
    <w:rsid w:val="00AB1638"/>
    <w:rPr>
      <w:sz w:val="20"/>
      <w:szCs w:val="20"/>
    </w:rPr>
  </w:style>
  <w:style w:type="character" w:customStyle="1" w:styleId="FootnoteTextChar">
    <w:name w:val="Footnote Text Char"/>
    <w:basedOn w:val="DefaultParagraphFont"/>
    <w:link w:val="FootnoteText"/>
    <w:uiPriority w:val="99"/>
    <w:semiHidden/>
    <w:rsid w:val="00AB1638"/>
    <w:rPr>
      <w:rFonts w:eastAsia="Times New Roman"/>
      <w:kern w:val="0"/>
      <w:sz w:val="20"/>
      <w:szCs w:val="20"/>
      <w14:ligatures w14:val="none"/>
    </w:rPr>
  </w:style>
  <w:style w:type="character" w:styleId="FootnoteReference">
    <w:name w:val="footnote reference"/>
    <w:basedOn w:val="DefaultParagraphFont"/>
    <w:uiPriority w:val="99"/>
    <w:semiHidden/>
    <w:unhideWhenUsed/>
    <w:rsid w:val="00AB163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EB252A-E009-2C49-9570-41D28E650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TotalTime>
  <Pages>12</Pages>
  <Words>3469</Words>
  <Characters>19776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Jolie Voss</dc:creator>
  <cp:keywords/>
  <dc:description/>
  <cp:lastModifiedBy>Jolie Voss</cp:lastModifiedBy>
  <cp:revision>12</cp:revision>
  <dcterms:created xsi:type="dcterms:W3CDTF">2026-03-14T17:12:00Z</dcterms:created>
  <dcterms:modified xsi:type="dcterms:W3CDTF">2026-03-16T01:58:00Z</dcterms:modified>
</cp:coreProperties>
</file>