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24D54" w14:textId="77777777" w:rsidR="009C62CB" w:rsidRDefault="00535315">
      <w:pPr>
        <w:jc w:val="center"/>
      </w:pPr>
      <w:r>
        <w:rPr>
          <w:b/>
          <w:color w:val="1F4E79"/>
          <w:sz w:val="44"/>
        </w:rPr>
        <w:t>DEVELOPING EMOTIONAL INTELLIGENCE SKILLS</w:t>
      </w:r>
    </w:p>
    <w:p w14:paraId="2D9D81A2" w14:textId="77777777" w:rsidR="009C62CB" w:rsidRDefault="00535315">
      <w:pPr>
        <w:spacing w:before="240"/>
        <w:jc w:val="center"/>
      </w:pPr>
      <w:r>
        <w:rPr>
          <w:b/>
          <w:sz w:val="32"/>
        </w:rPr>
        <w:t>LCLM5006</w:t>
      </w:r>
    </w:p>
    <w:p w14:paraId="0E82EFE8" w14:textId="77777777" w:rsidR="009C62CB" w:rsidRDefault="00535315">
      <w:pPr>
        <w:spacing w:before="800"/>
        <w:jc w:val="center"/>
      </w:pPr>
      <w:r>
        <w:rPr>
          <w:b/>
          <w:sz w:val="28"/>
        </w:rPr>
        <w:t>Formal Academic Report</w:t>
      </w:r>
    </w:p>
    <w:p w14:paraId="503A58C5" w14:textId="77777777" w:rsidR="009C62CB" w:rsidRDefault="00535315">
      <w:pPr>
        <w:pStyle w:val="CoverMeta"/>
        <w:jc w:val="center"/>
      </w:pPr>
      <w:r>
        <w:rPr>
          <w:b/>
        </w:rPr>
        <w:t xml:space="preserve">Student: </w:t>
      </w:r>
      <w:r>
        <w:t>Oleh Bublyk</w:t>
      </w:r>
    </w:p>
    <w:p w14:paraId="696C4DF6" w14:textId="77777777" w:rsidR="009C62CB" w:rsidRDefault="00535315">
      <w:pPr>
        <w:pStyle w:val="CoverMeta"/>
        <w:jc w:val="center"/>
      </w:pPr>
      <w:r>
        <w:rPr>
          <w:b/>
        </w:rPr>
        <w:t xml:space="preserve">Student number: </w:t>
      </w:r>
      <w:r>
        <w:t>2417174</w:t>
      </w:r>
    </w:p>
    <w:p w14:paraId="7AF7D2BF" w14:textId="77777777" w:rsidR="009C62CB" w:rsidRDefault="00535315">
      <w:pPr>
        <w:pStyle w:val="CoverMeta"/>
        <w:jc w:val="center"/>
      </w:pPr>
      <w:r>
        <w:rPr>
          <w:b/>
        </w:rPr>
        <w:t xml:space="preserve">Lecturer: </w:t>
      </w:r>
      <w:r>
        <w:t>Dr. Kazeem Oseni</w:t>
      </w:r>
    </w:p>
    <w:p w14:paraId="105CD74F" w14:textId="77777777" w:rsidR="009C62CB" w:rsidRDefault="00535315">
      <w:pPr>
        <w:pStyle w:val="CoverMeta"/>
        <w:jc w:val="center"/>
      </w:pPr>
      <w:r>
        <w:rPr>
          <w:b/>
        </w:rPr>
        <w:t xml:space="preserve">Submission purpose: </w:t>
      </w:r>
      <w:r>
        <w:t>Report for Senior Management Team strategic planning, September 2026</w:t>
      </w:r>
    </w:p>
    <w:p w14:paraId="54BCB728" w14:textId="77777777" w:rsidR="009C62CB" w:rsidRDefault="00535315">
      <w:pPr>
        <w:spacing w:before="1100"/>
        <w:jc w:val="center"/>
      </w:pPr>
      <w:r>
        <w:rPr>
          <w:i/>
          <w:sz w:val="24"/>
        </w:rPr>
        <w:t>Topic: Emotional Intelligence and Mindfulness in Contemporary Organisations</w:t>
      </w:r>
    </w:p>
    <w:p w14:paraId="66CB61FB" w14:textId="77777777" w:rsidR="009C62CB" w:rsidRDefault="00535315">
      <w:r>
        <w:br w:type="page"/>
      </w:r>
    </w:p>
    <w:p w14:paraId="237ABBF8" w14:textId="77777777" w:rsidR="009C62CB" w:rsidRDefault="00535315">
      <w:pPr>
        <w:pStyle w:val="1"/>
      </w:pPr>
      <w:r>
        <w:t>Contents</w:t>
      </w:r>
    </w:p>
    <w:p w14:paraId="3689CE25" w14:textId="77777777" w:rsidR="009C62CB" w:rsidRDefault="00535315">
      <w:r>
        <w:t>The page numbers below reflect the final pagination of this report.</w:t>
      </w:r>
    </w:p>
    <w:p w14:paraId="5FB62BFE" w14:textId="77777777" w:rsidR="009C62CB" w:rsidRDefault="00535315">
      <w:pPr>
        <w:pStyle w:val="TOCEntry"/>
      </w:pPr>
      <w:r>
        <w:t>Executive Summary</w:t>
      </w:r>
      <w:r>
        <w:t xml:space="preserve"> ................................................ 3</w:t>
      </w:r>
    </w:p>
    <w:p w14:paraId="6AC2A535" w14:textId="77777777" w:rsidR="009C62CB" w:rsidRDefault="00535315">
      <w:pPr>
        <w:pStyle w:val="TOCEntry"/>
        <w:ind w:left="360"/>
      </w:pPr>
      <w:r>
        <w:t>1. Introduction</w:t>
      </w:r>
      <w:r>
        <w:t xml:space="preserve"> .................................................. 3</w:t>
      </w:r>
    </w:p>
    <w:p w14:paraId="4848DEB6" w14:textId="77777777" w:rsidR="009C62CB" w:rsidRDefault="00535315">
      <w:pPr>
        <w:pStyle w:val="TOCEntry"/>
        <w:ind w:left="360"/>
      </w:pPr>
      <w:r>
        <w:t>2. Task 1: Emotional Intelligence in the Workplace</w:t>
      </w:r>
      <w:r>
        <w:t xml:space="preserve"> ............... 4</w:t>
      </w:r>
    </w:p>
    <w:p w14:paraId="2E94BAA5" w14:textId="77777777" w:rsidR="009C62CB" w:rsidRDefault="00535315">
      <w:pPr>
        <w:pStyle w:val="TOCEntry"/>
        <w:ind w:left="360"/>
      </w:pPr>
      <w:r>
        <w:t>2.1 Applying EI to performance and well-being .................... 5</w:t>
      </w:r>
    </w:p>
    <w:p w14:paraId="1AC90D35" w14:textId="77777777" w:rsidR="009C62CB" w:rsidRDefault="00535315">
      <w:pPr>
        <w:pStyle w:val="TOCEntry"/>
        <w:ind w:left="360"/>
      </w:pPr>
      <w:r>
        <w:t>2.2 Communication and collaboration .............................. 6</w:t>
      </w:r>
    </w:p>
    <w:p w14:paraId="2E0C65C0" w14:textId="77777777" w:rsidR="009C62CB" w:rsidRDefault="00535315">
      <w:pPr>
        <w:pStyle w:val="TOCEntry"/>
        <w:ind w:left="360"/>
      </w:pPr>
      <w:r>
        <w:t>2.3 Conflict management .......................................... 6</w:t>
      </w:r>
    </w:p>
    <w:p w14:paraId="2CA832C5" w14:textId="77777777" w:rsidR="009C62CB" w:rsidRDefault="00535315">
      <w:pPr>
        <w:pStyle w:val="TOCEntry"/>
        <w:ind w:left="360"/>
      </w:pPr>
      <w:r>
        <w:t>2.4 Leadership and decision-making ............................... 7</w:t>
      </w:r>
    </w:p>
    <w:p w14:paraId="4BB07600" w14:textId="77777777" w:rsidR="009C62CB" w:rsidRDefault="00535315">
      <w:pPr>
        <w:pStyle w:val="TOCEntry"/>
        <w:ind w:left="360"/>
      </w:pPr>
      <w:r>
        <w:t>2.5 Critical evaluation .......................................... 8</w:t>
      </w:r>
    </w:p>
    <w:p w14:paraId="4BABADF3" w14:textId="77777777" w:rsidR="009C62CB" w:rsidRDefault="00535315">
      <w:pPr>
        <w:pStyle w:val="TOCEntry"/>
        <w:ind w:left="360"/>
      </w:pPr>
      <w:r>
        <w:t>3. Task 2: Managing a Multigenerational Workforce ................ 8</w:t>
      </w:r>
    </w:p>
    <w:p w14:paraId="143D15DA" w14:textId="77777777" w:rsidR="009C62CB" w:rsidRDefault="00535315">
      <w:pPr>
        <w:pStyle w:val="TOCEntry"/>
        <w:ind w:left="360"/>
      </w:pPr>
      <w:r>
        <w:t>3.1 Generation X ................................................. 9</w:t>
      </w:r>
    </w:p>
    <w:p w14:paraId="067C061E" w14:textId="77777777" w:rsidR="009C62CB" w:rsidRDefault="00535315">
      <w:pPr>
        <w:pStyle w:val="TOCEntry"/>
        <w:ind w:left="360"/>
      </w:pPr>
      <w:r>
        <w:t>3.2 Generation Y / Millennials ................................... 9</w:t>
      </w:r>
    </w:p>
    <w:p w14:paraId="5F037008" w14:textId="77777777" w:rsidR="009C62CB" w:rsidRDefault="00535315">
      <w:pPr>
        <w:pStyle w:val="TOCEntry"/>
        <w:ind w:left="360"/>
      </w:pPr>
      <w:r>
        <w:t>3.3 Generation Z ................................................. 9</w:t>
      </w:r>
    </w:p>
    <w:p w14:paraId="21EDD985" w14:textId="77777777" w:rsidR="009C62CB" w:rsidRDefault="00535315">
      <w:pPr>
        <w:pStyle w:val="TOCEntry"/>
        <w:ind w:left="360"/>
      </w:pPr>
      <w:r>
        <w:t>3.4 Organisational effectiveness and inclusive leadership ........ 10</w:t>
      </w:r>
    </w:p>
    <w:p w14:paraId="3CBE8B66" w14:textId="77777777" w:rsidR="009C62CB" w:rsidRDefault="00535315">
      <w:pPr>
        <w:pStyle w:val="TOCEntry"/>
        <w:ind w:left="360"/>
      </w:pPr>
      <w:r>
        <w:t>3.5 Critical perspective on generational management .............. 10</w:t>
      </w:r>
    </w:p>
    <w:p w14:paraId="74F697DA" w14:textId="77777777" w:rsidR="009C62CB" w:rsidRDefault="00535315">
      <w:pPr>
        <w:pStyle w:val="TOCEntry"/>
        <w:ind w:left="360"/>
      </w:pPr>
      <w:r>
        <w:t>4. Recommendations for Senior Management ......................... 11</w:t>
      </w:r>
    </w:p>
    <w:p w14:paraId="332C7132" w14:textId="77777777" w:rsidR="009C62CB" w:rsidRDefault="00535315">
      <w:pPr>
        <w:pStyle w:val="TOCEntry"/>
        <w:ind w:left="360"/>
      </w:pPr>
      <w:r>
        <w:t>5. Conclusion .................................................... 12</w:t>
      </w:r>
    </w:p>
    <w:p w14:paraId="4AFF4D53" w14:textId="77777777" w:rsidR="009C62CB" w:rsidRDefault="00535315">
      <w:pPr>
        <w:pStyle w:val="TOCEntry"/>
      </w:pPr>
      <w:r>
        <w:t>References ....................................................... 12</w:t>
      </w:r>
    </w:p>
    <w:p w14:paraId="3F4651E7" w14:textId="77777777" w:rsidR="009C62CB" w:rsidRDefault="00535315">
      <w:r>
        <w:br w:type="page"/>
      </w:r>
    </w:p>
    <w:p w14:paraId="07C0E237" w14:textId="77777777" w:rsidR="009C62CB" w:rsidRDefault="00535315">
      <w:pPr>
        <w:pStyle w:val="1"/>
      </w:pPr>
      <w:bookmarkStart w:id="0" w:name="Executive_Summary"/>
      <w:r>
        <w:t>Executive Summary</w:t>
      </w:r>
      <w:bookmarkEnd w:id="0"/>
    </w:p>
    <w:p w14:paraId="0DB2FC8D" w14:textId="77777777" w:rsidR="009C62CB" w:rsidRDefault="00535315">
      <w:r>
        <w:t>This report critically analyses emotional intelligence (EI) and mindfulness as organisational capabilities that influence performance, collaboration, leadership and employee well-being. Three major EI perspectives are examined: Goleman’s competency framework, Mayer and Salovey’s ability model, and Bar-On’s emotional-social intelligence model. The analysis argues that EI is most useful when treated neither as a fashionable leadership label nor as a substitute for cognitive ability, technical competence or so</w:t>
      </w:r>
      <w:r>
        <w:t>und organisational systems, but as a set of developable capabilities that help employees notice, interpret and regulate emotion in task and relationship contexts. Mindfulness is considered a complementary mechanism because present-moment attention can create a short pause between emotional stimulus and response, strengthening self-regulation and reflective decision-making.</w:t>
      </w:r>
    </w:p>
    <w:p w14:paraId="268F52EA" w14:textId="77777777" w:rsidR="009C62CB" w:rsidRDefault="00535315">
      <w:r>
        <w:t xml:space="preserve">The report also examines Generation X, Generation Y (Millennials) and Generation Z. A critical review of generational research shows that cohort labels can be useful for designing inclusive dialogue, but should not be used as rigid predictors of employee behaviour. Effective leadership therefore requires individualised management, psychological safety, flexible communication and evidence-based recruitment. The report recommends integrating EI and mindfulness into leadership development, conflict-management </w:t>
      </w:r>
      <w:r>
        <w:t>practice, recruitment assessment, manager coaching and cross-generational team routines. Used together, these approaches can help organisations build more inclusive leadership capability while reducing avoidable interpersonal friction and supporting sustainable performance.</w:t>
      </w:r>
    </w:p>
    <w:p w14:paraId="636C9C7E" w14:textId="77777777" w:rsidR="009C62CB" w:rsidRDefault="00535315">
      <w:pPr>
        <w:pStyle w:val="1"/>
      </w:pPr>
      <w:bookmarkStart w:id="1" w:name="Introduction"/>
      <w:r>
        <w:t>1. Introduction</w:t>
      </w:r>
      <w:bookmarkEnd w:id="1"/>
    </w:p>
    <w:p w14:paraId="58BC8489" w14:textId="77777777" w:rsidR="009C62CB" w:rsidRDefault="00535315">
      <w:r>
        <w:t>Contemporary organisations operate in conditions of uncertainty, hybrid working, rapid technological change and increasingly diverse employee expectations. In this environment, technical competence alone is insufficient for effective performance. Managers must recognise emotional cues, regulate their own reactions, communicate across differences and make decisions without allowing stress or interpersonal tension to distort judgement. Emotional intelligence is relevant to this challenge because it concerns t</w:t>
      </w:r>
      <w:r>
        <w:t>he effective use of emotional information in thinking and behaviour. Mindfulness adds a complementary attentional discipline: rather than removing emotion, it encourages observation of present experience with greater awareness and less automatic reactivity (Glomb et al., 2011; Hyland, Lee and Mills, 2015).</w:t>
      </w:r>
    </w:p>
    <w:p w14:paraId="533551C9" w14:textId="77777777" w:rsidR="009C62CB" w:rsidRDefault="00535315">
      <w:r>
        <w:t>The organisational climate described in the scenario provides a practical illustration. Improvements in morale, communication and conflict resolution following the use of mindfulness and EI suggest that interpersonal capability can influence wider team functioning. However, a critical academic report must distinguish between plausible mechanisms and claims of universal effectiveness. EI has been debated because different models define and measure it differently, while mindfulness research has expanded rapid</w:t>
      </w:r>
      <w:r>
        <w:t>ly but still contains variation in methods and outcomes. Accordingly, the analysis below evaluates both benefits and limitations and translates them into practical implications for leadership, employee development and recruitment.</w:t>
      </w:r>
    </w:p>
    <w:p w14:paraId="3F8F79F1" w14:textId="77777777" w:rsidR="009C62CB" w:rsidRDefault="00535315">
      <w:pPr>
        <w:pStyle w:val="1"/>
      </w:pPr>
      <w:bookmarkStart w:id="2" w:name="Task1"/>
      <w:r>
        <w:t>2. Task 1: Emotional Intelligence in the Workplace</w:t>
      </w:r>
      <w:bookmarkEnd w:id="2"/>
    </w:p>
    <w:p w14:paraId="7E45D7EE" w14:textId="77777777" w:rsidR="009C62CB" w:rsidRDefault="00535315">
      <w:r>
        <w:t xml:space="preserve">Emotional intelligence is best understood as a family of related approaches rather than a single uncontested construct. Mayer and Salovey’s ability model treats EI as the capacity to perceive emotion accurately, use emotion to facilitate thought, understand emotional meanings and regulate emotion in oneself and others. Goleman’s framework translates related capabilities into workplace competencies, particularly self-awareness, self-management, social awareness and relationship management. Bar-On’s model is </w:t>
      </w:r>
      <w:r>
        <w:t>broader still, combining intrapersonal and interpersonal competencies with adaptability, stress management and general mood. Ashkanasy and Daus (2005) argue that these different streams should be distinguished when evaluating evidence, because self-report competency models and ability-based tests are not interchangeable.</w:t>
      </w:r>
    </w:p>
    <w:p w14:paraId="5879CD4E" w14:textId="77777777" w:rsidR="009C62CB" w:rsidRDefault="00535315">
      <w:r>
        <w:t>This distinction matters for organisations. If EI is treated as a vague personality ideal, it may become difficult to assess, train or connect to performance. If it is treated only as a narrow cognitive ability, important behavioural capabilities such as empathy, resilience and relationship management may be underplayed. A balanced position is therefore to view EI as a set of capabilities with different levels of malleability and different measurement approaches, while recognising that organisational perfor</w:t>
      </w:r>
      <w:r>
        <w:t>mance also depends on job design, leadership systems, resources and culture.</w:t>
      </w:r>
    </w:p>
    <w:p w14:paraId="53C60F50" w14:textId="77777777" w:rsidR="009C62CB" w:rsidRDefault="00535315">
      <w:r>
        <w:rPr>
          <w:b/>
          <w:sz w:val="21"/>
        </w:rPr>
        <w:t>Table 1. Comparison of major emotional intelligence models</w:t>
      </w:r>
    </w:p>
    <w:tbl>
      <w:tblPr>
        <w:tblW w:w="0" w:type="auto"/>
        <w:jc w:val="center"/>
        <w:tblLayout w:type="fixed"/>
        <w:tblLook w:val="04A0" w:firstRow="1" w:lastRow="0" w:firstColumn="1" w:lastColumn="0" w:noHBand="0" w:noVBand="1"/>
      </w:tblPr>
      <w:tblGrid>
        <w:gridCol w:w="1800"/>
        <w:gridCol w:w="2880"/>
        <w:gridCol w:w="3240"/>
        <w:gridCol w:w="2952"/>
      </w:tblGrid>
      <w:tr w:rsidR="009C62CB" w14:paraId="2A94B267" w14:textId="77777777">
        <w:trPr>
          <w:cantSplit/>
          <w:tblHeader/>
          <w:jc w:val="center"/>
        </w:trPr>
        <w:tc>
          <w:tcPr>
            <w:tcW w:w="1800" w:type="dxa"/>
            <w:shd w:val="clear" w:color="auto" w:fill="D9EAF7"/>
            <w:tcMar>
              <w:top w:w="100" w:type="dxa"/>
              <w:left w:w="120" w:type="dxa"/>
              <w:bottom w:w="100" w:type="dxa"/>
              <w:right w:w="120" w:type="dxa"/>
            </w:tcMar>
            <w:vAlign w:val="center"/>
          </w:tcPr>
          <w:p w14:paraId="70465211" w14:textId="77777777" w:rsidR="009C62CB" w:rsidRDefault="00535315">
            <w:r>
              <w:rPr>
                <w:b/>
                <w:sz w:val="19"/>
              </w:rPr>
              <w:t>Model</w:t>
            </w:r>
          </w:p>
        </w:tc>
        <w:tc>
          <w:tcPr>
            <w:tcW w:w="2880" w:type="dxa"/>
            <w:shd w:val="clear" w:color="auto" w:fill="D9EAF7"/>
            <w:tcMar>
              <w:top w:w="100" w:type="dxa"/>
              <w:left w:w="120" w:type="dxa"/>
              <w:bottom w:w="100" w:type="dxa"/>
              <w:right w:w="120" w:type="dxa"/>
            </w:tcMar>
            <w:vAlign w:val="center"/>
          </w:tcPr>
          <w:p w14:paraId="54C7467E" w14:textId="77777777" w:rsidR="009C62CB" w:rsidRDefault="00535315">
            <w:r>
              <w:rPr>
                <w:b/>
                <w:sz w:val="19"/>
              </w:rPr>
              <w:t>Core emphasis</w:t>
            </w:r>
          </w:p>
        </w:tc>
        <w:tc>
          <w:tcPr>
            <w:tcW w:w="3240" w:type="dxa"/>
            <w:shd w:val="clear" w:color="auto" w:fill="D9EAF7"/>
            <w:tcMar>
              <w:top w:w="100" w:type="dxa"/>
              <w:left w:w="120" w:type="dxa"/>
              <w:bottom w:w="100" w:type="dxa"/>
              <w:right w:w="120" w:type="dxa"/>
            </w:tcMar>
            <w:vAlign w:val="center"/>
          </w:tcPr>
          <w:p w14:paraId="7BE83466" w14:textId="77777777" w:rsidR="009C62CB" w:rsidRDefault="00535315">
            <w:r>
              <w:rPr>
                <w:b/>
                <w:sz w:val="19"/>
              </w:rPr>
              <w:t>Organisational value</w:t>
            </w:r>
          </w:p>
        </w:tc>
        <w:tc>
          <w:tcPr>
            <w:tcW w:w="2952" w:type="dxa"/>
            <w:shd w:val="clear" w:color="auto" w:fill="D9EAF7"/>
            <w:tcMar>
              <w:top w:w="100" w:type="dxa"/>
              <w:left w:w="120" w:type="dxa"/>
              <w:bottom w:w="100" w:type="dxa"/>
              <w:right w:w="120" w:type="dxa"/>
            </w:tcMar>
            <w:vAlign w:val="center"/>
          </w:tcPr>
          <w:p w14:paraId="162F2B16" w14:textId="77777777" w:rsidR="009C62CB" w:rsidRDefault="00535315">
            <w:r>
              <w:rPr>
                <w:b/>
                <w:sz w:val="19"/>
              </w:rPr>
              <w:t>Critical limitation</w:t>
            </w:r>
          </w:p>
        </w:tc>
      </w:tr>
      <w:tr w:rsidR="009C62CB" w14:paraId="55244F49" w14:textId="77777777">
        <w:trPr>
          <w:cantSplit/>
          <w:jc w:val="center"/>
        </w:trPr>
        <w:tc>
          <w:tcPr>
            <w:tcW w:w="1800" w:type="dxa"/>
            <w:tcMar>
              <w:top w:w="100" w:type="dxa"/>
              <w:left w:w="120" w:type="dxa"/>
              <w:bottom w:w="100" w:type="dxa"/>
              <w:right w:w="120" w:type="dxa"/>
            </w:tcMar>
            <w:vAlign w:val="center"/>
          </w:tcPr>
          <w:p w14:paraId="258CD0DE" w14:textId="77777777" w:rsidR="009C62CB" w:rsidRDefault="00535315">
            <w:pPr>
              <w:pStyle w:val="TableText"/>
            </w:pPr>
            <w:r>
              <w:rPr>
                <w:b/>
              </w:rPr>
              <w:t>Mayer and Salovey</w:t>
            </w:r>
          </w:p>
        </w:tc>
        <w:tc>
          <w:tcPr>
            <w:tcW w:w="2880" w:type="dxa"/>
            <w:tcMar>
              <w:top w:w="100" w:type="dxa"/>
              <w:left w:w="120" w:type="dxa"/>
              <w:bottom w:w="100" w:type="dxa"/>
              <w:right w:w="120" w:type="dxa"/>
            </w:tcMar>
            <w:vAlign w:val="center"/>
          </w:tcPr>
          <w:p w14:paraId="26359803" w14:textId="77777777" w:rsidR="009C62CB" w:rsidRDefault="00535315">
            <w:pPr>
              <w:pStyle w:val="TableText"/>
            </w:pPr>
            <w:r>
              <w:t>Ability-based: perceive, use, understand and manage emotion</w:t>
            </w:r>
          </w:p>
        </w:tc>
        <w:tc>
          <w:tcPr>
            <w:tcW w:w="3240" w:type="dxa"/>
            <w:tcMar>
              <w:top w:w="100" w:type="dxa"/>
              <w:left w:w="120" w:type="dxa"/>
              <w:bottom w:w="100" w:type="dxa"/>
              <w:right w:w="120" w:type="dxa"/>
            </w:tcMar>
            <w:vAlign w:val="center"/>
          </w:tcPr>
          <w:p w14:paraId="711569E1" w14:textId="77777777" w:rsidR="009C62CB" w:rsidRDefault="00535315">
            <w:pPr>
              <w:pStyle w:val="TableText"/>
            </w:pPr>
            <w:r>
              <w:t>Useful for conceptual clarity and performance-related assessment</w:t>
            </w:r>
          </w:p>
        </w:tc>
        <w:tc>
          <w:tcPr>
            <w:tcW w:w="2952" w:type="dxa"/>
            <w:tcMar>
              <w:top w:w="100" w:type="dxa"/>
              <w:left w:w="120" w:type="dxa"/>
              <w:bottom w:w="100" w:type="dxa"/>
              <w:right w:w="120" w:type="dxa"/>
            </w:tcMar>
            <w:vAlign w:val="center"/>
          </w:tcPr>
          <w:p w14:paraId="5D8BBED1" w14:textId="77777777" w:rsidR="009C62CB" w:rsidRDefault="00535315">
            <w:pPr>
              <w:pStyle w:val="TableText"/>
            </w:pPr>
            <w:r>
              <w:t>Ability tests can be less intuitive for managers; evidence shows relationships with performance are meaningful but not deterministic</w:t>
            </w:r>
          </w:p>
        </w:tc>
      </w:tr>
      <w:tr w:rsidR="009C62CB" w14:paraId="374B5A7D" w14:textId="77777777">
        <w:trPr>
          <w:cantSplit/>
          <w:jc w:val="center"/>
        </w:trPr>
        <w:tc>
          <w:tcPr>
            <w:tcW w:w="1800" w:type="dxa"/>
            <w:tcMar>
              <w:top w:w="100" w:type="dxa"/>
              <w:left w:w="120" w:type="dxa"/>
              <w:bottom w:w="100" w:type="dxa"/>
              <w:right w:w="120" w:type="dxa"/>
            </w:tcMar>
            <w:vAlign w:val="center"/>
          </w:tcPr>
          <w:p w14:paraId="6D028AEB" w14:textId="77777777" w:rsidR="009C62CB" w:rsidRDefault="00535315">
            <w:pPr>
              <w:pStyle w:val="TableText"/>
            </w:pPr>
            <w:r>
              <w:rPr>
                <w:b/>
              </w:rPr>
              <w:t>Goleman</w:t>
            </w:r>
          </w:p>
        </w:tc>
        <w:tc>
          <w:tcPr>
            <w:tcW w:w="2880" w:type="dxa"/>
            <w:tcMar>
              <w:top w:w="100" w:type="dxa"/>
              <w:left w:w="120" w:type="dxa"/>
              <w:bottom w:w="100" w:type="dxa"/>
              <w:right w:w="120" w:type="dxa"/>
            </w:tcMar>
            <w:vAlign w:val="center"/>
          </w:tcPr>
          <w:p w14:paraId="15984CB0" w14:textId="77777777" w:rsidR="009C62CB" w:rsidRDefault="00535315">
            <w:pPr>
              <w:pStyle w:val="TableText"/>
            </w:pPr>
            <w:r>
              <w:t>Workplace competencies: self-awareness, self-management, social awareness and relationship management</w:t>
            </w:r>
          </w:p>
        </w:tc>
        <w:tc>
          <w:tcPr>
            <w:tcW w:w="3240" w:type="dxa"/>
            <w:tcMar>
              <w:top w:w="100" w:type="dxa"/>
              <w:left w:w="120" w:type="dxa"/>
              <w:bottom w:w="100" w:type="dxa"/>
              <w:right w:w="120" w:type="dxa"/>
            </w:tcMar>
            <w:vAlign w:val="center"/>
          </w:tcPr>
          <w:p w14:paraId="0EC2C466" w14:textId="77777777" w:rsidR="009C62CB" w:rsidRDefault="00535315">
            <w:pPr>
              <w:pStyle w:val="TableText"/>
            </w:pPr>
            <w:r>
              <w:t>Highly accessible for leadership development and behavioural coaching</w:t>
            </w:r>
          </w:p>
        </w:tc>
        <w:tc>
          <w:tcPr>
            <w:tcW w:w="2952" w:type="dxa"/>
            <w:tcMar>
              <w:top w:w="100" w:type="dxa"/>
              <w:left w:w="120" w:type="dxa"/>
              <w:bottom w:w="100" w:type="dxa"/>
              <w:right w:w="120" w:type="dxa"/>
            </w:tcMar>
            <w:vAlign w:val="center"/>
          </w:tcPr>
          <w:p w14:paraId="60F522F7" w14:textId="77777777" w:rsidR="009C62CB" w:rsidRDefault="00535315">
            <w:pPr>
              <w:pStyle w:val="TableText"/>
            </w:pPr>
            <w:r>
              <w:t>Broad framework can blur EI with personality, social skills and learned competencies</w:t>
            </w:r>
          </w:p>
        </w:tc>
      </w:tr>
      <w:tr w:rsidR="009C62CB" w14:paraId="6C2F6991" w14:textId="77777777">
        <w:trPr>
          <w:cantSplit/>
          <w:jc w:val="center"/>
        </w:trPr>
        <w:tc>
          <w:tcPr>
            <w:tcW w:w="1800" w:type="dxa"/>
            <w:tcMar>
              <w:top w:w="100" w:type="dxa"/>
              <w:left w:w="120" w:type="dxa"/>
              <w:bottom w:w="100" w:type="dxa"/>
              <w:right w:w="120" w:type="dxa"/>
            </w:tcMar>
            <w:vAlign w:val="center"/>
          </w:tcPr>
          <w:p w14:paraId="60DB3172" w14:textId="77777777" w:rsidR="009C62CB" w:rsidRDefault="00535315">
            <w:pPr>
              <w:pStyle w:val="TableText"/>
            </w:pPr>
            <w:r>
              <w:rPr>
                <w:b/>
              </w:rPr>
              <w:t>Bar-On</w:t>
            </w:r>
          </w:p>
        </w:tc>
        <w:tc>
          <w:tcPr>
            <w:tcW w:w="2880" w:type="dxa"/>
            <w:tcMar>
              <w:top w:w="100" w:type="dxa"/>
              <w:left w:w="120" w:type="dxa"/>
              <w:bottom w:w="100" w:type="dxa"/>
              <w:right w:w="120" w:type="dxa"/>
            </w:tcMar>
            <w:vAlign w:val="center"/>
          </w:tcPr>
          <w:p w14:paraId="5404B98E" w14:textId="77777777" w:rsidR="009C62CB" w:rsidRDefault="00535315">
            <w:pPr>
              <w:pStyle w:val="TableText"/>
            </w:pPr>
            <w:r>
              <w:t>Emotional-social competencies, including intrapersonal, interpersonal, adaptability and stress management</w:t>
            </w:r>
          </w:p>
        </w:tc>
        <w:tc>
          <w:tcPr>
            <w:tcW w:w="3240" w:type="dxa"/>
            <w:tcMar>
              <w:top w:w="100" w:type="dxa"/>
              <w:left w:w="120" w:type="dxa"/>
              <w:bottom w:w="100" w:type="dxa"/>
              <w:right w:w="120" w:type="dxa"/>
            </w:tcMar>
            <w:vAlign w:val="center"/>
          </w:tcPr>
          <w:p w14:paraId="544F5FF1" w14:textId="77777777" w:rsidR="009C62CB" w:rsidRDefault="00535315">
            <w:pPr>
              <w:pStyle w:val="TableText"/>
            </w:pPr>
            <w:r>
              <w:t>Strong practical emphasis on coping, relationships and well-being</w:t>
            </w:r>
          </w:p>
        </w:tc>
        <w:tc>
          <w:tcPr>
            <w:tcW w:w="2952" w:type="dxa"/>
            <w:tcMar>
              <w:top w:w="100" w:type="dxa"/>
              <w:left w:w="120" w:type="dxa"/>
              <w:bottom w:w="100" w:type="dxa"/>
              <w:right w:w="120" w:type="dxa"/>
            </w:tcMar>
            <w:vAlign w:val="center"/>
          </w:tcPr>
          <w:p w14:paraId="042074D9" w14:textId="77777777" w:rsidR="009C62CB" w:rsidRDefault="00535315">
            <w:pPr>
              <w:pStyle w:val="TableText"/>
            </w:pPr>
            <w:r>
              <w:t>Self-report format creates risks of social desirability and overlap with established personality constructs</w:t>
            </w:r>
          </w:p>
        </w:tc>
      </w:tr>
    </w:tbl>
    <w:p w14:paraId="71F1DD7A" w14:textId="77777777" w:rsidR="009C62CB" w:rsidRDefault="00535315">
      <w:r>
        <w:t>The models should therefore be selected for purpose rather than treated as competing labels. For leadership development, Goleman offers an accessible behavioural language; for psychometric precision, the Mayer–Salovey tradition provides a clearer ability construct; and for broader well-being and coping, Bar-On offers a practical social-emotional competency lens (Mayer, Salovey and Caruso, 2004; Bar-On, 2006).</w:t>
      </w:r>
    </w:p>
    <w:p w14:paraId="66CA909F" w14:textId="77777777" w:rsidR="009C62CB" w:rsidRDefault="00535315">
      <w:pPr>
        <w:pStyle w:val="21"/>
      </w:pPr>
      <w:bookmarkStart w:id="3" w:name="2_1_Applying_EI_to_performance_and_well_"/>
      <w:r>
        <w:t>2.1 Applying EI to performance and well-being</w:t>
      </w:r>
      <w:bookmarkEnd w:id="3"/>
    </w:p>
    <w:p w14:paraId="041B14FB" w14:textId="77777777" w:rsidR="009C62CB" w:rsidRDefault="00535315">
      <w:r>
        <w:t>Employees apply EI first through self-awareness: identifying emotional states, triggers and patterns before they influence behaviour. In a high-pressure meeting, for example, recognising frustration can prevent a defensive reply and allow an employee to reframe the issue around evidence and objectives. Self-management then involves selecting a response rather than simply suppressing emotion. Goleman’s framework is particularly useful here because it converts abstract emotional capability into observable pra</w:t>
      </w:r>
      <w:r>
        <w:t>ctices such as impulse control, adaptability, achievement orientation and initiative (Goleman, 1998). The practical value is not that employees become emotionless; rather, they become better able to keep emotion proportionate to the task.</w:t>
      </w:r>
    </w:p>
    <w:p w14:paraId="1E00A645" w14:textId="77777777" w:rsidR="009C62CB" w:rsidRDefault="00535315">
      <w:r>
        <w:t>Mayer and Salovey’s model deepens this reasoning by showing why emotional information can assist performance. Perceiving emotional cues can alert an employee to declining engagement or emerging tension; understanding emotion can help explain why a colleague responds strongly; and regulating emotion can maintain constructive attention when disagreement is unavoidable. Evidence using ability-based EI measures has found associations with individual and group performance, although the relationships are generall</w:t>
      </w:r>
      <w:r>
        <w:t>y modest rather than magical predictors of success (Mayer, Salovey and Caruso, 2004). This supports a critical interpretation: EI is a performance resource, not a replacement for professional expertise, cognition or motivation.</w:t>
      </w:r>
    </w:p>
    <w:p w14:paraId="19F76AAD" w14:textId="77777777" w:rsidR="009C62CB" w:rsidRDefault="00535315">
      <w:r>
        <w:t>Mindfulness can strengthen this process by improving attentional control and awareness of internal experience. Glomb et al. (2011) propose that mindfulness may support self-regulation of thoughts, emotions and behaviour, while a later structured review of workplace research found substantial attention to links with performance and health outcomes, alongside gaps in knowledge about moderators and intervention design (Hyland, Lee and Mills, 2015). In practice, brief mindful pauses before difficult meetings, r</w:t>
      </w:r>
      <w:r>
        <w:t>eflective check-ins after emotionally demanding events and deliberate attention to bodily stress cues can help employees intervene earlier. The main managerial lesson is that well-being should not be framed solely as an individual resilience problem: workload, role conflict and poor management can generate the stress that mindfulness is then expected to contain.</w:t>
      </w:r>
    </w:p>
    <w:p w14:paraId="43C43EDF" w14:textId="77777777" w:rsidR="009C62CB" w:rsidRDefault="00535315">
      <w:pPr>
        <w:pStyle w:val="21"/>
      </w:pPr>
      <w:bookmarkStart w:id="4" w:name="2_2_Communication_and_collaboration"/>
      <w:r>
        <w:t>2.2 Communication and collaboration</w:t>
      </w:r>
      <w:bookmarkEnd w:id="4"/>
    </w:p>
    <w:p w14:paraId="5AACCA8D" w14:textId="77777777" w:rsidR="009C62CB" w:rsidRDefault="00535315">
      <w:r>
        <w:t>EI enhances communication by combining accurate emotional reading with disciplined expression. Social awareness supports perspective-taking: a manager can notice whether silence indicates agreement, uncertainty or disengagement rather than assuming that every quiet employee is satisfied. Relationship management then helps the manager adapt tone, timing and channel. This is especially important in hybrid teams, where non-verbal cues are weaker and misunderstandings can escalate through short written messages</w:t>
      </w:r>
      <w:r>
        <w:t>.</w:t>
      </w:r>
    </w:p>
    <w:p w14:paraId="31E35F63" w14:textId="77777777" w:rsidR="009C62CB" w:rsidRDefault="00535315">
      <w:r>
        <w:t>Empathy, however, should not be confused with agreement. An emotionally intelligent manager can acknowledge an employee’s concern while still challenging weak reasoning or poor performance. This distinction protects accountability. In collaborative work, EI is therefore strongest when empathy is combined with clear standards, active listening and transparent decision rules. Jordan and Troth (2004) found that EI indicators were positively linked with team performance and were differentially related to confli</w:t>
      </w:r>
      <w:r>
        <w:t>ct-resolution methods, supporting the argument that emotional capabilities affect how teams process disagreement rather than simply making teams more pleasant.</w:t>
      </w:r>
    </w:p>
    <w:p w14:paraId="7ACF1C79" w14:textId="77777777" w:rsidR="009C62CB" w:rsidRDefault="00535315">
      <w:r>
        <w:t>Mindfulness reinforces these communication practices by reducing automaticity. A mindful manager can listen without mentally preparing a rebuttal, notice a rising emotional reaction and return attention to the speaker. This is particularly valuable for psychologically safe discussion, because employees are more likely to contribute when leaders respond with curiosity rather than rapid judgement. The contribution of mindfulness is therefore process-oriented: it improves the quality of attention that underpin</w:t>
      </w:r>
      <w:r>
        <w:t>s EI-related communication.</w:t>
      </w:r>
    </w:p>
    <w:p w14:paraId="7684410B" w14:textId="77777777" w:rsidR="009C62CB" w:rsidRDefault="00535315">
      <w:pPr>
        <w:pStyle w:val="21"/>
      </w:pPr>
      <w:bookmarkStart w:id="5" w:name="2_3_Conflict_management"/>
      <w:r>
        <w:t>2.3 Conflict management</w:t>
      </w:r>
      <w:bookmarkEnd w:id="5"/>
    </w:p>
    <w:p w14:paraId="4AC04333" w14:textId="77777777" w:rsidR="009C62CB" w:rsidRDefault="00535315">
      <w:r>
        <w:t>Workplace conflict is not inherently dysfunctional. Task conflict can improve decisions when it exposes assumptions, while relationship conflict becomes costly when disagreement becomes personal. EI can help leaders separate the content of a disagreement from the emotions attached to it. Self-awareness helps leaders identify when they are becoming invested in being right; empathy helps them understand how the same interaction is experienced by others; and regulation makes it easier to de-escalate without av</w:t>
      </w:r>
      <w:r>
        <w:t>oiding the issue.</w:t>
      </w:r>
    </w:p>
    <w:p w14:paraId="4CDECD46" w14:textId="77777777" w:rsidR="009C62CB" w:rsidRDefault="00535315">
      <w:r>
        <w:t>A practical EI-based conflict sequence is: pause, identify the emotional signal, clarify the facts, distinguish interests from positions, invite each party’s perspective, and agree observable next steps. Mindfulness supports the first three stages by creating attentional space before a reactive response. This approach also supports fairness: rather than rewarding the loudest voice, the manager can slow the process and make participation more balanced.</w:t>
      </w:r>
    </w:p>
    <w:p w14:paraId="1A75D6CA" w14:textId="77777777" w:rsidR="009C62CB" w:rsidRDefault="00535315">
      <w:r>
        <w:t>Nevertheless, EI should not be romanticised as a universal conflict cure. Structural problems such as ambiguous authority, incompatible incentives or resource scarcity can create recurring conflict regardless of interpersonal skill. Moreover, excessive emotional management can become emotional labour, especially when employees are expected to remain calm in inequitable situations. Organisational interventions should therefore pair EI development with clear role design, fair procedures and mechanisms for rai</w:t>
      </w:r>
      <w:r>
        <w:t>sing concerns.</w:t>
      </w:r>
    </w:p>
    <w:p w14:paraId="35BDCD7D" w14:textId="77777777" w:rsidR="009C62CB" w:rsidRDefault="00535315">
      <w:pPr>
        <w:pStyle w:val="21"/>
      </w:pPr>
      <w:bookmarkStart w:id="6" w:name="2_4_Leadership_and_decision_making"/>
      <w:r>
        <w:t>2.4 Leadership and decision-making</w:t>
      </w:r>
      <w:bookmarkEnd w:id="6"/>
    </w:p>
    <w:p w14:paraId="4D810089" w14:textId="77777777" w:rsidR="009C62CB" w:rsidRDefault="00535315">
      <w:r>
        <w:t>Emotionally intelligent leadership combines self-knowledge with the ability to shape collective emotional conditions. Goleman’s social awareness and relationship management components align closely with leadership behaviours such as coaching, communicating a compelling direction and repairing trust after mistakes. Leaders who can name difficult emotions without amplifying them may create greater stability during change. At the same time, leaders need the courage to deliver difficult feedback, which means EI</w:t>
      </w:r>
      <w:r>
        <w:t xml:space="preserve"> cannot be reduced to being agreeable.</w:t>
      </w:r>
    </w:p>
    <w:p w14:paraId="68FE7696" w14:textId="77777777" w:rsidR="009C62CB" w:rsidRDefault="00535315">
      <w:r>
        <w:t>The ability model adds an important decision-making perspective. Emotions contain information about risk, values and interpersonal consequences, but they can also bias judgement. EI involves recognising when emotion is useful data and when it is distorting attention. A manager deciding whether to restructure a team, for example, should acknowledge anxiety about change but should not interpret fear as evidence that change is necessarily wrong. Mindfulness can support this distinction by encouraging observati</w:t>
      </w:r>
      <w:r>
        <w:t>on of thoughts and feelings without immediately treating them as facts.</w:t>
      </w:r>
    </w:p>
    <w:p w14:paraId="05184B23" w14:textId="77777777" w:rsidR="009C62CB" w:rsidRDefault="00535315">
      <w:r>
        <w:t>For the organisation, the implication is that EI should be embedded in leadership routines rather than delivered as a one-off workshop. Coaching can use real cases; managers can reflect on decision triggers; teams can review how disagreement was handled; and leaders can practise mindful pauses before high-stakes conversations. Research on mindfulness at work suggests potential improvements in resilience, job performance, satisfaction and leaders’ ability to organise and motivate teams, while also noting tha</w:t>
      </w:r>
      <w:r>
        <w:t>t the evidence base remains uneven (Hyland, Lee and Mills, 2015).</w:t>
      </w:r>
    </w:p>
    <w:p w14:paraId="10072DBF" w14:textId="77777777" w:rsidR="009C62CB" w:rsidRDefault="00535315">
      <w:pPr>
        <w:pStyle w:val="21"/>
      </w:pPr>
      <w:bookmarkStart w:id="7" w:name="2_5_Critical_evaluation"/>
      <w:r>
        <w:t>2.5 Critical evaluation</w:t>
      </w:r>
      <w:bookmarkEnd w:id="7"/>
    </w:p>
    <w:p w14:paraId="7E72BC6B" w14:textId="77777777" w:rsidR="009C62CB" w:rsidRDefault="00535315">
      <w:r>
        <w:t xml:space="preserve">The strongest argument for EI is therefore conditional rather than absolute. It contributes when emotional information is relevant to work, when employees have sufficient autonomy to act on what they perceive, and when organisational systems reinforce constructive behaviour. Measurement is a major limitation. Ability-based EI tests are different from self-report instruments, and some mixed models overlap with personality and social competence (Ashkanasy and Daus, 2005). Organisations should therefore avoid </w:t>
      </w:r>
      <w:r>
        <w:t>using a single EQ score as a proxy for leadership potential.</w:t>
      </w:r>
    </w:p>
    <w:p w14:paraId="12B35261" w14:textId="77777777" w:rsidR="009C62CB" w:rsidRDefault="00535315">
      <w:r>
        <w:t>There is also an ethical dimension. Selecting candidates because they appear emotionally composed can disadvantage individuals from different cultural communication norms or those who are neurodivergent. Recruitment should assess job-relevant behaviours, not conformity to one narrow emotional style. Similarly, mindfulness programmes should be voluntary or sensitively implemented rather than used to imply that employees are responsible for adapting to unhealthy working conditions. A credible EI strategy ther</w:t>
      </w:r>
      <w:r>
        <w:t>efore combines development with structural change: managers model the expected behaviours, workloads and incentives support them, and employees have safe routes to challenge harmful practice.</w:t>
      </w:r>
    </w:p>
    <w:p w14:paraId="046C104F" w14:textId="77777777" w:rsidR="009C62CB" w:rsidRDefault="00535315">
      <w:pPr>
        <w:pStyle w:val="1"/>
      </w:pPr>
      <w:bookmarkStart w:id="8" w:name="Task2"/>
      <w:r>
        <w:t>3. Task 2: Managing a Multigenerational Workforce</w:t>
      </w:r>
      <w:bookmarkEnd w:id="8"/>
    </w:p>
    <w:p w14:paraId="40BA5B99" w14:textId="77777777" w:rsidR="009C62CB" w:rsidRDefault="00535315">
      <w:r>
        <w:t>A multigenerational workforce can be a source of knowledge diversity, but it also creates potential differences in expectations about communication, career development, hierarchy, flexibility and technology. Generation X is commonly associated with employees who experienced early digital transformation and often value autonomy and pragmatic career management. Millennials (Generation Y) entered adulthood during the expansion of digital communication and are frequently described as seeking development, meanin</w:t>
      </w:r>
      <w:r>
        <w:t>gful work, feedback and flexibility. Generation Z, now entering and progressing through the labour market, has been shaped by ubiquitous smartphones, social platforms, economic uncertainty and rapid technological change (Schroth, 2019). Yet these descriptions must be treated as tendencies, not fixed identities.</w:t>
      </w:r>
    </w:p>
    <w:p w14:paraId="4858DF90" w14:textId="77777777" w:rsidR="009C62CB" w:rsidRDefault="00535315">
      <w:r>
        <w:t>The strongest research warning is that many supposed generation effects are difficult to separate from age and life-stage effects. Costanza and Finkelstein (2015) find limited solid evidence for many popular generational claims, while Lyons et al. (2014) call for more rigorous research. Consequently, managers should not assume that every Gen X employee prefers email, every Millennial wants constant feedback, or every Gen Z employee rejects face-to-face work. The practical task is to design systems that allo</w:t>
      </w:r>
      <w:r>
        <w:t>w individual preferences to be understood without turning age into a shortcut for judgement.</w:t>
      </w:r>
    </w:p>
    <w:p w14:paraId="14856F22" w14:textId="77777777" w:rsidR="009C62CB" w:rsidRDefault="00535315">
      <w:pPr>
        <w:pStyle w:val="21"/>
      </w:pPr>
      <w:bookmarkStart w:id="9" w:name="3_1_Generation_X"/>
      <w:r>
        <w:t>3.1 Generation X</w:t>
      </w:r>
      <w:bookmarkEnd w:id="9"/>
    </w:p>
    <w:p w14:paraId="5E051A55" w14:textId="77777777" w:rsidR="009C62CB" w:rsidRDefault="00535315">
      <w:r>
        <w:t>Generation X employees may bring strong experience of organisational change, a preference for autonomy and pragmatic expectations about career progression. In many workplaces, they occupy pivotal roles connecting senior leadership with younger employees. Their experience can make them valuable sources of institutional knowledge, but it can also create frustration if technological change is implemented without recognising established expertise. Managers should therefore avoid presenting digital adoption as a</w:t>
      </w:r>
      <w:r>
        <w:t xml:space="preserve"> contest between ‘old’ and ‘new’. Reverse mentoring, two-way skills exchange and role-based training can position experienced employees as contributors to innovation rather than recipients of change.</w:t>
      </w:r>
    </w:p>
    <w:p w14:paraId="04D00473" w14:textId="77777777" w:rsidR="009C62CB" w:rsidRDefault="00535315">
      <w:r>
        <w:t>EI is useful because it allows managers to recognise possible concerns without stereotyping them as resistance. Mindfulness can help leaders slow down when interpreting scepticism: a challenging question may reflect professional caution, not negativity. Inclusive management then focuses on the employee’s actual contribution and evidence of need.</w:t>
      </w:r>
    </w:p>
    <w:p w14:paraId="3B4773E3" w14:textId="77777777" w:rsidR="009C62CB" w:rsidRDefault="00535315">
      <w:pPr>
        <w:pStyle w:val="21"/>
      </w:pPr>
      <w:bookmarkStart w:id="10" w:name="3_2_Generation_Y___Millennials"/>
      <w:r>
        <w:t>3.2 Generation Y / Millennials</w:t>
      </w:r>
      <w:bookmarkEnd w:id="10"/>
    </w:p>
    <w:p w14:paraId="3F35A993" w14:textId="77777777" w:rsidR="009C62CB" w:rsidRDefault="00535315">
      <w:r>
        <w:t>Millennials are often described as valuing development, purpose, flexibility and regular feedback. Research on managing Millennials suggests that workplace culture and organisational commitment can interact in distinctive ways, but also warns against one-dimensional negative portrayals (Hershatter and Epstein, 2017). Anderson et al. (2017) argue that established leadership theories may need adaptation as younger workers bring different expectations about the role of work in their lives.</w:t>
      </w:r>
    </w:p>
    <w:p w14:paraId="08B74BA4" w14:textId="77777777" w:rsidR="009C62CB" w:rsidRDefault="00535315">
      <w:r>
        <w:t>The managerial implication is to emphasise clarity and developmental dialogue rather than assume entitlement or low loyalty. Frequent developmental conversations can link individual goals with organisational outcomes. Flexible working may support retention where roles permit it, but flexibility should be governed by outputs and collaboration requirements rather than offered according to age. EI helps managers negotiate these expectations by combining empathy with explicit boundaries.</w:t>
      </w:r>
    </w:p>
    <w:p w14:paraId="7ADD80E1" w14:textId="77777777" w:rsidR="009C62CB" w:rsidRDefault="00535315">
      <w:pPr>
        <w:pStyle w:val="21"/>
      </w:pPr>
      <w:bookmarkStart w:id="11" w:name="3_3_Generation_Z"/>
      <w:r>
        <w:t>3.3 Generation Z</w:t>
      </w:r>
      <w:bookmarkEnd w:id="11"/>
    </w:p>
    <w:p w14:paraId="1EA641AF" w14:textId="77777777" w:rsidR="009C62CB" w:rsidRDefault="00535315">
      <w:r>
        <w:t xml:space="preserve">Generation Z is often characterised as digitally fluent, comfortable with rapid information exchange and attentive to transparency, inclusion and career development. Recent research also points to the importance of job security, relationships, pay, learning opportunities and clear career paths, suggesting that Gen Z should not be reduced to a stereotype of technology dependence (Schroth, 2019). Schroth (2019) argues that organisations need to understand the distinctive experiences shaping this cohort while </w:t>
      </w:r>
      <w:r>
        <w:t>recognising similarities with Millennials.</w:t>
      </w:r>
    </w:p>
    <w:p w14:paraId="6B32997C" w14:textId="77777777" w:rsidR="009C62CB" w:rsidRDefault="00535315">
      <w:r>
        <w:t>The most useful response is to design technology-enabled work without assuming that digital communication is always superior. Managers can provide concise written instructions, accessible collaboration platforms and timely feedback, while retaining opportunities for coaching and face-to-face or video interaction when complexity demands richer communication. EI supports this balance by helping managers recognise when communication preferences are creating misunderstanding. Mindfulness can reduce the pressure</w:t>
      </w:r>
      <w:r>
        <w:t xml:space="preserve"> to respond instantly, encouraging attention to message quality rather than notification volume.</w:t>
      </w:r>
    </w:p>
    <w:p w14:paraId="0F370BC2" w14:textId="77777777" w:rsidR="009C62CB" w:rsidRDefault="00535315">
      <w:pPr>
        <w:pStyle w:val="21"/>
      </w:pPr>
      <w:bookmarkStart w:id="12" w:name="3_4_Organisational_effectiveness_and_inc"/>
      <w:r>
        <w:t>3.4 Organisational effectiveness and inclusive leadership</w:t>
      </w:r>
      <w:bookmarkEnd w:id="12"/>
    </w:p>
    <w:p w14:paraId="4DCABF8F" w14:textId="77777777" w:rsidR="009C62CB" w:rsidRDefault="00535315">
      <w:r>
        <w:t>Differences across generations can affect organisational effectiveness when they become value conflicts rather than sources of complementary knowledge. Communication can break down if one group interprets brevity as efficiency and another interprets it as disrespect. Motivation can diverge when some employees prioritise autonomy while others want structured development. Technological adaptability can also become a status issue if expertise in new tools is mistakenly treated as equivalent to overall competen</w:t>
      </w:r>
      <w:r>
        <w:t>ce.</w:t>
      </w:r>
    </w:p>
    <w:p w14:paraId="76239F9F" w14:textId="77777777" w:rsidR="009C62CB" w:rsidRDefault="00535315">
      <w:r>
        <w:t>EI provides an inclusive leadership mechanism because it focuses attention on the emotional meaning of interactions. Managers can ask open questions, test assumptions and adapt communication without labelling employees. Mindfulness supports this by encouraging non-judgemental observation, especially where age-related assumptions are easily activated. This is important for psychological safety: employees need to feel able to ask questions, disagree and admit mistakes without being diminished.</w:t>
      </w:r>
    </w:p>
    <w:p w14:paraId="4FAF8C53" w14:textId="77777777" w:rsidR="009C62CB" w:rsidRDefault="00535315">
      <w:r>
        <w:t>For recruitment and retention, organisations should use structured, job-relevant criteria rather than generational proxies. Interviews can assess communication, problem-solving and collaboration through consistent scenarios. Onboarding can include cross-generational buddying. Development programmes can combine mentoring and reverse mentoring. Team agreements can establish expectations around response times, meetings, feedback and technology use. These practices reduce ambiguity while respecting individual d</w:t>
      </w:r>
      <w:r>
        <w:t>ifference.</w:t>
      </w:r>
    </w:p>
    <w:p w14:paraId="1CA725D8" w14:textId="77777777" w:rsidR="009C62CB" w:rsidRDefault="00535315">
      <w:pPr>
        <w:pStyle w:val="21"/>
      </w:pPr>
      <w:bookmarkStart w:id="13" w:name="3_5_Critical_perspective_on_generational"/>
      <w:r>
        <w:t>3.5 Critical perspective on generational management</w:t>
      </w:r>
      <w:bookmarkEnd w:id="13"/>
    </w:p>
    <w:p w14:paraId="53639334" w14:textId="77777777" w:rsidR="009C62CB" w:rsidRDefault="00535315">
      <w:r>
        <w:t>A danger of ‘generational management’ is that organisations may create the very differences they claim to observe. When managers expect Gen Z to need constant feedback, for example, they may offer more feedback to younger employees and then conclude that younger employees require more feedback. Similarly, assuming older employees resist technology can reduce their access to training and reinforce an exclusionary culture. The literature therefore supports a principle of differentiated support without categor</w:t>
      </w:r>
      <w:r>
        <w:t>ical treatment.</w:t>
      </w:r>
    </w:p>
    <w:p w14:paraId="2E131386" w14:textId="77777777" w:rsidR="009C62CB" w:rsidRDefault="00535315">
      <w:r>
        <w:t>The most defensible approach is intersectional and individualised: generation is one possible context, alongside role, career stage, culture, personality, family circumstances and experience. Managers should use EI to inquire rather than infer, and mindfulness to notice their own assumptions before acting on them. This creates a practical route to inclusion that does not depend on believing every generational stereotype.</w:t>
      </w:r>
    </w:p>
    <w:p w14:paraId="2CE0C928" w14:textId="77777777" w:rsidR="009C62CB" w:rsidRDefault="00535315">
      <w:pPr>
        <w:pStyle w:val="1"/>
      </w:pPr>
      <w:bookmarkStart w:id="14" w:name="Recommendations"/>
      <w:r>
        <w:t>4. Recommendations for Senior Management</w:t>
      </w:r>
      <w:bookmarkEnd w:id="14"/>
    </w:p>
    <w:p w14:paraId="4691D654" w14:textId="77777777" w:rsidR="009C62CB" w:rsidRDefault="00535315">
      <w:pPr>
        <w:pStyle w:val="21"/>
      </w:pPr>
      <w:r>
        <w:t>4.1 Embed EI in leadership development</w:t>
      </w:r>
    </w:p>
    <w:p w14:paraId="63D82357" w14:textId="77777777" w:rsidR="009C62CB" w:rsidRDefault="00535315">
      <w:r>
        <w:t>Use the three models as complementary lenses. Leadership development should cover self-awareness, emotional regulation, empathy, conflict skills and emotionally informed decision-making, with assessment based on observed workplace behaviour rather than a single EQ score.</w:t>
      </w:r>
    </w:p>
    <w:p w14:paraId="75D09DBD" w14:textId="77777777" w:rsidR="009C62CB" w:rsidRDefault="00535315">
      <w:pPr>
        <w:pStyle w:val="21"/>
      </w:pPr>
      <w:r>
        <w:t>4.2 Introduce brief, evidence-informed mindfulness practices</w:t>
      </w:r>
    </w:p>
    <w:p w14:paraId="5F405365" w14:textId="77777777" w:rsidR="009C62CB" w:rsidRDefault="00535315">
      <w:r>
        <w:t>Offer short practices such as one-minute pauses, reflective check-ins and attention resets within meetings and manager routines. Position mindfulness as a support for attention and regulation, not as a cure for structural stress.</w:t>
      </w:r>
    </w:p>
    <w:p w14:paraId="41CC2D92" w14:textId="77777777" w:rsidR="009C62CB" w:rsidRDefault="00535315">
      <w:pPr>
        <w:pStyle w:val="21"/>
      </w:pPr>
      <w:r>
        <w:t>4.3 Build psychologically safe communication norms</w:t>
      </w:r>
    </w:p>
    <w:p w14:paraId="50FD18BF" w14:textId="77777777" w:rsidR="009C62CB" w:rsidRDefault="00535315">
      <w:r>
        <w:t>Agree team expectations for listening, disagreement, response times and feedback. Train managers to acknowledge emotions while maintaining accountability and to create channels for raising concerns without retaliation.</w:t>
      </w:r>
    </w:p>
    <w:p w14:paraId="18AB4802" w14:textId="77777777" w:rsidR="009C62CB" w:rsidRDefault="00535315">
      <w:pPr>
        <w:pStyle w:val="21"/>
      </w:pPr>
      <w:r>
        <w:t>4.4 Use inclusive, evidence-based recruitment and retention</w:t>
      </w:r>
    </w:p>
    <w:p w14:paraId="7DF6286C" w14:textId="77777777" w:rsidR="009C62CB" w:rsidRDefault="00535315">
      <w:r>
        <w:t>Avoid age-based assumptions in selection. Use structured criteria, job simulations and consistent interview questions. Offer multiple communication and development routes, and review retention data for patterns linked to work design rather than cohort stereotypes.</w:t>
      </w:r>
    </w:p>
    <w:p w14:paraId="6779C42C" w14:textId="77777777" w:rsidR="009C62CB" w:rsidRDefault="00535315">
      <w:pPr>
        <w:pStyle w:val="21"/>
      </w:pPr>
      <w:r>
        <w:t>4.5 Measure outcomes</w:t>
      </w:r>
    </w:p>
    <w:p w14:paraId="4567BF73" w14:textId="77777777" w:rsidR="009C62CB" w:rsidRDefault="00535315">
      <w:r>
        <w:t>Track climate-survey indicators, conflict escalation, engagement, absence, retention and manager effectiveness. Where possible, use pre- and post-development measures and combine quantitative indicators with employee feedback to test whether EI and mindfulness interventions are creating meaningful organisational value.</w:t>
      </w:r>
    </w:p>
    <w:p w14:paraId="38287518" w14:textId="77777777" w:rsidR="009C62CB" w:rsidRDefault="00535315">
      <w:pPr>
        <w:pStyle w:val="1"/>
      </w:pPr>
      <w:bookmarkStart w:id="15" w:name="Conclusion"/>
      <w:r>
        <w:t>5. Conclusion</w:t>
      </w:r>
      <w:bookmarkEnd w:id="15"/>
    </w:p>
    <w:p w14:paraId="0320FD27" w14:textId="77777777" w:rsidR="009C62CB" w:rsidRDefault="00535315">
      <w:r>
        <w:t>Emotional intelligence and mindfulness can make a meaningful contribution to contemporary organisations because they improve the quality of attention, emotional regulation, communication and relationship management on which collective performance depends. The evidence is strongest when EI is defined clearly, linked to observable behaviour and combined with sound organisational conditions. Mindfulness is best understood as a complementary practice that can help people notice emotional reactions and choose re</w:t>
      </w:r>
      <w:r>
        <w:t>sponses more deliberately. Neither approach should be used to individualise responsibility for problems created by workload, poor leadership or unfair systems.</w:t>
      </w:r>
    </w:p>
    <w:p w14:paraId="239C7612" w14:textId="77777777" w:rsidR="009C62CB" w:rsidRDefault="00535315">
      <w:r>
        <w:t>For senior management, the central strategic implication is that EI and mindfulness should be embedded into leadership capability, team processes and talent systems rather than treated as optional well-being activities. In a multigenerational workforce, this means avoiding simplistic cohort stereotypes and using emotionally intelligent, mindful leadership to identify individual needs, facilitate mutual learning and create psychological safety. Such an approach supports performance and inclusion while preser</w:t>
      </w:r>
      <w:r>
        <w:t>ving the evidence-based principle that employees should be assessed and supported as individuals.</w:t>
      </w:r>
    </w:p>
    <w:p w14:paraId="446A4D29" w14:textId="77777777" w:rsidR="009C62CB" w:rsidRDefault="00535315">
      <w:pPr>
        <w:pStyle w:val="1"/>
      </w:pPr>
      <w:bookmarkStart w:id="16" w:name="References"/>
      <w:r>
        <w:t>References</w:t>
      </w:r>
      <w:bookmarkEnd w:id="16"/>
    </w:p>
    <w:p w14:paraId="3D1EE65A" w14:textId="77777777" w:rsidR="009C62CB" w:rsidRDefault="00535315">
      <w:pPr>
        <w:pStyle w:val="Reference"/>
        <w:ind w:left="360" w:hanging="360"/>
      </w:pPr>
      <w:r>
        <w:t>Anderson, H.J., Baur, J.E., Griffith, J.A. and Buckley, M.R. (2017) ‘What works for you may not work for (Gen)Me: Limitations of present leadership theories for the new generation’, The Leadership Quarterly, 28(1), pp. 245–260. doi: 10.1016/j.leaqua.2016.08.001.</w:t>
      </w:r>
    </w:p>
    <w:p w14:paraId="6577D6F8" w14:textId="77777777" w:rsidR="009C62CB" w:rsidRDefault="00535315">
      <w:pPr>
        <w:pStyle w:val="Reference"/>
        <w:ind w:left="360" w:hanging="360"/>
      </w:pPr>
      <w:r>
        <w:t>Ashkanasy, N.M. and Daus, C.S. (2005) ‘Rumors of the death of emotional intelligence in organizational behavior are vastly exaggerated’, Journal of Organizational Behavior, 26(4), pp. 441–452. doi: 10.1002/job.320.</w:t>
      </w:r>
    </w:p>
    <w:p w14:paraId="417EE4D9" w14:textId="77777777" w:rsidR="009C62CB" w:rsidRDefault="00535315">
      <w:pPr>
        <w:pStyle w:val="Reference"/>
        <w:ind w:left="360" w:hanging="360"/>
      </w:pPr>
      <w:r>
        <w:t>Bar-On, R. (2006) ‘The Bar-On model of emotional-social intelligence (ESI)’, Psicothema, 18(Suppl.), pp. 13–25.</w:t>
      </w:r>
    </w:p>
    <w:p w14:paraId="3C1E433B" w14:textId="77777777" w:rsidR="009C62CB" w:rsidRDefault="00535315">
      <w:pPr>
        <w:pStyle w:val="Reference"/>
        <w:ind w:left="360" w:hanging="360"/>
      </w:pPr>
      <w:r>
        <w:t>Costanza, D.P. and Finkelstein, L.M. (2015) ‘Generationally based differences in the workplace: Is there a there there?’, Industrial and Organizational Psychology, 8(3), pp. 308–323. doi: 10.1017/iop.2015.15.</w:t>
      </w:r>
    </w:p>
    <w:p w14:paraId="70060593" w14:textId="77777777" w:rsidR="009C62CB" w:rsidRDefault="00535315">
      <w:pPr>
        <w:pStyle w:val="Reference"/>
        <w:ind w:left="360" w:hanging="360"/>
      </w:pPr>
      <w:r>
        <w:t>Glomb, T.M., Duffy, M.K., Bono, J.E. and Yang, T. (2011) ‘Mindfulness at work’, in Joshi, A., Martocchio, J.J. and Liao, H. (eds.) Research in Personnel and Human Resources Management. Vol. 30. Bingley: Emerald, pp. 115–157. doi: 10.1108/S0742-7301(2011)0000030005.</w:t>
      </w:r>
    </w:p>
    <w:p w14:paraId="3210BBC2" w14:textId="77777777" w:rsidR="009C62CB" w:rsidRDefault="00535315">
      <w:pPr>
        <w:pStyle w:val="Reference"/>
        <w:ind w:left="360" w:hanging="360"/>
      </w:pPr>
      <w:r>
        <w:t>Goleman, D. (1998) Working with Emotional Intelligence. New York: Bantam Books.</w:t>
      </w:r>
    </w:p>
    <w:p w14:paraId="46FFD5C5" w14:textId="77777777" w:rsidR="009C62CB" w:rsidRDefault="00535315">
      <w:pPr>
        <w:pStyle w:val="Reference"/>
        <w:ind w:left="360" w:hanging="360"/>
      </w:pPr>
      <w:r>
        <w:t>Hershatter, A. and Epstein, M. (2017) ‘Managing millennials: Embracing generational differences’, Business Horizons, 60(1), pp. 45–54. doi: 10.1016/j.bushor.2016.08.011.</w:t>
      </w:r>
    </w:p>
    <w:p w14:paraId="5FB8CDAB" w14:textId="77777777" w:rsidR="009C62CB" w:rsidRDefault="00535315">
      <w:pPr>
        <w:pStyle w:val="Reference"/>
        <w:ind w:left="360" w:hanging="360"/>
      </w:pPr>
      <w:r>
        <w:t>Hyland, P.K., Lee, R.A. and Mills, M.J. (2015) ‘Mindfulness at work: A new approach to improving individual and organizational performance’, Industrial and Organizational Psychology, 8(4), pp. 576–602. doi: 10.1017/iop.2015.41.</w:t>
      </w:r>
    </w:p>
    <w:p w14:paraId="4FB6F090" w14:textId="77777777" w:rsidR="009C62CB" w:rsidRDefault="00535315">
      <w:pPr>
        <w:pStyle w:val="Reference"/>
        <w:ind w:left="360" w:hanging="360"/>
      </w:pPr>
      <w:r>
        <w:t>Jordan, P.J. and Troth, A.C. (2004) ‘Managing emotions during team problem solving: Emotional intelligence and conflict resolution’, Human Performance, 17(2), pp. 195–218. doi: 10.1207/s15327043hup1702_4.</w:t>
      </w:r>
    </w:p>
    <w:p w14:paraId="38379D2E" w14:textId="77777777" w:rsidR="009C62CB" w:rsidRDefault="00535315">
      <w:pPr>
        <w:pStyle w:val="Reference"/>
        <w:ind w:left="360" w:hanging="360"/>
      </w:pPr>
      <w:r>
        <w:t>Lyons, S.T., Urick, M., Kuron, L.K.J. and Schweitzer, L. (2014) ‘Generational differences in the workplace: A review of the evidence and directions for future research’, Journal of Organizational Behavior, 35(S1), pp. S139–S157. doi: 10.1002/job.1913.</w:t>
      </w:r>
    </w:p>
    <w:p w14:paraId="4895B185" w14:textId="77777777" w:rsidR="009C62CB" w:rsidRDefault="00535315">
      <w:pPr>
        <w:pStyle w:val="Reference"/>
        <w:ind w:left="360" w:hanging="360"/>
      </w:pPr>
      <w:r>
        <w:t>Mayer, J.D., Salovey, P. and Caruso, D.R. (2004) ‘Emotional intelligence: Theory, findings, and implications’, Psychological Inquiry, 15(3), pp. 197–215. doi: 10.1207/s15327965pli1503_01.</w:t>
      </w:r>
    </w:p>
    <w:p w14:paraId="31C823EB" w14:textId="77777777" w:rsidR="009C62CB" w:rsidRDefault="00535315">
      <w:pPr>
        <w:pStyle w:val="Reference"/>
        <w:ind w:left="360" w:hanging="360"/>
      </w:pPr>
      <w:r>
        <w:t>Schroth, H. (2019) ‘Are you ready for Gen Z in the workplace?’, California Management Review, 61(3), pp. 5–18. doi: 10.1177/0008125619841006.</w:t>
      </w:r>
    </w:p>
    <w:sectPr w:rsidR="009C62CB" w:rsidSect="00034616">
      <w:footerReference w:type="default" r:id="rId8"/>
      <w:pgSz w:w="12240" w:h="15840"/>
      <w:pgMar w:top="1152"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15389" w14:textId="77777777" w:rsidR="00535315" w:rsidRDefault="00535315">
      <w:pPr>
        <w:spacing w:after="0" w:line="240" w:lineRule="auto"/>
      </w:pPr>
      <w:r>
        <w:separator/>
      </w:r>
    </w:p>
  </w:endnote>
  <w:endnote w:type="continuationSeparator" w:id="0">
    <w:p w14:paraId="103CC2DE" w14:textId="77777777" w:rsidR="00535315" w:rsidRDefault="00535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63923" w14:textId="77777777" w:rsidR="009C62CB" w:rsidRDefault="00535315">
    <w:pPr>
      <w:pStyle w:val="a7"/>
      <w:jc w:val="center"/>
    </w:pPr>
    <w:r>
      <w:rPr>
        <w:sz w:val="18"/>
      </w:rPr>
      <w:t xml:space="preserve">Page </w:t>
    </w:r>
    <w:r>
      <w:fldChar w:fldCharType="begin"/>
    </w:r>
    <w:r>
      <w:instrText>PAGE</w:instrTex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E9D53" w14:textId="77777777" w:rsidR="00535315" w:rsidRDefault="00535315">
      <w:pPr>
        <w:spacing w:after="0" w:line="240" w:lineRule="auto"/>
      </w:pPr>
      <w:r>
        <w:separator/>
      </w:r>
    </w:p>
  </w:footnote>
  <w:footnote w:type="continuationSeparator" w:id="0">
    <w:p w14:paraId="2302679B" w14:textId="77777777" w:rsidR="00535315" w:rsidRDefault="00535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2023311458">
    <w:abstractNumId w:val="8"/>
  </w:num>
  <w:num w:numId="2" w16cid:durableId="374277151">
    <w:abstractNumId w:val="6"/>
  </w:num>
  <w:num w:numId="3" w16cid:durableId="2008945788">
    <w:abstractNumId w:val="5"/>
  </w:num>
  <w:num w:numId="4" w16cid:durableId="597761033">
    <w:abstractNumId w:val="4"/>
  </w:num>
  <w:num w:numId="5" w16cid:durableId="1129013025">
    <w:abstractNumId w:val="7"/>
  </w:num>
  <w:num w:numId="6" w16cid:durableId="1706178291">
    <w:abstractNumId w:val="3"/>
  </w:num>
  <w:num w:numId="7" w16cid:durableId="688722861">
    <w:abstractNumId w:val="2"/>
  </w:num>
  <w:num w:numId="8" w16cid:durableId="894778960">
    <w:abstractNumId w:val="1"/>
  </w:num>
  <w:num w:numId="9" w16cid:durableId="166675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35315"/>
    <w:rsid w:val="008D467E"/>
    <w:rsid w:val="009C62CB"/>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36E968"/>
  <w14:defaultImageDpi w14:val="300"/>
  <w15:docId w15:val="{98229642-F6F7-B445-BD3B-8C556C994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pPr>
      <w:spacing w:after="120" w:line="360" w:lineRule="auto"/>
    </w:pPr>
    <w:rPr>
      <w:rFonts w:ascii="Arial" w:eastAsia="Arial" w:hAnsi="Arial"/>
    </w:rPr>
  </w:style>
  <w:style w:type="paragraph" w:styleId="1">
    <w:name w:val="heading 1"/>
    <w:basedOn w:val="a1"/>
    <w:next w:val="a1"/>
    <w:link w:val="10"/>
    <w:uiPriority w:val="9"/>
    <w:qFormat/>
    <w:rsid w:val="00FC693F"/>
    <w:pPr>
      <w:keepNext/>
      <w:keepLines/>
      <w:spacing w:before="200"/>
      <w:outlineLvl w:val="0"/>
    </w:pPr>
    <w:rPr>
      <w:rFonts w:asciiTheme="majorHAnsi" w:eastAsiaTheme="majorEastAsia" w:hAnsiTheme="majorHAnsi" w:cstheme="majorBidi"/>
      <w:b/>
      <w:bCs/>
      <w:color w:val="1F4E79"/>
      <w:sz w:val="32"/>
      <w:szCs w:val="28"/>
    </w:rPr>
  </w:style>
  <w:style w:type="paragraph" w:styleId="21">
    <w:name w:val="heading 2"/>
    <w:basedOn w:val="a1"/>
    <w:next w:val="a1"/>
    <w:link w:val="22"/>
    <w:uiPriority w:val="9"/>
    <w:unhideWhenUsed/>
    <w:qFormat/>
    <w:rsid w:val="00FC693F"/>
    <w:pPr>
      <w:keepNext/>
      <w:keepLines/>
      <w:spacing w:before="200"/>
      <w:outlineLvl w:val="1"/>
    </w:pPr>
    <w:rPr>
      <w:rFonts w:asciiTheme="majorHAnsi" w:eastAsiaTheme="majorEastAsia" w:hAnsiTheme="majorHAnsi" w:cstheme="majorBidi"/>
      <w:b/>
      <w:bCs/>
      <w:color w:val="2F5597"/>
      <w:sz w:val="25"/>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Верхний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Нижний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оловок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оловок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оловок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F4E79"/>
      <w:spacing w:val="5"/>
      <w:kern w:val="28"/>
      <w:sz w:val="44"/>
      <w:szCs w:val="52"/>
    </w:rPr>
  </w:style>
  <w:style w:type="character" w:customStyle="1" w:styleId="ab">
    <w:name w:val="Заголовок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Подзаголовок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style>
  <w:style w:type="character" w:customStyle="1" w:styleId="af0">
    <w:name w:val="Основной текст Знак"/>
    <w:basedOn w:val="a2"/>
    <w:link w:val="af"/>
    <w:uiPriority w:val="99"/>
    <w:rsid w:val="00AA1D8D"/>
  </w:style>
  <w:style w:type="paragraph" w:styleId="23">
    <w:name w:val="Body Text 2"/>
    <w:basedOn w:val="a1"/>
    <w:link w:val="24"/>
    <w:uiPriority w:val="99"/>
    <w:unhideWhenUsed/>
    <w:rsid w:val="00AA1D8D"/>
    <w:pPr>
      <w:spacing w:line="480" w:lineRule="auto"/>
    </w:pPr>
  </w:style>
  <w:style w:type="character" w:customStyle="1" w:styleId="24">
    <w:name w:val="Основной текст 2 Знак"/>
    <w:basedOn w:val="a2"/>
    <w:link w:val="23"/>
    <w:uiPriority w:val="99"/>
    <w:rsid w:val="00AA1D8D"/>
  </w:style>
  <w:style w:type="paragraph" w:styleId="33">
    <w:name w:val="Body Text 3"/>
    <w:basedOn w:val="a1"/>
    <w:link w:val="34"/>
    <w:uiPriority w:val="99"/>
    <w:unhideWhenUsed/>
    <w:rsid w:val="00AA1D8D"/>
    <w:rPr>
      <w:sz w:val="16"/>
      <w:szCs w:val="16"/>
    </w:rPr>
  </w:style>
  <w:style w:type="character" w:customStyle="1" w:styleId="34">
    <w:name w:val="Основной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ind w:left="360"/>
      <w:contextualSpacing/>
    </w:pPr>
  </w:style>
  <w:style w:type="paragraph" w:styleId="26">
    <w:name w:val="List Continue 2"/>
    <w:basedOn w:val="a1"/>
    <w:uiPriority w:val="99"/>
    <w:unhideWhenUsed/>
    <w:rsid w:val="0029639D"/>
    <w:pPr>
      <w:ind w:left="720"/>
      <w:contextualSpacing/>
    </w:pPr>
  </w:style>
  <w:style w:type="paragraph" w:styleId="36">
    <w:name w:val="List Continue 3"/>
    <w:basedOn w:val="a1"/>
    <w:uiPriority w:val="99"/>
    <w:unhideWhenUsed/>
    <w:rsid w:val="0029639D"/>
    <w:pPr>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макроса Знак"/>
    <w:basedOn w:val="a2"/>
    <w:link w:val="af3"/>
    <w:uiPriority w:val="99"/>
    <w:rsid w:val="0029639D"/>
    <w:rPr>
      <w:rFonts w:ascii="Courier" w:hAnsi="Courier"/>
      <w:sz w:val="20"/>
      <w:szCs w:val="20"/>
    </w:rPr>
  </w:style>
  <w:style w:type="paragraph" w:styleId="27">
    <w:name w:val="Quote"/>
    <w:basedOn w:val="a1"/>
    <w:next w:val="a1"/>
    <w:link w:val="28"/>
    <w:uiPriority w:val="29"/>
    <w:qFormat/>
    <w:rsid w:val="00FC693F"/>
    <w:rPr>
      <w:i/>
      <w:iCs/>
      <w:color w:val="000000" w:themeColor="text1"/>
    </w:rPr>
  </w:style>
  <w:style w:type="character" w:customStyle="1" w:styleId="28">
    <w:name w:val="Цитата 2 Знак"/>
    <w:basedOn w:val="a2"/>
    <w:link w:val="27"/>
    <w:uiPriority w:val="29"/>
    <w:rsid w:val="00FC693F"/>
    <w:rPr>
      <w:i/>
      <w:iCs/>
      <w:color w:val="000000" w:themeColor="text1"/>
    </w:rPr>
  </w:style>
  <w:style w:type="character" w:customStyle="1" w:styleId="40">
    <w:name w:val="Заголовок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оловок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оловок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оловок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оловок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оловок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5">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6">
    <w:name w:val="Strong"/>
    <w:basedOn w:val="a2"/>
    <w:uiPriority w:val="22"/>
    <w:qFormat/>
    <w:rsid w:val="00FC693F"/>
    <w:rPr>
      <w:b/>
      <w:bCs/>
    </w:rPr>
  </w:style>
  <w:style w:type="character" w:styleId="af7">
    <w:name w:val="Emphasis"/>
    <w:basedOn w:val="a2"/>
    <w:uiPriority w:val="20"/>
    <w:qFormat/>
    <w:rsid w:val="00FC693F"/>
    <w:rPr>
      <w:i/>
      <w:iCs/>
    </w:rPr>
  </w:style>
  <w:style w:type="paragraph" w:styleId="af8">
    <w:name w:val="Intense Quote"/>
    <w:basedOn w:val="a1"/>
    <w:next w:val="a1"/>
    <w:link w:val="af9"/>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9">
    <w:name w:val="Выделенная цитата Знак"/>
    <w:basedOn w:val="a2"/>
    <w:link w:val="af8"/>
    <w:uiPriority w:val="30"/>
    <w:rsid w:val="00FC693F"/>
    <w:rPr>
      <w:b/>
      <w:bCs/>
      <w:i/>
      <w:iCs/>
      <w:color w:val="4F81BD" w:themeColor="accent1"/>
    </w:rPr>
  </w:style>
  <w:style w:type="character" w:styleId="afa">
    <w:name w:val="Subtle Emphasis"/>
    <w:basedOn w:val="a2"/>
    <w:uiPriority w:val="19"/>
    <w:qFormat/>
    <w:rsid w:val="00FC693F"/>
    <w:rPr>
      <w:i/>
      <w:iCs/>
      <w:color w:val="808080" w:themeColor="text1" w:themeTint="7F"/>
    </w:rPr>
  </w:style>
  <w:style w:type="character" w:styleId="afb">
    <w:name w:val="Intense Emphasis"/>
    <w:basedOn w:val="a2"/>
    <w:uiPriority w:val="21"/>
    <w:qFormat/>
    <w:rsid w:val="00FC693F"/>
    <w:rPr>
      <w:b/>
      <w:bCs/>
      <w:i/>
      <w:iCs/>
      <w:color w:val="4F81BD" w:themeColor="accent1"/>
    </w:rPr>
  </w:style>
  <w:style w:type="character" w:styleId="afc">
    <w:name w:val="Subtle Reference"/>
    <w:basedOn w:val="a2"/>
    <w:uiPriority w:val="31"/>
    <w:qFormat/>
    <w:rsid w:val="00FC693F"/>
    <w:rPr>
      <w:smallCaps/>
      <w:color w:val="C0504D" w:themeColor="accent2"/>
      <w:u w:val="single"/>
    </w:rPr>
  </w:style>
  <w:style w:type="character" w:styleId="afd">
    <w:name w:val="Intense Reference"/>
    <w:basedOn w:val="a2"/>
    <w:uiPriority w:val="32"/>
    <w:qFormat/>
    <w:rsid w:val="00FC693F"/>
    <w:rPr>
      <w:b/>
      <w:bCs/>
      <w:smallCaps/>
      <w:color w:val="C0504D" w:themeColor="accent2"/>
      <w:spacing w:val="5"/>
      <w:u w:val="single"/>
    </w:rPr>
  </w:style>
  <w:style w:type="character" w:styleId="afe">
    <w:name w:val="Book Title"/>
    <w:basedOn w:val="a2"/>
    <w:uiPriority w:val="33"/>
    <w:qFormat/>
    <w:rsid w:val="00FC693F"/>
    <w:rPr>
      <w:b/>
      <w:bCs/>
      <w:smallCaps/>
      <w:spacing w:val="5"/>
    </w:rPr>
  </w:style>
  <w:style w:type="paragraph" w:styleId="aff">
    <w:name w:val="TOC Heading"/>
    <w:basedOn w:val="1"/>
    <w:next w:val="a1"/>
    <w:uiPriority w:val="39"/>
    <w:semiHidden/>
    <w:unhideWhenUsed/>
    <w:qFormat/>
    <w:rsid w:val="00FC693F"/>
    <w:pPr>
      <w:outlineLvl w:val="9"/>
    </w:pPr>
  </w:style>
  <w:style w:type="table" w:styleId="aff0">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1">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2">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3">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9">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a">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b">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4">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5">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6">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7">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verMeta">
    <w:name w:val="CoverMeta"/>
    <w:pPr>
      <w:spacing w:after="160"/>
    </w:pPr>
    <w:rPr>
      <w:rFonts w:ascii="Arial" w:eastAsia="Arial" w:hAnsi="Arial"/>
      <w:sz w:val="24"/>
    </w:rPr>
  </w:style>
  <w:style w:type="paragraph" w:customStyle="1" w:styleId="TOCEntry">
    <w:name w:val="TOCEntry"/>
    <w:pPr>
      <w:spacing w:after="100"/>
    </w:pPr>
    <w:rPr>
      <w:rFonts w:ascii="Arial" w:eastAsia="Arial" w:hAnsi="Arial"/>
    </w:rPr>
  </w:style>
  <w:style w:type="paragraph" w:customStyle="1" w:styleId="TableText">
    <w:name w:val="TableText"/>
    <w:pPr>
      <w:spacing w:after="0" w:line="264" w:lineRule="auto"/>
    </w:pPr>
    <w:rPr>
      <w:rFonts w:ascii="Arial" w:eastAsia="Arial" w:hAnsi="Arial"/>
      <w:sz w:val="19"/>
    </w:rPr>
  </w:style>
  <w:style w:type="paragraph" w:customStyle="1" w:styleId="Reference">
    <w:name w:val="Reference"/>
    <w:pPr>
      <w:spacing w:after="100" w:line="288" w:lineRule="auto"/>
    </w:pPr>
    <w:rPr>
      <w:rFonts w:ascii="Arial" w:eastAsia="Arial" w:hAnsi="Arial"/>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4329</Words>
  <Characters>24680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28952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LCLM5006</dc:title>
  <dc:subject>Emotional intelligence, mindfulness and multigenerational workforce</dc:subject>
  <dc:creator>Oleh Bublyk</dc:creator>
  <cp:keywords>Emotional intelligence; mindfulness; leadership; multigenerational workforce; Generation X; Millennials; Generation Z</cp:keywords>
  <dc:description>generated by python-docx</dc:description>
  <cp:lastModifiedBy>olegbublik1982@gmail.com</cp:lastModifiedBy>
  <cp:revision>2</cp:revision>
  <dcterms:created xsi:type="dcterms:W3CDTF">2026-08-17T20:13:00Z</dcterms:created>
  <dcterms:modified xsi:type="dcterms:W3CDTF">2026-08-17T20:13:00Z</dcterms:modified>
  <cp:category/>
</cp:coreProperties>
</file>