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AB60634">
      <w:pPr>
        <w:jc w:val="center"/>
        <w:rPr>
          <w:rFonts w:cs="Arial"/>
          <w:b/>
          <w:bCs/>
          <w:sz w:val="44"/>
          <w:szCs w:val="44"/>
        </w:rPr>
      </w:pPr>
      <w:r>
        <w:rPr>
          <w:rFonts w:ascii="SimSun" w:hAnsi="SimSun" w:eastAsia="SimSun" w:cs="SimSun"/>
          <w:sz w:val="24"/>
          <w:szCs w:val="24"/>
        </w:rPr>
        <w:drawing>
          <wp:inline distT="0" distB="0" distL="114300" distR="114300">
            <wp:extent cx="3904615" cy="2169160"/>
            <wp:effectExtent l="0" t="0" r="635" b="2540"/>
            <wp:docPr id="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MG_256"/>
                    <pic:cNvPicPr>
                      <a:picLocks noChangeAspect="1"/>
                    </pic:cNvPicPr>
                  </pic:nvPicPr>
                  <pic:blipFill>
                    <a:blip r:embed="rId8"/>
                    <a:stretch>
                      <a:fillRect/>
                    </a:stretch>
                  </pic:blipFill>
                  <pic:spPr>
                    <a:xfrm>
                      <a:off x="0" y="0"/>
                      <a:ext cx="3904615" cy="2169160"/>
                    </a:xfrm>
                    <a:prstGeom prst="rect">
                      <a:avLst/>
                    </a:prstGeom>
                    <a:noFill/>
                    <a:ln w="9525">
                      <a:noFill/>
                    </a:ln>
                  </pic:spPr>
                </pic:pic>
              </a:graphicData>
            </a:graphic>
          </wp:inline>
        </w:drawing>
      </w:r>
    </w:p>
    <w:p w14:paraId="3418FE0A">
      <w:pPr>
        <w:rPr>
          <w:rFonts w:cs="Arial"/>
          <w:b/>
          <w:bCs/>
          <w:sz w:val="44"/>
          <w:szCs w:val="44"/>
        </w:rPr>
      </w:pPr>
    </w:p>
    <w:p w14:paraId="1293D626">
      <w:pPr>
        <w:spacing w:line="360" w:lineRule="auto"/>
        <w:jc w:val="center"/>
        <w:rPr>
          <w:rFonts w:hint="default" w:ascii="Arial" w:hAnsi="Arial" w:cs="Arial"/>
          <w:b/>
          <w:bCs/>
          <w:sz w:val="24"/>
          <w:szCs w:val="24"/>
          <w:lang w:val="en-US"/>
        </w:rPr>
      </w:pPr>
      <w:r>
        <w:rPr>
          <w:rFonts w:ascii="Arial" w:hAnsi="Arial" w:cs="Arial"/>
          <w:b/>
          <w:bCs/>
          <w:sz w:val="24"/>
          <w:szCs w:val="24"/>
        </w:rPr>
        <w:t xml:space="preserve">Student Name: </w:t>
      </w:r>
      <w:r>
        <w:rPr>
          <w:rFonts w:hint="default" w:cs="Arial"/>
          <w:b/>
          <w:bCs/>
          <w:sz w:val="24"/>
          <w:szCs w:val="24"/>
          <w:lang w:val="en-US"/>
        </w:rPr>
        <w:t>Ishika George Christian</w:t>
      </w:r>
    </w:p>
    <w:p w14:paraId="4C8B2215">
      <w:pPr>
        <w:spacing w:line="360" w:lineRule="auto"/>
        <w:jc w:val="center"/>
        <w:rPr>
          <w:rFonts w:hint="default" w:ascii="Arial" w:hAnsi="Arial" w:eastAsia="Times New Roman" w:cs="Arial"/>
          <w:b/>
          <w:bCs/>
          <w:color w:val="000000"/>
          <w:sz w:val="24"/>
          <w:szCs w:val="24"/>
          <w:lang w:val="en-US"/>
        </w:rPr>
      </w:pPr>
      <w:r>
        <w:rPr>
          <w:rFonts w:ascii="Arial" w:hAnsi="Arial" w:cs="Arial"/>
          <w:b/>
          <w:bCs/>
          <w:sz w:val="24"/>
          <w:szCs w:val="24"/>
        </w:rPr>
        <w:t xml:space="preserve">Student ID: </w:t>
      </w:r>
      <w:r>
        <w:rPr>
          <w:rFonts w:ascii="Arial" w:hAnsi="Arial" w:eastAsia="Times New Roman" w:cs="Arial"/>
          <w:b/>
          <w:bCs/>
          <w:color w:val="000000"/>
          <w:sz w:val="24"/>
          <w:szCs w:val="24"/>
        </w:rPr>
        <w:t>253</w:t>
      </w:r>
      <w:r>
        <w:rPr>
          <w:rFonts w:hint="default" w:eastAsia="Times New Roman" w:cs="Arial"/>
          <w:b/>
          <w:bCs/>
          <w:color w:val="000000"/>
          <w:sz w:val="24"/>
          <w:szCs w:val="24"/>
          <w:lang w:val="en-US"/>
        </w:rPr>
        <w:t>0966</w:t>
      </w:r>
    </w:p>
    <w:p w14:paraId="10A754E7">
      <w:pPr>
        <w:spacing w:line="360" w:lineRule="auto"/>
        <w:jc w:val="center"/>
        <w:rPr>
          <w:sz w:val="24"/>
          <w:szCs w:val="24"/>
        </w:rPr>
      </w:pPr>
    </w:p>
    <w:p w14:paraId="7AB4DEBE">
      <w:pPr>
        <w:spacing w:line="360" w:lineRule="auto"/>
        <w:jc w:val="center"/>
        <w:rPr>
          <w:rFonts w:hint="default" w:ascii="Arial" w:hAnsi="Arial" w:cs="Arial"/>
          <w:b/>
          <w:bCs/>
          <w:sz w:val="24"/>
          <w:szCs w:val="24"/>
          <w:lang w:val="en-US"/>
        </w:rPr>
      </w:pPr>
      <w:r>
        <w:rPr>
          <w:rFonts w:ascii="Arial" w:hAnsi="Arial" w:cs="Arial"/>
          <w:b/>
          <w:bCs/>
          <w:sz w:val="24"/>
          <w:szCs w:val="24"/>
        </w:rPr>
        <w:t>Module Name:</w:t>
      </w:r>
      <w:r>
        <w:rPr>
          <w:rFonts w:hint="default" w:cs="Arial"/>
          <w:b/>
          <w:bCs/>
          <w:sz w:val="24"/>
          <w:szCs w:val="24"/>
          <w:lang w:val="en-US"/>
        </w:rPr>
        <w:t xml:space="preserve"> International Business Concepts</w:t>
      </w:r>
      <w:bookmarkStart w:id="30" w:name="_GoBack"/>
      <w:bookmarkEnd w:id="30"/>
    </w:p>
    <w:p w14:paraId="1A49583B">
      <w:pPr>
        <w:spacing w:line="360" w:lineRule="auto"/>
        <w:jc w:val="center"/>
        <w:rPr>
          <w:rFonts w:ascii="Arial" w:hAnsi="Arial" w:cs="Arial"/>
          <w:sz w:val="24"/>
          <w:szCs w:val="24"/>
        </w:rPr>
      </w:pPr>
      <w:r>
        <w:rPr>
          <w:rFonts w:ascii="Arial" w:hAnsi="Arial" w:cs="Arial"/>
          <w:b/>
          <w:bCs/>
          <w:sz w:val="24"/>
          <w:szCs w:val="24"/>
        </w:rPr>
        <w:t>Module Code: IBC LCMB 7034</w:t>
      </w:r>
    </w:p>
    <w:p w14:paraId="0C5DBD2C">
      <w:pPr>
        <w:spacing w:line="360" w:lineRule="auto"/>
        <w:jc w:val="center"/>
        <w:rPr>
          <w:rFonts w:ascii="Arial" w:hAnsi="Arial" w:cs="Arial"/>
          <w:b/>
          <w:bCs/>
          <w:sz w:val="24"/>
          <w:szCs w:val="24"/>
        </w:rPr>
      </w:pPr>
    </w:p>
    <w:p w14:paraId="39D87663">
      <w:pPr>
        <w:spacing w:line="360" w:lineRule="auto"/>
        <w:jc w:val="center"/>
        <w:rPr>
          <w:rFonts w:hint="default" w:ascii="Arial" w:hAnsi="Arial" w:cs="Arial"/>
          <w:b/>
          <w:bCs/>
          <w:sz w:val="24"/>
          <w:szCs w:val="24"/>
          <w:lang w:val="en-US"/>
        </w:rPr>
      </w:pPr>
      <w:r>
        <w:rPr>
          <w:rFonts w:ascii="Arial" w:hAnsi="Arial" w:cs="Arial"/>
          <w:b/>
          <w:bCs/>
          <w:sz w:val="24"/>
          <w:szCs w:val="24"/>
        </w:rPr>
        <w:t>Lecturer’s Name:</w:t>
      </w:r>
      <w:r>
        <w:rPr>
          <w:rFonts w:hint="default" w:cs="Arial"/>
          <w:b/>
          <w:bCs/>
          <w:sz w:val="24"/>
          <w:szCs w:val="24"/>
          <w:lang w:val="en-US"/>
        </w:rPr>
        <w:t xml:space="preserve"> Dr.Gladius kulothungan</w:t>
      </w:r>
    </w:p>
    <w:p w14:paraId="262EEAB2">
      <w:pPr>
        <w:spacing w:line="360" w:lineRule="auto"/>
        <w:jc w:val="center"/>
        <w:rPr>
          <w:rFonts w:ascii="Arial" w:hAnsi="Arial" w:cs="Arial"/>
          <w:b/>
          <w:bCs/>
          <w:sz w:val="24"/>
          <w:szCs w:val="24"/>
        </w:rPr>
      </w:pPr>
    </w:p>
    <w:p w14:paraId="4CF63CBA">
      <w:pPr>
        <w:jc w:val="center"/>
        <w:rPr>
          <w:rFonts w:cs="Arial"/>
          <w:b/>
          <w:bCs/>
          <w:sz w:val="44"/>
          <w:szCs w:val="44"/>
        </w:rPr>
      </w:pPr>
      <w:r>
        <w:rPr>
          <w:rFonts w:ascii="Arial" w:hAnsi="Arial" w:cs="Arial"/>
          <w:b/>
          <w:bCs/>
          <w:sz w:val="24"/>
          <w:szCs w:val="24"/>
        </w:rPr>
        <w:t>Topic –</w:t>
      </w:r>
      <w:r>
        <w:rPr>
          <w:rFonts w:cs="Arial"/>
          <w:b/>
          <w:bCs/>
          <w:sz w:val="24"/>
          <w:szCs w:val="24"/>
        </w:rPr>
        <w:t>Strategic International Market Entry Evaluation of Nando’s into Japan</w:t>
      </w:r>
    </w:p>
    <w:p w14:paraId="61263A0B">
      <w:pPr>
        <w:spacing w:line="360" w:lineRule="auto"/>
        <w:jc w:val="center"/>
        <w:rPr>
          <w:rFonts w:ascii="Arial" w:hAnsi="Arial" w:cs="Arial"/>
          <w:b/>
          <w:bCs/>
          <w:sz w:val="24"/>
          <w:szCs w:val="24"/>
        </w:rPr>
      </w:pPr>
    </w:p>
    <w:p w14:paraId="06B9274B">
      <w:pPr>
        <w:rPr>
          <w:rFonts w:cs="Arial"/>
          <w:b/>
          <w:bCs/>
          <w:sz w:val="44"/>
          <w:szCs w:val="44"/>
        </w:rPr>
      </w:pPr>
      <w:r>
        <w:rPr>
          <w:rFonts w:cs="Arial"/>
          <w:b/>
          <w:bCs/>
          <w:sz w:val="44"/>
          <w:szCs w:val="44"/>
        </w:rPr>
        <w:br w:type="page"/>
      </w:r>
    </w:p>
    <w:sdt>
      <w:sdtPr>
        <w:rPr>
          <w:rFonts w:ascii="Arial" w:hAnsi="Arial" w:eastAsiaTheme="minorHAnsi" w:cstheme="minorBidi"/>
          <w:color w:val="auto"/>
          <w:kern w:val="2"/>
          <w:sz w:val="22"/>
          <w:szCs w:val="22"/>
          <w:lang w:val="en-GB"/>
        </w:rPr>
        <w:id w:val="-1142580056"/>
        <w:docPartObj>
          <w:docPartGallery w:val="Table of Contents"/>
          <w:docPartUnique/>
        </w:docPartObj>
      </w:sdtPr>
      <w:sdtEndPr>
        <w:rPr>
          <w:rFonts w:ascii="Arial" w:hAnsi="Arial" w:eastAsiaTheme="minorHAnsi" w:cstheme="minorBidi"/>
          <w:b/>
          <w:bCs/>
          <w:color w:val="auto"/>
          <w:kern w:val="2"/>
          <w:sz w:val="24"/>
          <w:szCs w:val="22"/>
          <w:lang w:val="en-GB"/>
        </w:rPr>
      </w:sdtEndPr>
      <w:sdtContent>
        <w:p w14:paraId="08251296">
          <w:pPr>
            <w:pStyle w:val="41"/>
            <w:jc w:val="center"/>
            <w:rPr>
              <w:b/>
              <w:bCs/>
              <w:color w:val="000000" w:themeColor="text1"/>
              <w14:textFill>
                <w14:solidFill>
                  <w14:schemeClr w14:val="tx1"/>
                </w14:solidFill>
              </w14:textFill>
            </w:rPr>
          </w:pPr>
          <w:r>
            <w:rPr>
              <w:b/>
              <w:bCs/>
              <w:color w:val="000000" w:themeColor="text1"/>
              <w14:textFill>
                <w14:solidFill>
                  <w14:schemeClr w14:val="tx1"/>
                </w14:solidFill>
              </w14:textFill>
            </w:rPr>
            <w:t>Table of Contents</w:t>
          </w:r>
        </w:p>
        <w:p w14:paraId="70AF1B90">
          <w:pPr>
            <w:pStyle w:val="19"/>
            <w:tabs>
              <w:tab w:val="right" w:leader="dot" w:pos="9016"/>
            </w:tabs>
            <w:rPr>
              <w:rFonts w:asciiTheme="minorHAnsi" w:hAnsiTheme="minorHAnsi" w:eastAsiaTheme="minorEastAsia"/>
              <w:szCs w:val="24"/>
              <w:lang w:val="en-IN" w:eastAsia="en-IN"/>
              <w14:ligatures w14:val="standardContextual"/>
            </w:rPr>
          </w:pPr>
          <w:r>
            <w:rPr>
              <w:rFonts w:cs="Arial"/>
              <w:szCs w:val="24"/>
            </w:rPr>
            <w:fldChar w:fldCharType="begin"/>
          </w:r>
          <w:r>
            <w:rPr>
              <w:rFonts w:cs="Arial"/>
              <w:szCs w:val="24"/>
            </w:rPr>
            <w:instrText xml:space="preserve"> TOC \o "1-3" \h \z \u </w:instrText>
          </w:r>
          <w:r>
            <w:rPr>
              <w:rFonts w:cs="Arial"/>
              <w:szCs w:val="24"/>
            </w:rPr>
            <w:fldChar w:fldCharType="separate"/>
          </w:r>
          <w:r>
            <w:fldChar w:fldCharType="begin"/>
          </w:r>
          <w:r>
            <w:instrText xml:space="preserve"> HYPERLINK \l "_Toc236910600" </w:instrText>
          </w:r>
          <w:r>
            <w:fldChar w:fldCharType="separate"/>
          </w:r>
          <w:r>
            <w:rPr>
              <w:rStyle w:val="15"/>
            </w:rPr>
            <w:t>Section 1</w:t>
          </w:r>
          <w:r>
            <w:tab/>
          </w:r>
          <w:r>
            <w:fldChar w:fldCharType="begin"/>
          </w:r>
          <w:r>
            <w:instrText xml:space="preserve"> PAGEREF _Toc236910600 \h </w:instrText>
          </w:r>
          <w:r>
            <w:fldChar w:fldCharType="separate"/>
          </w:r>
          <w:r>
            <w:t>4</w:t>
          </w:r>
          <w:r>
            <w:fldChar w:fldCharType="end"/>
          </w:r>
          <w:r>
            <w:fldChar w:fldCharType="end"/>
          </w:r>
        </w:p>
        <w:p w14:paraId="08C16864">
          <w:pPr>
            <w:pStyle w:val="19"/>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"_Toc236910601" </w:instrText>
          </w:r>
          <w:r>
            <w:fldChar w:fldCharType="separate"/>
          </w:r>
          <w:r>
            <w:rPr>
              <w:rStyle w:val="15"/>
            </w:rPr>
            <w:t>1. Organisational Classification and Global Strategy</w:t>
          </w:r>
          <w:r>
            <w:tab/>
          </w:r>
          <w:r>
            <w:fldChar w:fldCharType="begin"/>
          </w:r>
          <w:r>
            <w:instrText xml:space="preserve"> PAGEREF _Toc236910601 \h </w:instrText>
          </w:r>
          <w:r>
            <w:fldChar w:fldCharType="separate"/>
          </w:r>
          <w:r>
            <w:t>4</w:t>
          </w:r>
          <w:r>
            <w:fldChar w:fldCharType="end"/>
          </w:r>
          <w:r>
            <w:fldChar w:fldCharType="end"/>
          </w:r>
        </w:p>
        <w:p w14:paraId="7ECE7627">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"_Toc236910602" </w:instrText>
          </w:r>
          <w:r>
            <w:fldChar w:fldCharType="separate"/>
          </w:r>
          <w:r>
            <w:rPr>
              <w:rStyle w:val="15"/>
              <w:rFonts w:cs="Arial"/>
            </w:rPr>
            <w:t>1.1 Strategic Categorisation: Bartlett and Ghoshal's International Strategy Framework</w:t>
          </w:r>
          <w:r>
            <w:tab/>
          </w:r>
          <w:r>
            <w:fldChar w:fldCharType="begin"/>
          </w:r>
          <w:r>
            <w:instrText xml:space="preserve"> PAGEREF _Toc236910602 \h </w:instrText>
          </w:r>
          <w:r>
            <w:fldChar w:fldCharType="separate"/>
          </w:r>
          <w:r>
            <w:t>4</w:t>
          </w:r>
          <w:r>
            <w:fldChar w:fldCharType="end"/>
          </w:r>
          <w:r>
            <w:fldChar w:fldCharType="end"/>
          </w:r>
        </w:p>
        <w:p w14:paraId="5197AE5A">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"_Toc236910603" </w:instrText>
          </w:r>
          <w:r>
            <w:fldChar w:fldCharType="separate"/>
          </w:r>
          <w:r>
            <w:rPr>
              <w:rStyle w:val="15"/>
              <w:rFonts w:cs="Arial"/>
            </w:rPr>
            <w:t>1.2 Global Configuration: Geographic Footprint and Competitive Advantage</w:t>
          </w:r>
          <w:r>
            <w:tab/>
          </w:r>
          <w:r>
            <w:fldChar w:fldCharType="begin"/>
          </w:r>
          <w:r>
            <w:instrText xml:space="preserve"> PAGEREF _Toc236910603 \h </w:instrText>
          </w:r>
          <w:r>
            <w:fldChar w:fldCharType="separate"/>
          </w:r>
          <w:r>
            <w:t>5</w:t>
          </w:r>
          <w:r>
            <w:fldChar w:fldCharType="end"/>
          </w:r>
          <w:r>
            <w:fldChar w:fldCharType="end"/>
          </w:r>
        </w:p>
        <w:p w14:paraId="43089A06">
          <w:pPr>
            <w:pStyle w:val="19"/>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"_Toc236910604" </w:instrText>
          </w:r>
          <w:r>
            <w:fldChar w:fldCharType="separate"/>
          </w:r>
          <w:r>
            <w:rPr>
              <w:rStyle w:val="15"/>
            </w:rPr>
            <w:t>2. Macro-Environmental Appraisal and Market Attractiveness</w:t>
          </w:r>
          <w:r>
            <w:tab/>
          </w:r>
          <w:r>
            <w:fldChar w:fldCharType="begin"/>
          </w:r>
          <w:r>
            <w:instrText xml:space="preserve"> PAGEREF _Toc236910604 \h </w:instrText>
          </w:r>
          <w:r>
            <w:fldChar w:fldCharType="separate"/>
          </w:r>
          <w:r>
            <w:t>6</w:t>
          </w:r>
          <w:r>
            <w:fldChar w:fldCharType="end"/>
          </w:r>
          <w:r>
            <w:fldChar w:fldCharType="end"/>
          </w:r>
        </w:p>
        <w:p w14:paraId="3C099E2A">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"_Toc236910605" </w:instrText>
          </w:r>
          <w:r>
            <w:fldChar w:fldCharType="separate"/>
          </w:r>
          <w:r>
            <w:rPr>
              <w:rStyle w:val="15"/>
              <w:rFonts w:cs="Arial"/>
            </w:rPr>
            <w:t>2.1 Introduction: Japan as a Potential Market for Nando’s Expansion</w:t>
          </w:r>
          <w:r>
            <w:tab/>
          </w:r>
          <w:r>
            <w:fldChar w:fldCharType="begin"/>
          </w:r>
          <w:r>
            <w:instrText xml:space="preserve"> PAGEREF _Toc236910605 \h </w:instrText>
          </w:r>
          <w:r>
            <w:fldChar w:fldCharType="separate"/>
          </w:r>
          <w:r>
            <w:t>6</w:t>
          </w:r>
          <w:r>
            <w:fldChar w:fldCharType="end"/>
          </w:r>
          <w:r>
            <w:fldChar w:fldCharType="end"/>
          </w:r>
        </w:p>
        <w:p w14:paraId="58057DC2">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"_Toc236910606" </w:instrText>
          </w:r>
          <w:r>
            <w:fldChar w:fldCharType="separate"/>
          </w:r>
          <w:r>
            <w:rPr>
              <w:rStyle w:val="15"/>
              <w:rFonts w:cs="Arial"/>
            </w:rPr>
            <w:t>2.2 Host Country Analysis: Japan’s Macro-Environmental Factors</w:t>
          </w:r>
          <w:r>
            <w:tab/>
          </w:r>
          <w:r>
            <w:fldChar w:fldCharType="begin"/>
          </w:r>
          <w:r>
            <w:instrText xml:space="preserve"> PAGEREF _Toc236910606 \h </w:instrText>
          </w:r>
          <w:r>
            <w:fldChar w:fldCharType="separate"/>
          </w:r>
          <w:r>
            <w:t>7</w:t>
          </w:r>
          <w:r>
            <w:fldChar w:fldCharType="end"/>
          </w:r>
          <w:r>
            <w:fldChar w:fldCharType="end"/>
          </w:r>
        </w:p>
        <w:p w14:paraId="65B666C6">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"_Toc236910607" </w:instrText>
          </w:r>
          <w:r>
            <w:fldChar w:fldCharType="separate"/>
          </w:r>
          <w:r>
            <w:rPr>
              <w:rStyle w:val="15"/>
              <w:rFonts w:cs="Arial"/>
            </w:rPr>
            <w:t>2.3 Market Attractiveness Analysis for Nando’s Entry into Japan</w:t>
          </w:r>
          <w:r>
            <w:tab/>
          </w:r>
          <w:r>
            <w:fldChar w:fldCharType="begin"/>
          </w:r>
          <w:r>
            <w:instrText xml:space="preserve"> PAGEREF _Toc236910607 \h </w:instrText>
          </w:r>
          <w:r>
            <w:fldChar w:fldCharType="separate"/>
          </w:r>
          <w:r>
            <w:t>10</w:t>
          </w:r>
          <w:r>
            <w:fldChar w:fldCharType="end"/>
          </w:r>
          <w:r>
            <w:fldChar w:fldCharType="end"/>
          </w:r>
        </w:p>
        <w:p w14:paraId="219197F8">
          <w:pPr>
            <w:pStyle w:val="21"/>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"_Toc236910608" </w:instrText>
          </w:r>
          <w:r>
            <w:fldChar w:fldCharType="separate"/>
          </w:r>
          <w:r>
            <w:rPr>
              <w:rStyle w:val="15"/>
              <w:rFonts w:cs="Arial"/>
              <w:lang w:val="en-IN"/>
            </w:rPr>
            <w:t>2.3.1 Demand Potential and Consumer Market Opportunity</w:t>
          </w:r>
          <w:r>
            <w:tab/>
          </w:r>
          <w:r>
            <w:fldChar w:fldCharType="begin"/>
          </w:r>
          <w:r>
            <w:instrText xml:space="preserve"> PAGEREF _Toc236910608 \h </w:instrText>
          </w:r>
          <w:r>
            <w:fldChar w:fldCharType="separate"/>
          </w:r>
          <w:r>
            <w:t>10</w:t>
          </w:r>
          <w:r>
            <w:fldChar w:fldCharType="end"/>
          </w:r>
          <w:r>
            <w:fldChar w:fldCharType="end"/>
          </w:r>
        </w:p>
        <w:p w14:paraId="697FB6FE">
          <w:pPr>
            <w:pStyle w:val="21"/>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"_Toc236910609" </w:instrText>
          </w:r>
          <w:r>
            <w:fldChar w:fldCharType="separate"/>
          </w:r>
          <w:r>
            <w:rPr>
              <w:rStyle w:val="15"/>
              <w:rFonts w:cs="Arial"/>
              <w:lang w:val="en-IN"/>
            </w:rPr>
            <w:t>2.3.2 Competitive Landscape and Industry Conditions</w:t>
          </w:r>
          <w:r>
            <w:tab/>
          </w:r>
          <w:r>
            <w:fldChar w:fldCharType="begin"/>
          </w:r>
          <w:r>
            <w:instrText xml:space="preserve"> PAGEREF _Toc236910609 \h </w:instrText>
          </w:r>
          <w:r>
            <w:fldChar w:fldCharType="separate"/>
          </w:r>
          <w:r>
            <w:t>11</w:t>
          </w:r>
          <w:r>
            <w:fldChar w:fldCharType="end"/>
          </w:r>
          <w:r>
            <w:fldChar w:fldCharType="end"/>
          </w:r>
        </w:p>
        <w:p w14:paraId="639C2D6D">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"_Toc236910610" </w:instrText>
          </w:r>
          <w:r>
            <w:fldChar w:fldCharType="separate"/>
          </w:r>
          <w:r>
            <w:rPr>
              <w:rStyle w:val="15"/>
              <w:rFonts w:cs="Arial"/>
            </w:rPr>
            <w:t>2.4 Application of Dunning’s Eclectic Paradigm (OLI Framework)</w:t>
          </w:r>
          <w:r>
            <w:tab/>
          </w:r>
          <w:r>
            <w:fldChar w:fldCharType="begin"/>
          </w:r>
          <w:r>
            <w:instrText xml:space="preserve"> PAGEREF _Toc236910610 \h </w:instrText>
          </w:r>
          <w:r>
            <w:fldChar w:fldCharType="separate"/>
          </w:r>
          <w:r>
            <w:t>12</w:t>
          </w:r>
          <w:r>
            <w:fldChar w:fldCharType="end"/>
          </w:r>
          <w:r>
            <w:fldChar w:fldCharType="end"/>
          </w:r>
        </w:p>
        <w:p w14:paraId="798791CD">
          <w:pPr>
            <w:pStyle w:val="21"/>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"_Toc236910611" </w:instrText>
          </w:r>
          <w:r>
            <w:fldChar w:fldCharType="separate"/>
          </w:r>
          <w:r>
            <w:rPr>
              <w:rStyle w:val="15"/>
              <w:rFonts w:cs="Arial"/>
              <w:lang w:val="en-IN"/>
            </w:rPr>
            <w:t>2.4.1 Ownership Advantages</w:t>
          </w:r>
          <w:r>
            <w:tab/>
          </w:r>
          <w:r>
            <w:fldChar w:fldCharType="begin"/>
          </w:r>
          <w:r>
            <w:instrText xml:space="preserve"> PAGEREF _Toc236910611 \h </w:instrText>
          </w:r>
          <w:r>
            <w:fldChar w:fldCharType="separate"/>
          </w:r>
          <w:r>
            <w:t>12</w:t>
          </w:r>
          <w:r>
            <w:fldChar w:fldCharType="end"/>
          </w:r>
          <w:r>
            <w:fldChar w:fldCharType="end"/>
          </w:r>
        </w:p>
        <w:p w14:paraId="60F15231">
          <w:pPr>
            <w:pStyle w:val="21"/>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"_Toc236910612" </w:instrText>
          </w:r>
          <w:r>
            <w:fldChar w:fldCharType="separate"/>
          </w:r>
          <w:r>
            <w:rPr>
              <w:rStyle w:val="15"/>
              <w:rFonts w:cs="Arial"/>
              <w:lang w:val="en-IN"/>
            </w:rPr>
            <w:t>2.4.2 Location Advantages</w:t>
          </w:r>
          <w:r>
            <w:tab/>
          </w:r>
          <w:r>
            <w:fldChar w:fldCharType="begin"/>
          </w:r>
          <w:r>
            <w:instrText xml:space="preserve"> PAGEREF _Toc236910612 \h </w:instrText>
          </w:r>
          <w:r>
            <w:fldChar w:fldCharType="separate"/>
          </w:r>
          <w:r>
            <w:t>13</w:t>
          </w:r>
          <w:r>
            <w:fldChar w:fldCharType="end"/>
          </w:r>
          <w:r>
            <w:fldChar w:fldCharType="end"/>
          </w:r>
        </w:p>
        <w:p w14:paraId="24EB1139">
          <w:pPr>
            <w:pStyle w:val="21"/>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"_Toc236910613" </w:instrText>
          </w:r>
          <w:r>
            <w:fldChar w:fldCharType="separate"/>
          </w:r>
          <w:r>
            <w:rPr>
              <w:rStyle w:val="15"/>
              <w:rFonts w:cs="Arial"/>
              <w:lang w:val="en-IN"/>
            </w:rPr>
            <w:t>2.4.3 Internalisation Advantages</w:t>
          </w:r>
          <w:r>
            <w:tab/>
          </w:r>
          <w:r>
            <w:fldChar w:fldCharType="begin"/>
          </w:r>
          <w:r>
            <w:instrText xml:space="preserve"> PAGEREF _Toc236910613 \h </w:instrText>
          </w:r>
          <w:r>
            <w:fldChar w:fldCharType="separate"/>
          </w:r>
          <w:r>
            <w:t>14</w:t>
          </w:r>
          <w:r>
            <w:fldChar w:fldCharType="end"/>
          </w:r>
          <w:r>
            <w:fldChar w:fldCharType="end"/>
          </w:r>
        </w:p>
        <w:p w14:paraId="69006F00">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"_Toc236910614" </w:instrText>
          </w:r>
          <w:r>
            <w:fldChar w:fldCharType="separate"/>
          </w:r>
          <w:r>
            <w:rPr>
              <w:rStyle w:val="15"/>
              <w:rFonts w:cs="Arial"/>
            </w:rPr>
            <w:t>2.5 Strategic Implications of Macro-Environmental Findings</w:t>
          </w:r>
          <w:r>
            <w:tab/>
          </w:r>
          <w:r>
            <w:fldChar w:fldCharType="begin"/>
          </w:r>
          <w:r>
            <w:instrText xml:space="preserve"> PAGEREF _Toc236910614 \h </w:instrText>
          </w:r>
          <w:r>
            <w:fldChar w:fldCharType="separate"/>
          </w:r>
          <w:r>
            <w:t>14</w:t>
          </w:r>
          <w:r>
            <w:fldChar w:fldCharType="end"/>
          </w:r>
          <w:r>
            <w:fldChar w:fldCharType="end"/>
          </w:r>
        </w:p>
        <w:p w14:paraId="50AF5526">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"_Toc236910615" </w:instrText>
          </w:r>
          <w:r>
            <w:fldChar w:fldCharType="separate"/>
          </w:r>
          <w:r>
            <w:rPr>
              <w:rStyle w:val="15"/>
              <w:rFonts w:cs="Arial"/>
            </w:rPr>
            <w:t>2.6 Market Entry Feasibility of Nando’s in Japan</w:t>
          </w:r>
          <w:r>
            <w:tab/>
          </w:r>
          <w:r>
            <w:fldChar w:fldCharType="begin"/>
          </w:r>
          <w:r>
            <w:instrText xml:space="preserve"> PAGEREF _Toc236910615 \h </w:instrText>
          </w:r>
          <w:r>
            <w:fldChar w:fldCharType="separate"/>
          </w:r>
          <w:r>
            <w:t>15</w:t>
          </w:r>
          <w:r>
            <w:fldChar w:fldCharType="end"/>
          </w:r>
          <w:r>
            <w:fldChar w:fldCharType="end"/>
          </w:r>
        </w:p>
        <w:p w14:paraId="71628033">
          <w:pPr>
            <w:pStyle w:val="19"/>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"_Toc236910616" </w:instrText>
          </w:r>
          <w:r>
            <w:fldChar w:fldCharType="separate"/>
          </w:r>
          <w:r>
            <w:rPr>
              <w:rStyle w:val="15"/>
              <w:lang w:val="en-IN"/>
            </w:rPr>
            <w:t>3. Entry Mode Strategy and Strategic Synthesis</w:t>
          </w:r>
          <w:r>
            <w:tab/>
          </w:r>
          <w:r>
            <w:fldChar w:fldCharType="begin"/>
          </w:r>
          <w:r>
            <w:instrText xml:space="preserve"> PAGEREF _Toc236910616 \h </w:instrText>
          </w:r>
          <w:r>
            <w:fldChar w:fldCharType="separate"/>
          </w:r>
          <w:r>
            <w:t>15</w:t>
          </w:r>
          <w:r>
            <w:fldChar w:fldCharType="end"/>
          </w:r>
          <w:r>
            <w:fldChar w:fldCharType="end"/>
          </w:r>
        </w:p>
        <w:p w14:paraId="6ADD05DB">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"_Toc236910617" </w:instrText>
          </w:r>
          <w:r>
            <w:fldChar w:fldCharType="separate"/>
          </w:r>
          <w:r>
            <w:rPr>
              <w:rStyle w:val="15"/>
              <w:rFonts w:cs="Arial"/>
              <w:lang w:val="en-IN"/>
            </w:rPr>
            <w:t>3.1 Historical pattern recognition</w:t>
          </w:r>
          <w:r>
            <w:tab/>
          </w:r>
          <w:r>
            <w:fldChar w:fldCharType="begin"/>
          </w:r>
          <w:r>
            <w:instrText xml:space="preserve"> PAGEREF _Toc236910617 \h </w:instrText>
          </w:r>
          <w:r>
            <w:fldChar w:fldCharType="separate"/>
          </w:r>
          <w:r>
            <w:t>15</w:t>
          </w:r>
          <w:r>
            <w:fldChar w:fldCharType="end"/>
          </w:r>
          <w:r>
            <w:fldChar w:fldCharType="end"/>
          </w:r>
        </w:p>
        <w:p w14:paraId="3C36A0F7">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"_Toc236910618" </w:instrText>
          </w:r>
          <w:r>
            <w:fldChar w:fldCharType="separate"/>
          </w:r>
          <w:r>
            <w:rPr>
              <w:rStyle w:val="15"/>
              <w:rFonts w:cs="Arial"/>
              <w:lang w:val="en-IN"/>
            </w:rPr>
            <w:t>3.2 Strategic fit and Justification for the Japan market entry</w:t>
          </w:r>
          <w:r>
            <w:tab/>
          </w:r>
          <w:r>
            <w:fldChar w:fldCharType="begin"/>
          </w:r>
          <w:r>
            <w:instrText xml:space="preserve"> PAGEREF _Toc236910618 \h </w:instrText>
          </w:r>
          <w:r>
            <w:fldChar w:fldCharType="separate"/>
          </w:r>
          <w:r>
            <w:t>16</w:t>
          </w:r>
          <w:r>
            <w:fldChar w:fldCharType="end"/>
          </w:r>
          <w:r>
            <w:fldChar w:fldCharType="end"/>
          </w:r>
        </w:p>
        <w:p w14:paraId="16C9E7B1">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"_Toc236910619" </w:instrText>
          </w:r>
          <w:r>
            <w:fldChar w:fldCharType="separate"/>
          </w:r>
          <w:r>
            <w:rPr>
              <w:rStyle w:val="15"/>
              <w:rFonts w:cs="Arial"/>
              <w:lang w:val="en-IN"/>
            </w:rPr>
            <w:t>3.3 Strategic Synthesis: Risk, Control and Long-Term Strategic Fit</w:t>
          </w:r>
          <w:r>
            <w:tab/>
          </w:r>
          <w:r>
            <w:fldChar w:fldCharType="begin"/>
          </w:r>
          <w:r>
            <w:instrText xml:space="preserve"> PAGEREF _Toc236910619 \h </w:instrText>
          </w:r>
          <w:r>
            <w:fldChar w:fldCharType="separate"/>
          </w:r>
          <w:r>
            <w:t>17</w:t>
          </w:r>
          <w:r>
            <w:fldChar w:fldCharType="end"/>
          </w:r>
          <w:r>
            <w:fldChar w:fldCharType="end"/>
          </w:r>
        </w:p>
        <w:p w14:paraId="5ACA4179">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"_Toc236910620" </w:instrText>
          </w:r>
          <w:r>
            <w:fldChar w:fldCharType="separate"/>
          </w:r>
          <w:r>
            <w:rPr>
              <w:rStyle w:val="15"/>
              <w:rFonts w:cs="Arial"/>
              <w:lang w:val="en-IN"/>
            </w:rPr>
            <w:t>3.4 Conclusion and Recommendations</w:t>
          </w:r>
          <w:r>
            <w:tab/>
          </w:r>
          <w:r>
            <w:fldChar w:fldCharType="begin"/>
          </w:r>
          <w:r>
            <w:instrText xml:space="preserve"> PAGEREF _Toc236910620 \h </w:instrText>
          </w:r>
          <w:r>
            <w:fldChar w:fldCharType="separate"/>
          </w:r>
          <w:r>
            <w:t>18</w:t>
          </w:r>
          <w:r>
            <w:fldChar w:fldCharType="end"/>
          </w:r>
          <w:r>
            <w:fldChar w:fldCharType="end"/>
          </w:r>
        </w:p>
        <w:p w14:paraId="1C3EA66F">
          <w:pPr>
            <w:pStyle w:val="19"/>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"_Toc236910621" </w:instrText>
          </w:r>
          <w:r>
            <w:fldChar w:fldCharType="separate"/>
          </w:r>
          <w:r>
            <w:rPr>
              <w:rStyle w:val="15"/>
              <w:lang w:val="en-IN"/>
            </w:rPr>
            <w:t>Section 2</w:t>
          </w:r>
          <w:r>
            <w:tab/>
          </w:r>
          <w:r>
            <w:fldChar w:fldCharType="begin"/>
          </w:r>
          <w:r>
            <w:instrText xml:space="preserve"> PAGEREF _Toc236910621 \h </w:instrText>
          </w:r>
          <w:r>
            <w:fldChar w:fldCharType="separate"/>
          </w:r>
          <w:r>
            <w:t>19</w:t>
          </w:r>
          <w:r>
            <w:fldChar w:fldCharType="end"/>
          </w:r>
          <w:r>
            <w:fldChar w:fldCharType="end"/>
          </w:r>
        </w:p>
        <w:p w14:paraId="2A83C43F">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"_Toc236910622" </w:instrText>
          </w:r>
          <w:r>
            <w:fldChar w:fldCharType="separate"/>
          </w:r>
          <w:r>
            <w:rPr>
              <w:rStyle w:val="15"/>
              <w:rFonts w:cs="Arial"/>
              <w:lang w:val="en-IN"/>
            </w:rPr>
            <w:t>4.1 Description</w:t>
          </w:r>
          <w:r>
            <w:tab/>
          </w:r>
          <w:r>
            <w:fldChar w:fldCharType="begin"/>
          </w:r>
          <w:r>
            <w:instrText xml:space="preserve"> PAGEREF _Toc236910622 \h </w:instrText>
          </w:r>
          <w:r>
            <w:fldChar w:fldCharType="separate"/>
          </w:r>
          <w:r>
            <w:t>19</w:t>
          </w:r>
          <w:r>
            <w:fldChar w:fldCharType="end"/>
          </w:r>
          <w:r>
            <w:fldChar w:fldCharType="end"/>
          </w:r>
        </w:p>
        <w:p w14:paraId="1C0C6926">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"_Toc236910623" </w:instrText>
          </w:r>
          <w:r>
            <w:fldChar w:fldCharType="separate"/>
          </w:r>
          <w:r>
            <w:rPr>
              <w:rStyle w:val="15"/>
              <w:rFonts w:cs="Arial"/>
              <w:lang w:val="en-IN"/>
            </w:rPr>
            <w:t>4.2 Feelings</w:t>
          </w:r>
          <w:r>
            <w:tab/>
          </w:r>
          <w:r>
            <w:fldChar w:fldCharType="begin"/>
          </w:r>
          <w:r>
            <w:instrText xml:space="preserve"> PAGEREF _Toc236910623 \h </w:instrText>
          </w:r>
          <w:r>
            <w:fldChar w:fldCharType="separate"/>
          </w:r>
          <w:r>
            <w:t>19</w:t>
          </w:r>
          <w:r>
            <w:fldChar w:fldCharType="end"/>
          </w:r>
          <w:r>
            <w:fldChar w:fldCharType="end"/>
          </w:r>
        </w:p>
        <w:p w14:paraId="232A9C7D">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"_Toc236910624" </w:instrText>
          </w:r>
          <w:r>
            <w:fldChar w:fldCharType="separate"/>
          </w:r>
          <w:r>
            <w:rPr>
              <w:rStyle w:val="15"/>
              <w:rFonts w:cs="Arial"/>
              <w:lang w:val="en-IN"/>
            </w:rPr>
            <w:t>4.3 Evaluation</w:t>
          </w:r>
          <w:r>
            <w:tab/>
          </w:r>
          <w:r>
            <w:fldChar w:fldCharType="begin"/>
          </w:r>
          <w:r>
            <w:instrText xml:space="preserve"> PAGEREF _Toc236910624 \h </w:instrText>
          </w:r>
          <w:r>
            <w:fldChar w:fldCharType="separate"/>
          </w:r>
          <w:r>
            <w:t>19</w:t>
          </w:r>
          <w:r>
            <w:fldChar w:fldCharType="end"/>
          </w:r>
          <w:r>
            <w:fldChar w:fldCharType="end"/>
          </w:r>
        </w:p>
        <w:p w14:paraId="34C23E67">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"_Toc236910625" </w:instrText>
          </w:r>
          <w:r>
            <w:fldChar w:fldCharType="separate"/>
          </w:r>
          <w:r>
            <w:rPr>
              <w:rStyle w:val="15"/>
              <w:rFonts w:cs="Arial"/>
              <w:lang w:val="en-IN"/>
            </w:rPr>
            <w:t>4.4 Analysis</w:t>
          </w:r>
          <w:r>
            <w:tab/>
          </w:r>
          <w:r>
            <w:fldChar w:fldCharType="begin"/>
          </w:r>
          <w:r>
            <w:instrText xml:space="preserve"> PAGEREF _Toc236910625 \h </w:instrText>
          </w:r>
          <w:r>
            <w:fldChar w:fldCharType="separate"/>
          </w:r>
          <w:r>
            <w:t>21</w:t>
          </w:r>
          <w:r>
            <w:fldChar w:fldCharType="end"/>
          </w:r>
          <w:r>
            <w:fldChar w:fldCharType="end"/>
          </w:r>
        </w:p>
        <w:p w14:paraId="1AE0CAD7">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"_Toc236910626" </w:instrText>
          </w:r>
          <w:r>
            <w:fldChar w:fldCharType="separate"/>
          </w:r>
          <w:r>
            <w:rPr>
              <w:rStyle w:val="15"/>
              <w:rFonts w:cs="Arial"/>
              <w:lang w:val="en-IN"/>
            </w:rPr>
            <w:t>4.5 Conclusion</w:t>
          </w:r>
          <w:r>
            <w:tab/>
          </w:r>
          <w:r>
            <w:fldChar w:fldCharType="begin"/>
          </w:r>
          <w:r>
            <w:instrText xml:space="preserve"> PAGEREF _Toc236910626 \h </w:instrText>
          </w:r>
          <w:r>
            <w:fldChar w:fldCharType="separate"/>
          </w:r>
          <w:r>
            <w:t>22</w:t>
          </w:r>
          <w:r>
            <w:fldChar w:fldCharType="end"/>
          </w:r>
          <w:r>
            <w:fldChar w:fldCharType="end"/>
          </w:r>
        </w:p>
        <w:p w14:paraId="6B5E9A25">
          <w:pPr>
            <w:pStyle w:val="20"/>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"_Toc236910628" </w:instrText>
          </w:r>
          <w:r>
            <w:fldChar w:fldCharType="separate"/>
          </w:r>
          <w:r>
            <w:rPr>
              <w:rStyle w:val="15"/>
            </w:rPr>
            <w:t>4.6 Recommendations</w:t>
          </w:r>
          <w:r>
            <w:tab/>
          </w:r>
          <w:r>
            <w:fldChar w:fldCharType="begin"/>
          </w:r>
          <w:r>
            <w:instrText xml:space="preserve"> PAGEREF _Toc236910628 \h </w:instrText>
          </w:r>
          <w:r>
            <w:fldChar w:fldCharType="separate"/>
          </w:r>
          <w:r>
            <w:t>22</w:t>
          </w:r>
          <w:r>
            <w:fldChar w:fldCharType="end"/>
          </w:r>
          <w:r>
            <w:fldChar w:fldCharType="end"/>
          </w:r>
        </w:p>
        <w:p w14:paraId="274C5BEE">
          <w:pPr>
            <w:pStyle w:val="19"/>
            <w:tabs>
              <w:tab w:val="right" w:leader="dot" w:pos="9016"/>
            </w:tabs>
            <w:rPr>
              <w:rFonts w:asciiTheme="minorHAnsi" w:hAnsiTheme="minorHAnsi" w:eastAsiaTheme="minorEastAsia"/>
              <w:szCs w:val="24"/>
              <w:lang w:val="en-IN" w:eastAsia="en-IN"/>
              <w14:ligatures w14:val="standardContextual"/>
            </w:rPr>
          </w:pPr>
          <w:r>
            <w:fldChar w:fldCharType="begin"/>
          </w:r>
          <w:r>
            <w:instrText xml:space="preserve"> HYPERLINK \l "_Toc236910629" </w:instrText>
          </w:r>
          <w:r>
            <w:fldChar w:fldCharType="separate"/>
          </w:r>
          <w:r>
            <w:rPr>
              <w:rStyle w:val="15"/>
              <w:lang w:val="en-IN"/>
            </w:rPr>
            <w:t>References</w:t>
          </w:r>
          <w:r>
            <w:tab/>
          </w:r>
          <w:r>
            <w:fldChar w:fldCharType="begin"/>
          </w:r>
          <w:r>
            <w:instrText xml:space="preserve"> PAGEREF _Toc236910629 \h </w:instrText>
          </w:r>
          <w:r>
            <w:fldChar w:fldCharType="separate"/>
          </w:r>
          <w:r>
            <w:t>24</w:t>
          </w:r>
          <w:r>
            <w:fldChar w:fldCharType="end"/>
          </w:r>
          <w:r>
            <w:fldChar w:fldCharType="end"/>
          </w:r>
        </w:p>
        <w:p w14:paraId="20E4559E">
          <w:pPr>
            <w:rPr>
              <w:rFonts w:cs="Arial"/>
            </w:rPr>
          </w:pPr>
          <w:r>
            <w:rPr>
              <w:rFonts w:cs="Arial"/>
              <w:b/>
              <w:bCs/>
              <w:szCs w:val="24"/>
            </w:rPr>
            <w:fldChar w:fldCharType="end"/>
          </w:r>
        </w:p>
      </w:sdtContent>
    </w:sdt>
    <w:p w14:paraId="72B555CD">
      <w:pPr>
        <w:rPr>
          <w:rFonts w:cs="Arial"/>
          <w:b/>
          <w:bCs/>
          <w:sz w:val="44"/>
          <w:szCs w:val="44"/>
        </w:rPr>
      </w:pPr>
      <w:r>
        <w:rPr>
          <w:rFonts w:cs="Arial"/>
          <w:b/>
          <w:bCs/>
          <w:sz w:val="44"/>
          <w:szCs w:val="44"/>
        </w:rPr>
        <w:br w:type="page"/>
      </w:r>
    </w:p>
    <w:p w14:paraId="31A99DA6">
      <w:pPr>
        <w:pStyle w:val="2"/>
      </w:pPr>
      <w:bookmarkStart w:id="0" w:name="_Toc236910600"/>
      <w:r>
        <w:t>Section 1</w:t>
      </w:r>
      <w:bookmarkEnd w:id="0"/>
    </w:p>
    <w:p w14:paraId="5311ACAA">
      <w:pPr>
        <w:pStyle w:val="2"/>
      </w:pPr>
      <w:bookmarkStart w:id="1" w:name="_Toc236910601"/>
      <w:r>
        <w:t>1. Organisational Classification and Global Strategy</w:t>
      </w:r>
      <w:bookmarkEnd w:id="1"/>
    </w:p>
    <w:p w14:paraId="6819DAE9">
      <w:pPr>
        <w:pStyle w:val="3"/>
        <w:rPr>
          <w:rFonts w:cs="Arial"/>
        </w:rPr>
      </w:pPr>
      <w:bookmarkStart w:id="2" w:name="_Toc236910602"/>
      <w:r>
        <w:rPr>
          <w:rFonts w:cs="Arial"/>
        </w:rPr>
        <w:t>1.1 Strategic Categorisation: Bartlett and Ghoshal's International Strategy Framework</w:t>
      </w:r>
      <w:bookmarkEnd w:id="2"/>
    </w:p>
    <w:p w14:paraId="42EFFEBA">
      <w:pPr>
        <w:rPr>
          <w:rFonts w:cs="Arial"/>
          <w:szCs w:val="24"/>
          <w:lang w:val="en-IN"/>
        </w:rPr>
      </w:pPr>
      <w:r>
        <w:rPr>
          <w:rFonts w:cs="Arial"/>
          <w:szCs w:val="24"/>
          <w:lang w:val="en-IN"/>
        </w:rPr>
        <w:t>According to the Bartlett and Ghoshal (1989) international strategy framework, Nando's can be defined as a transnational corporation (TNC). There are four principal strategies of multinational corporations (MNCs): international, multinational, global, and transnational strategies, differing in the degree of global integration and local responsiveness needed for international markets. A transnational strategy seeks to leverage global efficiency and local responsiveness simultaneously, whereby capabilities are transferred between countries while subsidiary units simultaneously respond to the local consumers' demands. Nando's displays transnational tendencies as the company pursues a consistent global brand identity, built on a PERi-PERi chicken concept, a Portuguese-African heritage and customer experience. Simultaneously, the company adapts to local consumer tastes and preferences in product offerings, promotional messaging, and operations. This can be exemplified as, in markets such as the United Kingdom and Australia, Nando's markets itself as a social casual dining restaurant, while in Asian markets, they are known to adapt menu choices and offer local meal options and mild spice levels. This process of standardisation with some local responsiveness is typical of a transnational strategy. In accordance with İşiner and Aydn (2023), the choice of entry strategies must take into account how to balance global competencies with the local environment. This is highly applicable to Nando's as their entry into Japan must consider factors such as culture, market demands and standards, etc. Hazzan, Amlani and Davis (2025) also state that the ability of multinational firms to balance organisational competencies and local market knowledge is critical for their sustainable international growth, which makes a transnational strategy appropriate for entering a culturally unique market like Japan.</w:t>
      </w:r>
    </w:p>
    <w:p w14:paraId="0C0BF67F">
      <w:pPr>
        <w:jc w:val="center"/>
        <w:rPr>
          <w:rFonts w:cs="Arial"/>
          <w:szCs w:val="24"/>
          <w:lang w:val="en-IN"/>
        </w:rPr>
      </w:pPr>
      <w:r>
        <w:rPr>
          <w:rFonts w:cs="Arial"/>
          <w:szCs w:val="24"/>
          <w:lang w:val="en-IN"/>
        </w:rPr>
        <w:drawing>
          <wp:inline distT="0" distB="0" distL="0" distR="0">
            <wp:extent cx="3695065" cy="1891665"/>
            <wp:effectExtent l="0" t="0" r="635" b="0"/>
            <wp:docPr id="1553780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80407" name="Picture 1"/>
                    <pic:cNvPicPr>
                      <a:picLocks noChangeAspect="1"/>
                    </pic:cNvPicPr>
                  </pic:nvPicPr>
                  <pic:blipFill>
                    <a:blip r:embed="rId9"/>
                    <a:stretch>
                      <a:fillRect/>
                    </a:stretch>
                  </pic:blipFill>
                  <pic:spPr>
                    <a:xfrm>
                      <a:off x="0" y="0"/>
                      <a:ext cx="3696579" cy="1892584"/>
                    </a:xfrm>
                    <a:prstGeom prst="rect">
                      <a:avLst/>
                    </a:prstGeom>
                  </pic:spPr>
                </pic:pic>
              </a:graphicData>
            </a:graphic>
          </wp:inline>
        </w:drawing>
      </w:r>
    </w:p>
    <w:p w14:paraId="41FC2035">
      <w:pPr>
        <w:jc w:val="center"/>
        <w:rPr>
          <w:rFonts w:cs="Arial"/>
          <w:b/>
          <w:bCs/>
          <w:szCs w:val="24"/>
          <w:lang w:val="en-IN"/>
        </w:rPr>
      </w:pPr>
      <w:r>
        <w:rPr>
          <w:rFonts w:cs="Arial"/>
          <w:b/>
          <w:bCs/>
          <w:szCs w:val="24"/>
          <w:lang w:val="en-IN"/>
        </w:rPr>
        <w:t>Figure 1:</w:t>
      </w:r>
      <w:r>
        <w:rPr>
          <w:rFonts w:cs="Arial"/>
          <w:b/>
          <w:bCs/>
          <w:szCs w:val="24"/>
        </w:rPr>
        <w:t xml:space="preserve"> Bartlett and Ghoshal’s International Strategy Framework</w:t>
      </w:r>
    </w:p>
    <w:p w14:paraId="006C6255">
      <w:pPr>
        <w:jc w:val="center"/>
        <w:rPr>
          <w:rFonts w:cs="Arial"/>
          <w:szCs w:val="24"/>
          <w:lang w:val="en-IN"/>
        </w:rPr>
      </w:pPr>
      <w:r>
        <w:rPr>
          <w:rFonts w:cs="Arial"/>
          <w:szCs w:val="24"/>
          <w:lang w:val="en-IN"/>
        </w:rPr>
        <w:t xml:space="preserve">(Source: </w:t>
      </w:r>
      <w:r>
        <w:rPr>
          <w:rFonts w:cs="Arial"/>
          <w:szCs w:val="24"/>
        </w:rPr>
        <w:t xml:space="preserve">İşiner </w:t>
      </w:r>
      <w:r>
        <w:rPr>
          <w:rFonts w:cs="Arial"/>
          <w:szCs w:val="24"/>
          <w:lang w:val="en-IN"/>
        </w:rPr>
        <w:t>and Aydn, 2023)</w:t>
      </w:r>
    </w:p>
    <w:p w14:paraId="5904F885">
      <w:pPr>
        <w:pStyle w:val="3"/>
        <w:rPr>
          <w:rFonts w:cs="Arial"/>
        </w:rPr>
      </w:pPr>
      <w:bookmarkStart w:id="3" w:name="_Toc236910603"/>
      <w:r>
        <w:rPr>
          <w:rFonts w:cs="Arial"/>
        </w:rPr>
        <w:t>1.2 Global Configuration: Geographic Footprint and Competitive Advantage</w:t>
      </w:r>
      <w:bookmarkEnd w:id="3"/>
    </w:p>
    <w:p w14:paraId="2EBEF583">
      <w:pPr>
        <w:rPr>
          <w:rFonts w:cs="Arial"/>
          <w:szCs w:val="24"/>
          <w:lang w:val="en-IN"/>
        </w:rPr>
      </w:pPr>
      <w:r>
        <w:rPr>
          <w:rFonts w:cs="Arial"/>
          <w:szCs w:val="24"/>
          <w:lang w:val="en-IN"/>
        </w:rPr>
        <w:t>Nando's footprint is geographically diversified, and the business is present throughout the countries in the Europe, Africa, Asia, Australia and the Middle East. The business operates on a combined company-owned, franchised and joint-venture business model to allow it to grow internationally while at the same time reducing risk exposure.</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EF2CC" w:themeFill="accent4" w:themeFillTint="33"/>
        <w:tblLayout w:type="autofit"/>
        <w:tblCellMar>
          <w:top w:w="0" w:type="dxa"/>
          <w:left w:w="108" w:type="dxa"/>
          <w:bottom w:w="0" w:type="dxa"/>
          <w:right w:w="108" w:type="dxa"/>
        </w:tblCellMar>
      </w:tblPr>
      <w:tblGrid>
        <w:gridCol w:w="1443"/>
        <w:gridCol w:w="3067"/>
        <w:gridCol w:w="4732"/>
      </w:tblGrid>
      <w:tr w14:paraId="4123C3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trPr>
        <w:tc>
          <w:tcPr>
            <w:tcW w:w="0" w:type="auto"/>
            <w:gridSpan w:val="3"/>
            <w:shd w:val="clear" w:color="auto" w:fill="FEF2CC" w:themeFill="accent4" w:themeFillTint="33"/>
            <w:noWrap/>
            <w:vAlign w:val="center"/>
          </w:tcPr>
          <w:p w14:paraId="6EDD76CF">
            <w:pPr>
              <w:spacing w:after="0"/>
              <w:rPr>
                <w:rFonts w:eastAsia="Times New Roman" w:cs="Arial"/>
                <w:b/>
                <w:bCs/>
                <w:color w:val="000000"/>
                <w:kern w:val="0"/>
                <w:szCs w:val="24"/>
                <w:lang w:val="en-IN" w:eastAsia="en-IN"/>
              </w:rPr>
            </w:pPr>
            <w:r>
              <w:rPr>
                <w:rFonts w:eastAsia="Times New Roman" w:cs="Arial"/>
                <w:color w:val="000000"/>
                <w:kern w:val="0"/>
                <w:szCs w:val="24"/>
                <w:lang w:val="en-IN" w:eastAsia="en-IN"/>
              </w:rPr>
              <w:t> </w:t>
            </w:r>
            <w:r>
              <w:rPr>
                <w:rFonts w:eastAsia="Times New Roman" w:cs="Arial"/>
                <w:b/>
                <w:bCs/>
                <w:color w:val="000000"/>
                <w:kern w:val="0"/>
                <w:szCs w:val="24"/>
                <w:lang w:val="en-IN" w:eastAsia="en-IN"/>
              </w:rPr>
              <w:t>Table 1: Nando’s Global Operational Configuration</w:t>
            </w:r>
          </w:p>
        </w:tc>
      </w:tr>
      <w:tr w14:paraId="75E3A5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EF2CC" w:themeFill="accent4" w:themeFillTint="33"/>
          <w:tblCellMar>
            <w:top w:w="0" w:type="dxa"/>
            <w:left w:w="108" w:type="dxa"/>
            <w:bottom w:w="0" w:type="dxa"/>
            <w:right w:w="108" w:type="dxa"/>
          </w:tblCellMar>
        </w:tblPrEx>
        <w:trPr>
          <w:trHeight w:val="900" w:hRule="atLeast"/>
        </w:trPr>
        <w:tc>
          <w:tcPr>
            <w:tcW w:w="0" w:type="auto"/>
            <w:shd w:val="clear" w:color="auto" w:fill="FEF2CC" w:themeFill="accent4" w:themeFillTint="33"/>
            <w:vAlign w:val="center"/>
          </w:tcPr>
          <w:p w14:paraId="14096F85">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Region</w:t>
            </w:r>
          </w:p>
        </w:tc>
        <w:tc>
          <w:tcPr>
            <w:tcW w:w="0" w:type="auto"/>
            <w:shd w:val="clear" w:color="auto" w:fill="FEF2CC" w:themeFill="accent4" w:themeFillTint="33"/>
            <w:vAlign w:val="center"/>
          </w:tcPr>
          <w:p w14:paraId="4907FA69">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Example Markets</w:t>
            </w:r>
          </w:p>
        </w:tc>
        <w:tc>
          <w:tcPr>
            <w:tcW w:w="0" w:type="auto"/>
            <w:shd w:val="clear" w:color="auto" w:fill="FEF2CC" w:themeFill="accent4" w:themeFillTint="33"/>
            <w:vAlign w:val="center"/>
          </w:tcPr>
          <w:p w14:paraId="521E77B8">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Strategic Contribution</w:t>
            </w:r>
          </w:p>
        </w:tc>
      </w:tr>
      <w:tr w14:paraId="335095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EF2CC" w:themeFill="accent4" w:themeFillTint="33"/>
          <w:tblCellMar>
            <w:top w:w="0" w:type="dxa"/>
            <w:left w:w="108" w:type="dxa"/>
            <w:bottom w:w="0" w:type="dxa"/>
            <w:right w:w="108" w:type="dxa"/>
          </w:tblCellMar>
        </w:tblPrEx>
        <w:trPr>
          <w:trHeight w:val="620" w:hRule="atLeast"/>
        </w:trPr>
        <w:tc>
          <w:tcPr>
            <w:tcW w:w="0" w:type="auto"/>
            <w:shd w:val="clear" w:color="auto" w:fill="FEF2CC" w:themeFill="accent4" w:themeFillTint="33"/>
            <w:vAlign w:val="center"/>
          </w:tcPr>
          <w:p w14:paraId="39401AC6">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Europe</w:t>
            </w:r>
          </w:p>
        </w:tc>
        <w:tc>
          <w:tcPr>
            <w:tcW w:w="0" w:type="auto"/>
            <w:shd w:val="clear" w:color="auto" w:fill="FEF2CC" w:themeFill="accent4" w:themeFillTint="33"/>
            <w:vAlign w:val="center"/>
          </w:tcPr>
          <w:p w14:paraId="6B4FEE2D">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UK, Ireland</w:t>
            </w:r>
          </w:p>
        </w:tc>
        <w:tc>
          <w:tcPr>
            <w:tcW w:w="0" w:type="auto"/>
            <w:shd w:val="clear" w:color="auto" w:fill="FEF2CC" w:themeFill="accent4" w:themeFillTint="33"/>
            <w:vAlign w:val="center"/>
          </w:tcPr>
          <w:p w14:paraId="747122CA">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Largest brand awareness and revenue generation</w:t>
            </w:r>
          </w:p>
        </w:tc>
      </w:tr>
      <w:tr w14:paraId="5B7935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0" w:hRule="atLeast"/>
        </w:trPr>
        <w:tc>
          <w:tcPr>
            <w:tcW w:w="0" w:type="auto"/>
            <w:shd w:val="clear" w:color="auto" w:fill="FEF2CC" w:themeFill="accent4" w:themeFillTint="33"/>
            <w:vAlign w:val="center"/>
          </w:tcPr>
          <w:p w14:paraId="358BA050">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Africa</w:t>
            </w:r>
          </w:p>
        </w:tc>
        <w:tc>
          <w:tcPr>
            <w:tcW w:w="0" w:type="auto"/>
            <w:shd w:val="clear" w:color="auto" w:fill="FEF2CC" w:themeFill="accent4" w:themeFillTint="33"/>
            <w:vAlign w:val="center"/>
          </w:tcPr>
          <w:p w14:paraId="4891DDF3">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South Africa</w:t>
            </w:r>
          </w:p>
        </w:tc>
        <w:tc>
          <w:tcPr>
            <w:tcW w:w="0" w:type="auto"/>
            <w:shd w:val="clear" w:color="auto" w:fill="FEF2CC" w:themeFill="accent4" w:themeFillTint="33"/>
            <w:vAlign w:val="center"/>
          </w:tcPr>
          <w:p w14:paraId="1EFC98A8">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Brand origin and product authenticity</w:t>
            </w:r>
          </w:p>
        </w:tc>
      </w:tr>
      <w:tr w14:paraId="1AB4E1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50" w:hRule="atLeast"/>
        </w:trPr>
        <w:tc>
          <w:tcPr>
            <w:tcW w:w="0" w:type="auto"/>
            <w:shd w:val="clear" w:color="auto" w:fill="FEF2CC" w:themeFill="accent4" w:themeFillTint="33"/>
            <w:vAlign w:val="center"/>
          </w:tcPr>
          <w:p w14:paraId="540C3297">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Asia-Pacific</w:t>
            </w:r>
          </w:p>
        </w:tc>
        <w:tc>
          <w:tcPr>
            <w:tcW w:w="0" w:type="auto"/>
            <w:shd w:val="clear" w:color="auto" w:fill="FEF2CC" w:themeFill="accent4" w:themeFillTint="33"/>
            <w:vAlign w:val="center"/>
          </w:tcPr>
          <w:p w14:paraId="72FDAC69">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Singapore, Malaysia, Australia</w:t>
            </w:r>
          </w:p>
        </w:tc>
        <w:tc>
          <w:tcPr>
            <w:tcW w:w="0" w:type="auto"/>
            <w:shd w:val="clear" w:color="auto" w:fill="FEF2CC" w:themeFill="accent4" w:themeFillTint="33"/>
            <w:vAlign w:val="center"/>
          </w:tcPr>
          <w:p w14:paraId="08CC2505">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Access to emerging consumer markets</w:t>
            </w:r>
          </w:p>
        </w:tc>
      </w:tr>
      <w:tr w14:paraId="70DCE4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EF2CC" w:themeFill="accent4" w:themeFillTint="33"/>
          <w:tblCellMar>
            <w:top w:w="0" w:type="dxa"/>
            <w:left w:w="108" w:type="dxa"/>
            <w:bottom w:w="0" w:type="dxa"/>
            <w:right w:w="108" w:type="dxa"/>
          </w:tblCellMar>
        </w:tblPrEx>
        <w:trPr>
          <w:trHeight w:val="930" w:hRule="atLeast"/>
        </w:trPr>
        <w:tc>
          <w:tcPr>
            <w:tcW w:w="0" w:type="auto"/>
            <w:shd w:val="clear" w:color="auto" w:fill="FEF2CC" w:themeFill="accent4" w:themeFillTint="33"/>
            <w:vAlign w:val="center"/>
          </w:tcPr>
          <w:p w14:paraId="2839A7D6">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Middle East</w:t>
            </w:r>
          </w:p>
        </w:tc>
        <w:tc>
          <w:tcPr>
            <w:tcW w:w="0" w:type="auto"/>
            <w:shd w:val="clear" w:color="auto" w:fill="FEF2CC" w:themeFill="accent4" w:themeFillTint="33"/>
            <w:vAlign w:val="center"/>
          </w:tcPr>
          <w:p w14:paraId="46E872EA">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UAE, Saudi Arabia</w:t>
            </w:r>
          </w:p>
        </w:tc>
        <w:tc>
          <w:tcPr>
            <w:tcW w:w="0" w:type="auto"/>
            <w:shd w:val="clear" w:color="auto" w:fill="FEF2CC" w:themeFill="accent4" w:themeFillTint="33"/>
            <w:vAlign w:val="center"/>
          </w:tcPr>
          <w:p w14:paraId="5E8D615C">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Premium dining growth opportunities</w:t>
            </w:r>
          </w:p>
        </w:tc>
      </w:tr>
    </w:tbl>
    <w:p w14:paraId="654673FE">
      <w:pPr>
        <w:rPr>
          <w:rFonts w:cs="Arial"/>
          <w:szCs w:val="24"/>
          <w:lang w:val="en-IN"/>
        </w:rPr>
      </w:pPr>
      <w:r>
        <w:rPr>
          <w:rFonts w:cs="Arial"/>
          <w:szCs w:val="24"/>
          <w:lang w:val="en-IN"/>
        </w:rPr>
        <w:t>Nando's worldwide configuration creates a competitive advantage through several avenues. First, operating on a global scale enables Nando's to exploit its unique brand differentiation strategy. Rather than using price and convenience to compete globally in the fast-food industry (a strategy often used by many global fast-food operators), Nando's creates value through its unique product offering, in-dining customer experience and storytelling culture.</w:t>
      </w:r>
    </w:p>
    <w:p w14:paraId="5ADCBDB3">
      <w:pPr>
        <w:rPr>
          <w:rFonts w:cs="Arial"/>
          <w:szCs w:val="24"/>
          <w:lang w:val="en-IN"/>
        </w:rPr>
      </w:pPr>
      <w:r>
        <w:rPr>
          <w:rFonts w:cs="Arial"/>
          <w:szCs w:val="24"/>
          <w:lang w:val="en-IN"/>
        </w:rPr>
        <w:t>Second, Nando's franchised global expansion strategy makes it well-placed for scalable growth. By entrusting their international business to local operating partners, Nando's benefits from their knowledge of local conditions and tastes while still maintaining consistency with brand standards, overcoming the many entry barriers that face businesses entering foreign markets.</w:t>
      </w:r>
    </w:p>
    <w:p w14:paraId="6166617B">
      <w:pPr>
        <w:rPr>
          <w:rFonts w:cs="Arial"/>
          <w:szCs w:val="24"/>
          <w:lang w:val="en-IN"/>
        </w:rPr>
      </w:pPr>
      <w:r>
        <w:rPr>
          <w:rFonts w:cs="Arial"/>
          <w:szCs w:val="24"/>
          <w:lang w:val="en-IN"/>
        </w:rPr>
        <w:t xml:space="preserve">However, the management of these spatially separated operations can prove challenging. International differences in customer behaviour, workforce expectations, and the regulatory environment all necessitate coordination, and Nando's will have to face up to this challenge with its international expansion to Japan. As </w:t>
      </w:r>
      <w:r>
        <w:rPr>
          <w:rFonts w:cs="Arial"/>
          <w:szCs w:val="24"/>
        </w:rPr>
        <w:t>Ando</w:t>
      </w:r>
      <w:r>
        <w:rPr>
          <w:rFonts w:cs="Arial"/>
          <w:szCs w:val="24"/>
          <w:lang w:val="en-IN"/>
        </w:rPr>
        <w:t>, Suzuki and Nishikawa (2026) note, the ability of multinational enterprises to manage effectively 'depends on having strong local managers with intercultural capabilities. Therefore, when entering the Japanese market, Nando's will require capable local managers who can successfully translate global brand values to the Japanese customer experience.</w:t>
      </w:r>
    </w:p>
    <w:p w14:paraId="2FB68347">
      <w:pPr>
        <w:rPr>
          <w:rFonts w:cs="Arial"/>
          <w:szCs w:val="24"/>
          <w:lang w:val="en-IN"/>
        </w:rPr>
      </w:pPr>
      <w:r>
        <w:rPr>
          <w:rFonts w:cs="Arial"/>
          <w:szCs w:val="24"/>
          <w:lang w:val="en-IN"/>
        </w:rPr>
        <w:t>Furthermore, as Dagsberg and Persson (2025) observe, multinational corporations can’t expect to implement a ‘one size fits all’ model when entering Asian markets; instead, success depends on the business model adapted to local institutional characteristics and consumer preferences. Hence, although Nando’s global consistency will provide them with a competitive advantage, their ability to adapt their offering to the Japanese market will prove crucial to their future success there.</w:t>
      </w:r>
    </w:p>
    <w:p w14:paraId="07D6FB3C">
      <w:pPr>
        <w:pStyle w:val="2"/>
      </w:pPr>
      <w:bookmarkStart w:id="4" w:name="_Toc236910604"/>
      <w:r>
        <w:t>2. Macro-Environmental Appraisal and Market Attractiveness</w:t>
      </w:r>
      <w:bookmarkEnd w:id="4"/>
    </w:p>
    <w:p w14:paraId="5D70E85D">
      <w:pPr>
        <w:pStyle w:val="3"/>
        <w:rPr>
          <w:rFonts w:cs="Arial"/>
        </w:rPr>
      </w:pPr>
      <w:bookmarkStart w:id="5" w:name="_Toc236910605"/>
      <w:r>
        <w:rPr>
          <w:rFonts w:cs="Arial"/>
        </w:rPr>
        <w:t>2.1 Introduction: Japan as a Potential Market for Nando’s Expansion</w:t>
      </w:r>
      <w:bookmarkEnd w:id="5"/>
    </w:p>
    <w:p w14:paraId="4F8F2122">
      <w:pPr>
        <w:rPr>
          <w:rFonts w:cs="Arial"/>
          <w:szCs w:val="24"/>
          <w:lang w:val="en-IN"/>
        </w:rPr>
      </w:pPr>
      <w:r>
        <w:rPr>
          <w:rFonts w:cs="Arial"/>
          <w:szCs w:val="24"/>
          <w:lang w:val="en-IN"/>
        </w:rPr>
        <w:t>For the expansion into an international market, MNCs need to explore whether there is an adequate environment in the potential country to support long-term, sustainable expansion and success. A key target market that presents an opportunity for Nando's to expand into would be Japan because of its significant consumer base, mature food-service industry, substantial purchasing power, and a growing appetite for diverse dining choices from around the world. However, entering the Japanese market demands a thorough evaluation of its external environment, as political institutions, economic circumstances, regulations, and cultural norms may have major impacts on the business performance (Hong, 2025).</w:t>
      </w:r>
    </w:p>
    <w:p w14:paraId="40F6FE07">
      <w:pPr>
        <w:rPr>
          <w:rFonts w:cs="Arial"/>
          <w:szCs w:val="24"/>
          <w:lang w:val="en-IN"/>
        </w:rPr>
      </w:pPr>
      <w:r>
        <w:rPr>
          <w:rFonts w:cs="Arial"/>
          <w:szCs w:val="24"/>
          <w:lang w:val="en-IN"/>
        </w:rPr>
        <w:t>The firm would gain insight into the available market opportunities and potential threats to evaluate and assess the investment, where it would be advisable to conduct a macro-environmental analysis before entering the new markets in the foreign lands. A food and beverages multinational company would be exposed to various externalities such as consumers' demands, market standards, economic conditions and competitive threats that will affect every aspect of operations and business decisions, thus impacting profitability and sustainable competitive advantages (Titilope et al., 2023). Consequently, macro-environmental analysis should be conducted on the external factors of Japan to assess the viability of its PERi-PERi chicken and casual dining concept within the country.</w:t>
      </w:r>
    </w:p>
    <w:p w14:paraId="5E7C22DD">
      <w:pPr>
        <w:rPr>
          <w:rFonts w:cs="Arial"/>
          <w:szCs w:val="24"/>
          <w:lang w:val="en-IN"/>
        </w:rPr>
      </w:pPr>
      <w:r>
        <w:rPr>
          <w:rFonts w:cs="Arial"/>
          <w:szCs w:val="24"/>
          <w:lang w:val="en-IN"/>
        </w:rPr>
        <w:t>The section evaluates the attractiveness of Japan as a possible host country, considering the main factors politically, economically, legally and culturally that might have impacts on the expansion of Nando's. Factors are given considerable weight because Nando's operations follow a transnational strategy that balances global branding with localisation of market segments. The ownership advantages that Nando's has with its original PERi-PERi identity can also be translated to the Japanese market, but its offerings, customer experience, and operational routines would require adaptation to suit Japanese expectations.</w:t>
      </w:r>
    </w:p>
    <w:p w14:paraId="5B526DB2">
      <w:pPr>
        <w:rPr>
          <w:rFonts w:cs="Arial"/>
          <w:szCs w:val="24"/>
          <w:lang w:val="en-IN"/>
        </w:rPr>
      </w:pPr>
      <w:r>
        <w:rPr>
          <w:rFonts w:cs="Arial"/>
          <w:szCs w:val="24"/>
          <w:lang w:val="en-IN"/>
        </w:rPr>
        <w:t>This section continues the analysis of Japan as an international destination by the application of Dunning's Eclectic Paradigm (OLI framework) to a detailed and critical assessment of whether entry into the market is feasible. The framework explores the ownership advantages of Nando's, such as its international experience and brands; the locational advantages, such as the market environment and the institutional framework; and internalisation advantages determining how Nando's can control its international activities (Rahman et al., 2026). This section combines macro-environmental analysis with the OLI framework.</w:t>
      </w:r>
    </w:p>
    <w:p w14:paraId="044737B5">
      <w:pPr>
        <w:pStyle w:val="3"/>
        <w:rPr>
          <w:rFonts w:cs="Arial"/>
        </w:rPr>
      </w:pPr>
      <w:bookmarkStart w:id="6" w:name="_Toc236910606"/>
      <w:r>
        <w:rPr>
          <w:rFonts w:cs="Arial"/>
        </w:rPr>
        <w:t>2.2 Host Country Analysis: Japan’s Macro-Environmental Factors</w:t>
      </w:r>
      <w:bookmarkEnd w:id="6"/>
    </w:p>
    <w:p w14:paraId="3B30DFC3">
      <w:pPr>
        <w:rPr>
          <w:rFonts w:cs="Arial"/>
          <w:szCs w:val="24"/>
          <w:lang w:val="en-IN"/>
        </w:rPr>
      </w:pPr>
      <w:r>
        <w:rPr>
          <w:rFonts w:cs="Arial"/>
          <w:szCs w:val="24"/>
          <w:lang w:val="en-IN"/>
        </w:rPr>
        <w:t>Japan presents an interesting yet complicated market for potential Nando's market penetration; its strong economy, solid institutions, strict regulations, and unique consumer preferences make it a challenging prospect for foreign food and beverage companies (FBC). A macro-environmental analysis is critical for any FBC intending to enter a foreign market as it directly impacts the market viability and operation, taking into consideration the political, economic, legal, and cultural preferences of the target market (Cavusgil et al., 2023). The most pertinent external factors relevant to Nando's venturing into Japan are analysed below:</w:t>
      </w:r>
    </w:p>
    <w:p w14:paraId="5D0520D7">
      <w:pPr>
        <w:rPr>
          <w:rFonts w:cs="Arial"/>
          <w:b/>
          <w:bCs/>
          <w:szCs w:val="24"/>
        </w:rPr>
      </w:pPr>
      <w:r>
        <w:rPr>
          <w:rFonts w:cs="Arial"/>
          <w:b/>
          <w:bCs/>
          <w:szCs w:val="24"/>
        </w:rPr>
        <w:t>Table 2: Macro-Environmental Analysis of Japan for Nando’s Market Entry</w:t>
      </w:r>
    </w:p>
    <w:tbl>
      <w:tblPr>
        <w:tblStyle w:val="12"/>
        <w:tblW w:w="0" w:type="auto"/>
        <w:tblInd w:w="0" w:type="dxa"/>
        <w:shd w:val="clear" w:color="auto" w:fill="D6DCE4" w:themeFill="text2" w:themeFillTint="33"/>
        <w:tblLayout w:type="autofit"/>
        <w:tblCellMar>
          <w:top w:w="0" w:type="dxa"/>
          <w:left w:w="108" w:type="dxa"/>
          <w:bottom w:w="0" w:type="dxa"/>
          <w:right w:w="108" w:type="dxa"/>
        </w:tblCellMar>
      </w:tblPr>
      <w:tblGrid>
        <w:gridCol w:w="1850"/>
        <w:gridCol w:w="3709"/>
        <w:gridCol w:w="3683"/>
      </w:tblGrid>
      <w:tr w14:paraId="55915DBB">
        <w:tblPrEx>
          <w:shd w:val="clear" w:color="auto" w:fill="D6DCE4" w:themeFill="text2" w:themeFillTint="33"/>
          <w:tblCellMar>
            <w:top w:w="0" w:type="dxa"/>
            <w:left w:w="108" w:type="dxa"/>
            <w:bottom w:w="0" w:type="dxa"/>
            <w:right w:w="108" w:type="dxa"/>
          </w:tblCellMar>
        </w:tblPrEx>
        <w:trPr>
          <w:trHeight w:val="1500" w:hRule="atLeast"/>
        </w:trPr>
        <w:tc>
          <w:tcPr>
            <w:tcW w:w="0" w:type="auto"/>
            <w:tcBorders>
              <w:top w:val="single" w:color="auto" w:sz="4" w:space="0"/>
              <w:left w:val="single" w:color="auto" w:sz="4" w:space="0"/>
              <w:bottom w:val="single" w:color="auto" w:sz="4" w:space="0"/>
              <w:right w:val="single" w:color="auto" w:sz="4" w:space="0"/>
            </w:tcBorders>
            <w:shd w:val="clear" w:color="auto" w:fill="D6DCE4" w:themeFill="text2" w:themeFillTint="33"/>
            <w:vAlign w:val="center"/>
          </w:tcPr>
          <w:p w14:paraId="28C9D29D">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Factor</w:t>
            </w:r>
          </w:p>
        </w:tc>
        <w:tc>
          <w:tcPr>
            <w:tcW w:w="0" w:type="auto"/>
            <w:tcBorders>
              <w:top w:val="single" w:color="auto" w:sz="4" w:space="0"/>
              <w:left w:val="nil"/>
              <w:bottom w:val="single" w:color="auto" w:sz="4" w:space="0"/>
              <w:right w:val="single" w:color="auto" w:sz="4" w:space="0"/>
            </w:tcBorders>
            <w:shd w:val="clear" w:color="auto" w:fill="D6DCE4" w:themeFill="text2" w:themeFillTint="33"/>
            <w:vAlign w:val="center"/>
          </w:tcPr>
          <w:p w14:paraId="61A1AA33">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Key Analysis</w:t>
            </w:r>
          </w:p>
        </w:tc>
        <w:tc>
          <w:tcPr>
            <w:tcW w:w="0" w:type="auto"/>
            <w:tcBorders>
              <w:top w:val="single" w:color="auto" w:sz="4" w:space="0"/>
              <w:left w:val="nil"/>
              <w:bottom w:val="single" w:color="auto" w:sz="4" w:space="0"/>
              <w:right w:val="single" w:color="auto" w:sz="4" w:space="0"/>
            </w:tcBorders>
            <w:shd w:val="clear" w:color="auto" w:fill="D6DCE4" w:themeFill="text2" w:themeFillTint="33"/>
            <w:vAlign w:val="center"/>
          </w:tcPr>
          <w:p w14:paraId="120B4637">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Impact on Nando’s Entry Strategy</w:t>
            </w:r>
          </w:p>
        </w:tc>
      </w:tr>
      <w:tr w14:paraId="0217F6CF">
        <w:tblPrEx>
          <w:shd w:val="clear" w:color="auto" w:fill="D6DCE4" w:themeFill="text2" w:themeFillTint="33"/>
          <w:tblCellMar>
            <w:top w:w="0" w:type="dxa"/>
            <w:left w:w="108" w:type="dxa"/>
            <w:bottom w:w="0" w:type="dxa"/>
            <w:right w:w="108" w:type="dxa"/>
          </w:tblCellMar>
        </w:tblPrEx>
        <w:trPr>
          <w:trHeight w:val="109" w:hRule="atLeast"/>
        </w:trPr>
        <w:tc>
          <w:tcPr>
            <w:tcW w:w="0" w:type="auto"/>
            <w:tcBorders>
              <w:top w:val="nil"/>
              <w:left w:val="single" w:color="auto" w:sz="4" w:space="0"/>
              <w:bottom w:val="single" w:color="auto" w:sz="4" w:space="0"/>
              <w:right w:val="single" w:color="auto" w:sz="4" w:space="0"/>
            </w:tcBorders>
            <w:shd w:val="clear" w:color="auto" w:fill="D6DCE4" w:themeFill="text2" w:themeFillTint="33"/>
            <w:vAlign w:val="center"/>
          </w:tcPr>
          <w:p w14:paraId="44C5C026">
            <w:pPr>
              <w:spacing w:after="0"/>
              <w:rPr>
                <w:rFonts w:eastAsia="Times New Roman" w:cs="Arial"/>
                <w:b/>
                <w:bCs/>
                <w:color w:val="000000"/>
                <w:kern w:val="0"/>
                <w:szCs w:val="24"/>
                <w:lang w:val="en-IN" w:eastAsia="en-IN"/>
              </w:rPr>
            </w:pPr>
            <w:r>
              <w:rPr>
                <w:rFonts w:eastAsia="Times New Roman" w:cs="Arial"/>
                <w:b/>
                <w:bCs/>
                <w:color w:val="000000"/>
                <w:kern w:val="0"/>
                <w:szCs w:val="24"/>
                <w:lang w:val="en-IN" w:eastAsia="en-IN"/>
              </w:rPr>
              <w:t>Political Environment</w:t>
            </w:r>
          </w:p>
        </w:tc>
        <w:tc>
          <w:tcPr>
            <w:tcW w:w="0" w:type="auto"/>
            <w:tcBorders>
              <w:top w:val="nil"/>
              <w:left w:val="nil"/>
              <w:bottom w:val="single" w:color="auto" w:sz="4" w:space="0"/>
              <w:right w:val="single" w:color="auto" w:sz="4" w:space="0"/>
            </w:tcBorders>
            <w:shd w:val="clear" w:color="auto" w:fill="D6DCE4" w:themeFill="text2" w:themeFillTint="33"/>
          </w:tcPr>
          <w:p w14:paraId="71695D40">
            <w:pPr>
              <w:spacing w:after="0"/>
              <w:rPr>
                <w:rFonts w:eastAsia="Times New Roman" w:cs="Arial"/>
                <w:color w:val="000000"/>
                <w:kern w:val="0"/>
                <w:szCs w:val="24"/>
                <w:highlight w:val="yellow"/>
                <w:lang w:val="en-IN" w:eastAsia="en-IN"/>
              </w:rPr>
            </w:pPr>
            <w:r>
              <w:t>Japan has one of the most stable political frameworks, good institutions and favourable conditions in terms of foreign direct investment (FDI). Japanese organisations like JETRO promote the international businesses to start operating in Japan by the government. But foreign firms might be confronted by complicated administrative policies and domestic regulatory matters.</w:t>
            </w:r>
          </w:p>
        </w:tc>
        <w:tc>
          <w:tcPr>
            <w:tcW w:w="0" w:type="auto"/>
            <w:tcBorders>
              <w:top w:val="nil"/>
              <w:left w:val="nil"/>
              <w:bottom w:val="single" w:color="auto" w:sz="4" w:space="0"/>
              <w:right w:val="single" w:color="auto" w:sz="4" w:space="0"/>
            </w:tcBorders>
            <w:shd w:val="clear" w:color="auto" w:fill="D6DCE4" w:themeFill="text2" w:themeFillTint="33"/>
          </w:tcPr>
          <w:p w14:paraId="722B4C38">
            <w:pPr>
              <w:spacing w:after="0"/>
              <w:rPr>
                <w:rFonts w:eastAsia="Times New Roman" w:cs="Arial"/>
                <w:color w:val="000000"/>
                <w:kern w:val="0"/>
                <w:szCs w:val="24"/>
                <w:highlight w:val="yellow"/>
                <w:lang w:val="en-IN" w:eastAsia="en-IN"/>
              </w:rPr>
            </w:pPr>
            <w:r>
              <w:t>Political stability lowers risks on investments and promotes sustainable growth. Nevertheless, Nando should look at collaborating through a joint venture or franchisee with one of the Japanese players to break the bureaucracy and access local market information.</w:t>
            </w:r>
          </w:p>
        </w:tc>
      </w:tr>
      <w:tr w14:paraId="1EB95F66">
        <w:tblPrEx>
          <w:shd w:val="clear" w:color="auto" w:fill="D6DCE4" w:themeFill="text2" w:themeFillTint="33"/>
          <w:tblCellMar>
            <w:top w:w="0" w:type="dxa"/>
            <w:left w:w="108" w:type="dxa"/>
            <w:bottom w:w="0" w:type="dxa"/>
            <w:right w:w="108" w:type="dxa"/>
          </w:tblCellMar>
        </w:tblPrEx>
        <w:trPr>
          <w:trHeight w:val="109" w:hRule="atLeast"/>
        </w:trPr>
        <w:tc>
          <w:tcPr>
            <w:tcW w:w="0" w:type="auto"/>
            <w:tcBorders>
              <w:top w:val="nil"/>
              <w:left w:val="single" w:color="auto" w:sz="4" w:space="0"/>
              <w:bottom w:val="single" w:color="auto" w:sz="4" w:space="0"/>
              <w:right w:val="single" w:color="auto" w:sz="4" w:space="0"/>
            </w:tcBorders>
            <w:shd w:val="clear" w:color="auto" w:fill="D6DCE4" w:themeFill="text2" w:themeFillTint="33"/>
            <w:vAlign w:val="center"/>
          </w:tcPr>
          <w:p w14:paraId="6C641D6B">
            <w:pPr>
              <w:spacing w:after="0"/>
              <w:rPr>
                <w:rFonts w:eastAsia="Times New Roman" w:cs="Arial"/>
                <w:b/>
                <w:bCs/>
                <w:color w:val="000000"/>
                <w:kern w:val="0"/>
                <w:szCs w:val="24"/>
                <w:lang w:val="en-IN" w:eastAsia="en-IN"/>
              </w:rPr>
            </w:pPr>
            <w:r>
              <w:rPr>
                <w:rFonts w:eastAsia="Times New Roman" w:cs="Arial"/>
                <w:b/>
                <w:bCs/>
                <w:color w:val="000000"/>
                <w:kern w:val="0"/>
                <w:szCs w:val="24"/>
                <w:lang w:val="en-IN" w:eastAsia="en-IN"/>
              </w:rPr>
              <w:t>Economic Environment</w:t>
            </w:r>
          </w:p>
        </w:tc>
        <w:tc>
          <w:tcPr>
            <w:tcW w:w="0" w:type="auto"/>
            <w:tcBorders>
              <w:top w:val="nil"/>
              <w:left w:val="nil"/>
              <w:bottom w:val="single" w:color="auto" w:sz="4" w:space="0"/>
              <w:right w:val="single" w:color="auto" w:sz="4" w:space="0"/>
            </w:tcBorders>
            <w:shd w:val="clear" w:color="auto" w:fill="D6DCE4" w:themeFill="text2" w:themeFillTint="33"/>
          </w:tcPr>
          <w:p w14:paraId="57C970E2">
            <w:pPr>
              <w:spacing w:after="0"/>
              <w:rPr>
                <w:rFonts w:eastAsia="Times New Roman" w:cs="Arial"/>
                <w:color w:val="000000"/>
                <w:kern w:val="0"/>
                <w:szCs w:val="24"/>
                <w:highlight w:val="yellow"/>
                <w:lang w:val="en-IN" w:eastAsia="en-IN"/>
              </w:rPr>
            </w:pPr>
            <w:r>
              <w:t>Japan has been rated to be amongst the largest consumer economies in the world, aiding in the great use of high-income consumers, great infrastructure and excellent urban markets like Tokyo, Osaka and Yokohama. Premium casual dining demand and international cuisines have risen among the younger customers. Operational difficulties are however posed by inflation, expensive prices of property, and labour unavailability.</w:t>
            </w:r>
          </w:p>
        </w:tc>
        <w:tc>
          <w:tcPr>
            <w:tcW w:w="0" w:type="auto"/>
            <w:tcBorders>
              <w:top w:val="nil"/>
              <w:left w:val="nil"/>
              <w:bottom w:val="single" w:color="auto" w:sz="4" w:space="0"/>
              <w:right w:val="single" w:color="auto" w:sz="4" w:space="0"/>
            </w:tcBorders>
            <w:shd w:val="clear" w:color="auto" w:fill="D6DCE4" w:themeFill="text2" w:themeFillTint="33"/>
          </w:tcPr>
          <w:p w14:paraId="65FC64F1">
            <w:pPr>
              <w:spacing w:after="0"/>
              <w:rPr>
                <w:rFonts w:eastAsia="Times New Roman" w:cs="Arial"/>
                <w:color w:val="000000"/>
                <w:kern w:val="0"/>
                <w:szCs w:val="24"/>
                <w:highlight w:val="yellow"/>
                <w:lang w:val="en-IN" w:eastAsia="en-IN"/>
              </w:rPr>
            </w:pPr>
            <w:r>
              <w:t>Japan offers prospects to the Nando premium PERi-PERi dining concept since consumers have the ability to pay the premium differentiated food experiences. However, it is also important that the company pays a keen attention to pricing, choice of location, and labour cost to be able to stay profitable.</w:t>
            </w:r>
          </w:p>
        </w:tc>
      </w:tr>
      <w:tr w14:paraId="2B30B6F0">
        <w:tblPrEx>
          <w:shd w:val="clear" w:color="auto" w:fill="D6DCE4" w:themeFill="text2" w:themeFillTint="33"/>
          <w:tblCellMar>
            <w:top w:w="0" w:type="dxa"/>
            <w:left w:w="108" w:type="dxa"/>
            <w:bottom w:w="0" w:type="dxa"/>
            <w:right w:w="108" w:type="dxa"/>
          </w:tblCellMar>
        </w:tblPrEx>
        <w:trPr>
          <w:trHeight w:val="109" w:hRule="atLeast"/>
        </w:trPr>
        <w:tc>
          <w:tcPr>
            <w:tcW w:w="0" w:type="auto"/>
            <w:tcBorders>
              <w:top w:val="nil"/>
              <w:left w:val="single" w:color="auto" w:sz="4" w:space="0"/>
              <w:bottom w:val="single" w:color="auto" w:sz="4" w:space="0"/>
              <w:right w:val="single" w:color="auto" w:sz="4" w:space="0"/>
            </w:tcBorders>
            <w:shd w:val="clear" w:color="auto" w:fill="D6DCE4" w:themeFill="text2" w:themeFillTint="33"/>
            <w:vAlign w:val="center"/>
          </w:tcPr>
          <w:p w14:paraId="488D8A78">
            <w:pPr>
              <w:spacing w:after="0"/>
              <w:rPr>
                <w:rFonts w:eastAsia="Times New Roman" w:cs="Arial"/>
                <w:b/>
                <w:bCs/>
                <w:color w:val="000000"/>
                <w:kern w:val="0"/>
                <w:szCs w:val="24"/>
                <w:lang w:val="en-IN" w:eastAsia="en-IN"/>
              </w:rPr>
            </w:pPr>
            <w:r>
              <w:rPr>
                <w:rFonts w:eastAsia="Times New Roman" w:cs="Arial"/>
                <w:b/>
                <w:bCs/>
                <w:color w:val="000000"/>
                <w:kern w:val="0"/>
                <w:szCs w:val="24"/>
                <w:lang w:val="en-IN" w:eastAsia="en-IN"/>
              </w:rPr>
              <w:t>Legal and Regulatory Environment</w:t>
            </w:r>
          </w:p>
        </w:tc>
        <w:tc>
          <w:tcPr>
            <w:tcW w:w="0" w:type="auto"/>
            <w:tcBorders>
              <w:top w:val="nil"/>
              <w:left w:val="nil"/>
              <w:bottom w:val="single" w:color="auto" w:sz="4" w:space="0"/>
              <w:right w:val="single" w:color="auto" w:sz="4" w:space="0"/>
            </w:tcBorders>
            <w:shd w:val="clear" w:color="auto" w:fill="D6DCE4" w:themeFill="text2" w:themeFillTint="33"/>
          </w:tcPr>
          <w:p w14:paraId="79060331">
            <w:pPr>
              <w:spacing w:after="0"/>
              <w:rPr>
                <w:rFonts w:eastAsia="Times New Roman" w:cs="Arial"/>
                <w:color w:val="000000"/>
                <w:kern w:val="0"/>
                <w:szCs w:val="24"/>
                <w:highlight w:val="yellow"/>
                <w:lang w:val="en-IN" w:eastAsia="en-IN"/>
              </w:rPr>
            </w:pPr>
            <w:r>
              <w:t>Japanese have got stringent food safety laws, employment laws and importations. Restaurants have to adhere to the requirements of hygiene, traceability of ingredients, licensing and protection of labour. Well established intellectual property protection favours entry of foreign brands.</w:t>
            </w:r>
          </w:p>
        </w:tc>
        <w:tc>
          <w:tcPr>
            <w:tcW w:w="0" w:type="auto"/>
            <w:tcBorders>
              <w:top w:val="nil"/>
              <w:left w:val="nil"/>
              <w:bottom w:val="single" w:color="auto" w:sz="4" w:space="0"/>
              <w:right w:val="single" w:color="auto" w:sz="4" w:space="0"/>
            </w:tcBorders>
            <w:shd w:val="clear" w:color="auto" w:fill="D6DCE4" w:themeFill="text2" w:themeFillTint="33"/>
          </w:tcPr>
          <w:p w14:paraId="76B57AB0">
            <w:pPr>
              <w:spacing w:after="0"/>
              <w:rPr>
                <w:rFonts w:eastAsia="Times New Roman" w:cs="Arial"/>
                <w:color w:val="000000"/>
                <w:kern w:val="0"/>
                <w:szCs w:val="24"/>
                <w:highlight w:val="yellow"/>
                <w:lang w:val="en-IN" w:eastAsia="en-IN"/>
              </w:rPr>
            </w:pPr>
            <w:r>
              <w:t>Nando will have to assure complete Japanese food regulations adherence and might have to build local supplier relationships. The collaboration with Japanese partners may deliver the regulatory complexity and ensure the efficiency of operation.</w:t>
            </w:r>
          </w:p>
        </w:tc>
      </w:tr>
      <w:tr w14:paraId="5CC461E8">
        <w:tblPrEx>
          <w:shd w:val="clear" w:color="auto" w:fill="D6DCE4" w:themeFill="text2" w:themeFillTint="33"/>
          <w:tblCellMar>
            <w:top w:w="0" w:type="dxa"/>
            <w:left w:w="108" w:type="dxa"/>
            <w:bottom w:w="0" w:type="dxa"/>
            <w:right w:w="108" w:type="dxa"/>
          </w:tblCellMar>
        </w:tblPrEx>
        <w:trPr>
          <w:trHeight w:val="416" w:hRule="atLeast"/>
        </w:trPr>
        <w:tc>
          <w:tcPr>
            <w:tcW w:w="0" w:type="auto"/>
            <w:tcBorders>
              <w:top w:val="nil"/>
              <w:left w:val="single" w:color="auto" w:sz="4" w:space="0"/>
              <w:bottom w:val="single" w:color="auto" w:sz="4" w:space="0"/>
              <w:right w:val="single" w:color="auto" w:sz="4" w:space="0"/>
            </w:tcBorders>
            <w:shd w:val="clear" w:color="auto" w:fill="D6DCE4" w:themeFill="text2" w:themeFillTint="33"/>
            <w:vAlign w:val="center"/>
          </w:tcPr>
          <w:p w14:paraId="06E6D88D">
            <w:pPr>
              <w:spacing w:after="0"/>
              <w:rPr>
                <w:rFonts w:eastAsia="Times New Roman" w:cs="Arial"/>
                <w:b/>
                <w:bCs/>
                <w:color w:val="000000"/>
                <w:kern w:val="0"/>
                <w:szCs w:val="24"/>
                <w:lang w:val="en-IN" w:eastAsia="en-IN"/>
              </w:rPr>
            </w:pPr>
            <w:r>
              <w:rPr>
                <w:rFonts w:eastAsia="Times New Roman" w:cs="Arial"/>
                <w:b/>
                <w:bCs/>
                <w:color w:val="000000"/>
                <w:kern w:val="0"/>
                <w:szCs w:val="24"/>
                <w:lang w:val="en-IN" w:eastAsia="en-IN"/>
              </w:rPr>
              <w:t>Cultural Environment</w:t>
            </w:r>
          </w:p>
        </w:tc>
        <w:tc>
          <w:tcPr>
            <w:tcW w:w="0" w:type="auto"/>
            <w:tcBorders>
              <w:top w:val="nil"/>
              <w:left w:val="nil"/>
              <w:bottom w:val="single" w:color="auto" w:sz="4" w:space="0"/>
              <w:right w:val="single" w:color="auto" w:sz="4" w:space="0"/>
            </w:tcBorders>
            <w:shd w:val="clear" w:color="auto" w:fill="D6DCE4" w:themeFill="text2" w:themeFillTint="33"/>
          </w:tcPr>
          <w:p w14:paraId="610E5803">
            <w:pPr>
              <w:spacing w:after="0"/>
              <w:rPr>
                <w:rFonts w:eastAsia="Times New Roman" w:cs="Arial"/>
                <w:color w:val="000000"/>
                <w:kern w:val="0"/>
                <w:szCs w:val="24"/>
                <w:highlight w:val="yellow"/>
                <w:lang w:val="en-IN" w:eastAsia="en-IN"/>
              </w:rPr>
            </w:pPr>
            <w:r>
              <w:t>Japanese customers highly appreciate the quality of food, hygiene, presentation and outstanding customer service. Though it has become commonplace to consume international cuischeines, the spicy flavours and the concept of PERi-PERi as preached by Nando might be strange to consumers. Adaptation to different cultures is hence necessary (Dagsberg and Persson, 2025).</w:t>
            </w:r>
          </w:p>
        </w:tc>
        <w:tc>
          <w:tcPr>
            <w:tcW w:w="0" w:type="auto"/>
            <w:tcBorders>
              <w:top w:val="nil"/>
              <w:left w:val="nil"/>
              <w:bottom w:val="single" w:color="auto" w:sz="4" w:space="0"/>
              <w:right w:val="single" w:color="auto" w:sz="4" w:space="0"/>
            </w:tcBorders>
            <w:shd w:val="clear" w:color="auto" w:fill="D6DCE4" w:themeFill="text2" w:themeFillTint="33"/>
          </w:tcPr>
          <w:p w14:paraId="7E534D2B">
            <w:pPr>
              <w:spacing w:after="0"/>
              <w:rPr>
                <w:rFonts w:eastAsia="Times New Roman" w:cs="Arial"/>
                <w:color w:val="000000"/>
                <w:kern w:val="0"/>
                <w:szCs w:val="24"/>
                <w:highlight w:val="yellow"/>
                <w:lang w:val="en-IN" w:eastAsia="en-IN"/>
              </w:rPr>
            </w:pPr>
            <w:r>
              <w:t>The localisation of the Nando menu should be achieved through the introduction of various spice levels and Japanese influenced menu whilst retaining the global brand. The training of employees will also be necessary in order to satisfy Japanese service expectations.</w:t>
            </w:r>
          </w:p>
        </w:tc>
      </w:tr>
    </w:tbl>
    <w:p w14:paraId="74ECE1B6">
      <w:pPr>
        <w:pStyle w:val="3"/>
        <w:rPr>
          <w:rFonts w:cs="Arial"/>
        </w:rPr>
      </w:pPr>
      <w:bookmarkStart w:id="7" w:name="_Toc236910607"/>
      <w:r>
        <w:rPr>
          <w:rFonts w:cs="Arial"/>
        </w:rPr>
        <w:t>2.3 Market Attractiveness Analysis for Nando’s Entry into Japan</w:t>
      </w:r>
      <w:bookmarkEnd w:id="7"/>
    </w:p>
    <w:p w14:paraId="3E9BFA8E">
      <w:pPr>
        <w:pStyle w:val="4"/>
        <w:rPr>
          <w:rFonts w:ascii="Arial" w:hAnsi="Arial" w:cs="Arial"/>
          <w:lang w:val="en-IN"/>
        </w:rPr>
      </w:pPr>
      <w:bookmarkStart w:id="8" w:name="_Toc236910608"/>
      <w:r>
        <w:rPr>
          <w:rFonts w:ascii="Arial" w:hAnsi="Arial" w:cs="Arial"/>
          <w:lang w:val="en-IN"/>
        </w:rPr>
        <w:t>2.3.1 Demand Potential and Consumer Market Opportunity</w:t>
      </w:r>
      <w:bookmarkEnd w:id="8"/>
      <w:r>
        <w:rPr>
          <w:rFonts w:ascii="Arial" w:hAnsi="Arial" w:cs="Arial"/>
          <w:lang w:val="en-IN"/>
        </w:rPr>
        <w:t xml:space="preserve"> </w:t>
      </w:r>
    </w:p>
    <w:p w14:paraId="00E7E1BF">
      <w:pPr>
        <w:rPr>
          <w:rFonts w:cs="Arial"/>
          <w:szCs w:val="24"/>
          <w:lang w:val="en-IN"/>
        </w:rPr>
      </w:pPr>
      <w:r>
        <w:rPr>
          <w:rFonts w:cs="Arial"/>
          <w:szCs w:val="24"/>
          <w:lang w:val="en-IN"/>
        </w:rPr>
        <w:t xml:space="preserve">Japan is an incredibly attractive market for Nando's to enter because the country boasts a huge and discerning food service industry, significant consumer purchasing power, and growing demand for foreign-cuisine dining experiences. The Japanese restaurant industry is one of the largest in the world and relies on the prevalence of an established dining out culture in the country. According to the Japan Foodservice Association (2024), recent positive trends in post-COVID-19-related restaurant performance have been attributed to increased domestic consumption, a boost in inbound tourism, and evolving consumer lifestyles, all contributing to favourable conditions for long-term casual dining entry. </w:t>
      </w:r>
    </w:p>
    <w:p w14:paraId="5ACC0CCA">
      <w:pPr>
        <w:rPr>
          <w:rFonts w:cs="Arial"/>
          <w:szCs w:val="24"/>
          <w:lang w:val="en-IN"/>
        </w:rPr>
      </w:pPr>
      <w:r>
        <w:rPr>
          <w:rFonts w:cs="Arial"/>
          <w:szCs w:val="24"/>
          <w:lang w:val="en-IN"/>
        </w:rPr>
        <w:t xml:space="preserve">An important opportunity for Nando's is the increase in popularity among Japanese consumers, particularly among younger demographics, for exotic cuisines and distinct eating experiences. Japanese customers in contemporary times increasingly desire restaurants that not only serve delicious food but also offer additional elements such as entertainment, ambiance, brand narrative, and social connection. This trend offers Nando's an opportunity to differentiate itself by establishing itself as a casual dining chain offering not only the unique PERi-PERi flavour profiles but also a dining experience with energy and an appealing brand identity. As suggested by Kim and Lee (2023), young customers in a modern, developed Asian nation are now inclined to prioritise experiential purchasing over product-driven consumption. The best entry points into Japan for Nando's are the metropolitan areas, where, with large young-adult demographics, cosmopolitan residents and those with exposure to international culinary traditions are clustered. These will serve as initial test markets, with the view to future nationwide expansion. Tokyo will likely be the ideal starting point due to its sheer volume of consumers, heavy restaurant spending, and global culinary status. The Japanese customer base can be broken into three groups: young adults who have a tendency to experiment with international food; the Japanese family segment, who tend to have a preference for reliable, high-quality, conveniently available restaurant outlets; and global foodie enthusiasts, including expats, who will likely provide early adoption and trial opportunities. It must be stressed, however, that a compelling market opportunity does not in itself guarantee successful market entry. </w:t>
      </w:r>
    </w:p>
    <w:p w14:paraId="61138842">
      <w:pPr>
        <w:rPr>
          <w:rFonts w:cs="Arial"/>
          <w:szCs w:val="24"/>
          <w:lang w:val="en-IN"/>
        </w:rPr>
      </w:pPr>
      <w:r>
        <w:rPr>
          <w:rFonts w:cs="Arial"/>
          <w:szCs w:val="24"/>
          <w:lang w:val="en-IN"/>
        </w:rPr>
        <w:t xml:space="preserve">Nando's is an unestablished brand in Japan and will, by and large, start at a disadvantage in brand awareness compared to other international casual diners already operating in the country. Nando's would need to invest significant resources in marketing, particularly in social and influencer-based promotions, to build brand awareness for its PERi-PERi concept. </w:t>
      </w:r>
    </w:p>
    <w:p w14:paraId="455F4057">
      <w:pPr>
        <w:pStyle w:val="4"/>
        <w:rPr>
          <w:rFonts w:ascii="Arial" w:hAnsi="Arial" w:cs="Arial"/>
          <w:lang w:val="en-IN"/>
        </w:rPr>
      </w:pPr>
      <w:bookmarkStart w:id="9" w:name="_Toc236910609"/>
      <w:r>
        <w:rPr>
          <w:rFonts w:ascii="Arial" w:hAnsi="Arial" w:cs="Arial"/>
          <w:lang w:val="en-IN"/>
        </w:rPr>
        <w:t>2.3.2 Competitive Landscape and Industry Conditions</w:t>
      </w:r>
      <w:bookmarkEnd w:id="9"/>
      <w:r>
        <w:rPr>
          <w:rFonts w:ascii="Arial" w:hAnsi="Arial" w:cs="Arial"/>
          <w:lang w:val="en-IN"/>
        </w:rPr>
        <w:t xml:space="preserve"> </w:t>
      </w:r>
    </w:p>
    <w:p w14:paraId="723426D0">
      <w:r>
        <w:t xml:space="preserve">Japanese restaurant industry is perhaps one of the most competitive industries in the international sphere; a combination of local Japanese brands and international restaurant corporations are fighting to take their portion of the market. Nando would be joining an already established restaurant industry that provides a variety of restaurant outlets with a chicken theme. Established brand recognition, large distribution networks and customer base are items that international brands like KFC Japan and McDonalds Japan have. These already established brands are a source of challenges in entry into the market because new foreign chains would have to incur a lot of cash to have a footing and be accepted by the consumers. The domestic restaurants in Japan are also very strong. Since local operators have a good idea of what consumers need and expect in terms of service and tastes in every region, an international company should distinguish itself in other ways than the availability of international food. The food-service market in Japan is characterized by a high customer reliability, quality, and customer service, and new market entrants need to create a clear value. As Dagsberg and Persson (2025) observes, entering Asian markets, MNCs will not be able to use the standard solutions existing on developed markets, but rather have to adapt and customise their offerings in order to enter the market and achieve its development. The most valuable potential competitive advantages of Nando lie in its unique brand positioning based on a unique concept of flame-grilled chicken PERi-PERi. This makes it unique among the less special chicken substitutes such as KFC. </w:t>
      </w:r>
      <w:r>
        <w:rPr>
          <w:rFonts w:cs="Arial"/>
          <w:szCs w:val="24"/>
          <w:lang w:val="en-IN"/>
        </w:rPr>
        <w:t>Whereas many brands may rely on familiarity and convenience, Nando's could successfully differentiate itself by offering a superior casual dining experience with an ethnic twist derived from its Portuguese-African roots. Using Porter's five forces to assess the Japanese casual dining sector shows that competitive rivalry amongst both existing domestic and international competitors is intense. Customer buyer power is high as customers are spoiled for choice when dining out, and they possess clear expectations on quality and customer service. Supplier power exists given strict food quality and regulations that may impose some costs and complexities upon its supply chain. Although the threat of new entrants may be less of a concern due to the high investment needed for store fit-outs and brand establishment, substitutes such as food retail stores, traditional Japanese restaurants and take-away food businesses are abundant and pose additional challenges. All in all, Japan may be an appealing market for Nando's, but it comes with substantial challenges. The restaurant has an excellent and unique product offer, which should assist Nando's in gaining some share of the market, but effective marketing and product localisation will be essential. As stressed by Cavusgil, Knight and Riesenberger (2023), global businesses can attain a sustainable advantage in foreign markets by having specific internal resources and capabilities combined with a deep comprehension of external environmental forces in the host country.</w:t>
      </w:r>
    </w:p>
    <w:p w14:paraId="55C1F844">
      <w:pPr>
        <w:pStyle w:val="3"/>
        <w:rPr>
          <w:rFonts w:cs="Arial"/>
        </w:rPr>
      </w:pPr>
      <w:bookmarkStart w:id="10" w:name="_Toc236910610"/>
      <w:r>
        <w:rPr>
          <w:rFonts w:cs="Arial"/>
        </w:rPr>
        <w:t>2.4 Application of Dunning’s Eclectic Paradigm (OLI Framework)</w:t>
      </w:r>
      <w:bookmarkEnd w:id="10"/>
    </w:p>
    <w:p w14:paraId="0D5E288A">
      <w:pPr>
        <w:pStyle w:val="4"/>
        <w:rPr>
          <w:rFonts w:ascii="Arial" w:hAnsi="Arial" w:cs="Arial"/>
          <w:lang w:val="en-IN"/>
        </w:rPr>
      </w:pPr>
      <w:bookmarkStart w:id="11" w:name="_Toc236910611"/>
      <w:r>
        <w:rPr>
          <w:rFonts w:ascii="Arial" w:hAnsi="Arial" w:cs="Arial"/>
          <w:lang w:val="en-IN"/>
        </w:rPr>
        <w:t>2.4.1 Ownership Advantages</w:t>
      </w:r>
      <w:bookmarkEnd w:id="11"/>
      <w:r>
        <w:rPr>
          <w:rFonts w:ascii="Arial" w:hAnsi="Arial" w:cs="Arial"/>
          <w:lang w:val="en-IN"/>
        </w:rPr>
        <w:t xml:space="preserve"> </w:t>
      </w:r>
    </w:p>
    <w:p w14:paraId="06191FBA">
      <w:r>
        <w:t xml:space="preserve">Nando has a number of ownership strengths that can aid in its effective penetration into Japan. These strengths are that its reputation as a global brand, its original concept of PERi-PERi chicken, and the long experience of running international chains of restaurants. In contrast to its competitors, who do not primarily rely on convenience and low prices as their key weapons of competitive nature, Nando differentiates its services through the specific flavor of the product, the experience in its restaurants, and brand narrative. These constitute intangible assets that Nando has as a source of competitive advantage. Moreover, the fact it has experience in a franchise business model can provide it with insights into international operation through local partnerships, which is critical because Japan can only be entered by negotiating between local consumer preferences and regulations. Further, the fact that Nando focuses on sustainable sourcing and other ethical activities may be a positive constituent of the Japanese market focused on the environment. There are restrictions to the benefits of Nando being an owner, however. However, its global appeal does not translate into great brand recognition in Japan, yet, compared to its relatively stronger competitors, such as KFC and McDonald’s. Therefore, it will be necessary to allocate significant funds to marketing and PR activities to make Japanese consumers aware of the flavours of PERi-PERi and create a trustworthy brand image in the new market (Cavusgil, Knight and Riesenberger, 2023). </w:t>
      </w:r>
    </w:p>
    <w:p w14:paraId="46F46243">
      <w:pPr>
        <w:jc w:val="center"/>
        <w:rPr>
          <w:rFonts w:cs="Arial"/>
          <w:szCs w:val="24"/>
          <w:lang w:val="en-IN"/>
        </w:rPr>
      </w:pPr>
      <w:r>
        <w:rPr>
          <w:rFonts w:cs="Arial"/>
        </w:rPr>
        <w:drawing>
          <wp:inline distT="0" distB="0" distL="0" distR="0">
            <wp:extent cx="5731510" cy="2509520"/>
            <wp:effectExtent l="0" t="0" r="2540" b="5080"/>
            <wp:docPr id="103297350" name="Picture 1"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7350" name="Picture 1" descr="Eclectic Paradigm - Definition, Advantages, Exampl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5731510" cy="2509520"/>
                    </a:xfrm>
                    <a:prstGeom prst="rect">
                      <a:avLst/>
                    </a:prstGeom>
                    <a:noFill/>
                    <a:ln>
                      <a:noFill/>
                    </a:ln>
                  </pic:spPr>
                </pic:pic>
              </a:graphicData>
            </a:graphic>
          </wp:inline>
        </w:drawing>
      </w:r>
    </w:p>
    <w:p w14:paraId="286A909D">
      <w:pPr>
        <w:jc w:val="center"/>
        <w:rPr>
          <w:rFonts w:cs="Arial"/>
          <w:b/>
          <w:bCs/>
          <w:szCs w:val="24"/>
          <w:lang w:val="en-IN"/>
        </w:rPr>
      </w:pPr>
      <w:r>
        <w:rPr>
          <w:rFonts w:cs="Arial"/>
          <w:b/>
          <w:bCs/>
          <w:szCs w:val="24"/>
          <w:lang w:val="en-IN"/>
        </w:rPr>
        <w:t>Figure 2:</w:t>
      </w:r>
      <w:r>
        <w:rPr>
          <w:rFonts w:cs="Arial"/>
          <w:b/>
          <w:bCs/>
          <w:szCs w:val="24"/>
        </w:rPr>
        <w:t xml:space="preserve"> Eclectic Paradigm (OLI Framework)</w:t>
      </w:r>
    </w:p>
    <w:p w14:paraId="1B3A9C92">
      <w:pPr>
        <w:jc w:val="center"/>
        <w:rPr>
          <w:rFonts w:cs="Arial"/>
          <w:szCs w:val="24"/>
          <w:lang w:val="en-IN"/>
        </w:rPr>
      </w:pPr>
      <w:r>
        <w:rPr>
          <w:rFonts w:cs="Arial"/>
          <w:szCs w:val="24"/>
          <w:lang w:val="en-IN"/>
        </w:rPr>
        <w:t>(Source: Cavusgil, Knight and Riesenberger, 2023)</w:t>
      </w:r>
    </w:p>
    <w:p w14:paraId="32955618">
      <w:pPr>
        <w:pStyle w:val="4"/>
        <w:rPr>
          <w:rFonts w:ascii="Arial" w:hAnsi="Arial" w:cs="Arial"/>
          <w:lang w:val="en-IN"/>
        </w:rPr>
      </w:pPr>
      <w:bookmarkStart w:id="12" w:name="_Toc236910612"/>
      <w:r>
        <w:rPr>
          <w:rFonts w:ascii="Arial" w:hAnsi="Arial" w:cs="Arial"/>
          <w:lang w:val="en-IN"/>
        </w:rPr>
        <w:t>2.4.2 Location Advantages</w:t>
      </w:r>
      <w:bookmarkEnd w:id="12"/>
    </w:p>
    <w:p w14:paraId="5C247B1C">
      <w:r>
        <w:t xml:space="preserve">There are major location benefits of Japan to the expansion of Nando. First, Japan has huge and prosperous customers, an aged dining-out tradition, strong online infrastructure, and embraces foreign food brands. Specifically, the large cities such as Tokyo and Osaka are more concentrated with consumers who are more accustomed to taste a variety of foreign flavours and possess higher disposable income. Secondly, Japan has strategic location in the Asian market which offers Nando the opportunity to enhance its presence in the region and may eventually extend to the neighbouring markets. However, Nando must ensure that it does not have disadvantages on its location. Expensive rates of renting, labour shortage, strict rules of food safety, and cultural barriers might pose some obstacles to the implementation of operations. An effective international expansion, as Hennart (2022) claims, is achieved when a firm aligns market opportunities with the host country institutions. Thus, Nando has a good potential in the market in Japan but should adjust its operating model to the particular environment. </w:t>
      </w:r>
    </w:p>
    <w:p w14:paraId="0358C908">
      <w:pPr>
        <w:pStyle w:val="4"/>
        <w:rPr>
          <w:rFonts w:ascii="Arial" w:hAnsi="Arial" w:cs="Arial"/>
          <w:lang w:val="en-IN"/>
        </w:rPr>
      </w:pPr>
      <w:bookmarkStart w:id="13" w:name="_Toc236910613"/>
      <w:r>
        <w:rPr>
          <w:rFonts w:ascii="Arial" w:hAnsi="Arial" w:cs="Arial"/>
          <w:lang w:val="en-IN"/>
        </w:rPr>
        <w:t>2.4.3 Internalisation Advantages</w:t>
      </w:r>
      <w:bookmarkEnd w:id="13"/>
      <w:r>
        <w:rPr>
          <w:rFonts w:ascii="Arial" w:hAnsi="Arial" w:cs="Arial"/>
          <w:lang w:val="en-IN"/>
        </w:rPr>
        <w:t xml:space="preserve"> </w:t>
      </w:r>
    </w:p>
    <w:p w14:paraId="0103EB9F">
      <w:r>
        <w:t>The benefits of internalisation relate to the way Nando should manage its Japanese business. This would be guaranteed by full internal control, which would lead to the uniformity across its brand standards, recipes, service quality and customer experience. Nonetheless, the cost of this strategy is quite high, and it puts the company on more market risks. The internalisation advantages of using franchising or a joint venture format is that it will incorporate international expertise of Nando and the local market expertise of its partners. Such partners may offer the knowledge of how to go through Japanese regulations, develop supply chains, and consumer behaviour. Paul and Feliciano-Cestero (2022) observe that a combination of internal and local resources results in greater success of a firm in an international market. Hence, joint venture ownership and controlled franchising appear to be a hybrid entry mode that would best suit Nando in order to compromise between wish to control its brand and the value of adaptation to the local markets.</w:t>
      </w:r>
    </w:p>
    <w:p w14:paraId="209560BD">
      <w:pPr>
        <w:pStyle w:val="3"/>
        <w:rPr>
          <w:rFonts w:cs="Arial"/>
        </w:rPr>
      </w:pPr>
      <w:bookmarkStart w:id="14" w:name="_Toc236910614"/>
      <w:r>
        <w:rPr>
          <w:rFonts w:cs="Arial"/>
        </w:rPr>
        <w:t>2.5 Strategic Implications of Macro-Environmental Findings</w:t>
      </w:r>
      <w:bookmarkEnd w:id="14"/>
    </w:p>
    <w:p w14:paraId="1DACE444">
      <w:r>
        <w:t xml:space="preserve">The Macro-environment analysis shows that Japan is not only attractive, but also very strong in the international business opportunities. It has long-term business opportunities due to its political stability and a welcoming attitude towards foreign investment. The economic context will favour a market entry choice in so far as Japan possesses high-income clientele groups, vibrant urban areas and an expanding need to experience high-end leisure eating. On the other hand, legal and environmental restrictions are a daunting operational challenge. </w:t>
      </w:r>
      <w:r>
        <w:rPr>
          <w:rFonts w:cs="Arial"/>
          <w:szCs w:val="24"/>
          <w:lang w:val="en-IN"/>
        </w:rPr>
        <w:t>Stringent food safety requirements, labour conditions and import barriers mean Nando's will need to have efficient compliance structures and robust supplier networks. The country's unique social and cultural attributes mean considerable attention will be paid to adapting for the discerning Japanese palate, which has high standards concerning quality, presentation, service and menus. The OLI framework suggests that Nando's has considerable ownership advantages: a recognised brand, the distinctiveness of its PERi-PERi flavour and significant international exposure; Japan is appealing in its own right, both in terms of market size and consumers' buying power; its geographic importance in regional terms can also not be overstated, however, a decision on how much international exposure, i.e. How to internalise is needed – a highly centralised decision-making process can be costly while a heavily decentralised structure can result in brand erosion. Hence, an internationalisation approach involving a blend of leveraging Nando's brand worldwide while at the same time responding to the local requirements in Japan could be optimal. As noted by Meyer et al. (2022), the sustained internationalisation of multinational corporations can be achieved through matching firm-specific resources with the institutional context in host countries.</w:t>
      </w:r>
    </w:p>
    <w:p w14:paraId="0CBDD002">
      <w:pPr>
        <w:pStyle w:val="3"/>
        <w:rPr>
          <w:rFonts w:cs="Arial"/>
        </w:rPr>
      </w:pPr>
      <w:bookmarkStart w:id="15" w:name="_Toc236910615"/>
      <w:r>
        <w:rPr>
          <w:rFonts w:cs="Arial"/>
        </w:rPr>
        <w:t>2.6 Market Entry Feasibility of Nando’s in Japan</w:t>
      </w:r>
      <w:bookmarkEnd w:id="15"/>
    </w:p>
    <w:p w14:paraId="68E1A541">
      <w:pPr>
        <w:rPr>
          <w:rFonts w:cs="Arial"/>
          <w:szCs w:val="24"/>
          <w:lang w:val="en-IN"/>
        </w:rPr>
      </w:pPr>
      <w:r>
        <w:rPr>
          <w:rFonts w:cs="Arial"/>
          <w:szCs w:val="24"/>
          <w:lang w:val="en-IN"/>
        </w:rPr>
        <w:t>This analysis suggests that Japan provides great opportunities for Nando's to expand internationally on the back of its strong economy, sophisticated consumer base, stable political climate and increased demand for foreign dining. These factors open up scope for Nando's to bring its distinct PERi-PERi concept to Japan and bolster its presence in Asia. That said, numerous barriers remain that Nando's must confront; these include the relatively low brand visibility, severe competitive landscape, expensive operating costs, challenging regulatory requirements and culturally disparate operating environments. Such a scenario would imply that Nando's cannot simply reapply its existing business model in Japan and that menu adaptations, marketing strategies and operational aspects would be needed to ensure a successful entry into this market. The OLI analysis suggests that while Nando's has strong ownership advantages and Japan possesses attractive location advantages, internalisation choices will make or break Nando's long-term viability in Japan. Thus, it should adopt a hybrid mode of entry, incorporating joint venture and strategic franchising, to enter the Japanese market and to gain localised knowledge while safeguarding global brand standards and mitigating market-entry risks.</w:t>
      </w:r>
    </w:p>
    <w:p w14:paraId="338DA839">
      <w:pPr>
        <w:pStyle w:val="2"/>
        <w:rPr>
          <w:lang w:val="en-IN"/>
        </w:rPr>
      </w:pPr>
      <w:bookmarkStart w:id="16" w:name="_Toc236910616"/>
      <w:r>
        <w:rPr>
          <w:lang w:val="en-IN"/>
        </w:rPr>
        <w:t>3. Entry Mode Strategy and Strategic Synthesis</w:t>
      </w:r>
      <w:bookmarkEnd w:id="16"/>
    </w:p>
    <w:p w14:paraId="5C7B64FA">
      <w:pPr>
        <w:pStyle w:val="3"/>
        <w:rPr>
          <w:rFonts w:cs="Arial"/>
          <w:lang w:val="en-IN"/>
        </w:rPr>
      </w:pPr>
      <w:bookmarkStart w:id="17" w:name="_Toc236910617"/>
      <w:r>
        <w:rPr>
          <w:rFonts w:cs="Arial"/>
          <w:lang w:val="en-IN"/>
        </w:rPr>
        <w:t>3.1 Historical pattern recognition</w:t>
      </w:r>
      <w:bookmarkEnd w:id="17"/>
      <w:r>
        <w:rPr>
          <w:rFonts w:cs="Arial"/>
          <w:lang w:val="en-IN"/>
        </w:rPr>
        <w:t xml:space="preserve"> </w:t>
      </w:r>
    </w:p>
    <w:p w14:paraId="04DDB599">
      <w:pPr>
        <w:rPr>
          <w:rFonts w:cs="Arial"/>
          <w:szCs w:val="24"/>
          <w:lang w:val="en-IN"/>
        </w:rPr>
      </w:pPr>
      <w:r>
        <w:rPr>
          <w:rFonts w:cs="Arial"/>
          <w:szCs w:val="24"/>
          <w:lang w:val="en-IN"/>
        </w:rPr>
        <w:t xml:space="preserve">Nando's international entry modes Nando's has used various modes of entry, including franchising, joint ventures, and wholly owned operations, rather than having a single standardised entry mode in its internationalisation process. This can be explained by Nando's transnational strategy; it has managed to balance global brand consistency while tailoring to the local environment and its markets. Franchise has been predominantly important to Nando's for international entry as it offers a reduced financial risk and exposure to Nando's, while simultaneously making the best use of local knowledge and operational capacity through its franchise partners. Franchising allows Nando's to penetrate the new culturally varied markets by transplanting its global brand concepts, the unique PERi-PERi recipes, standard operating procedures, and marketing capabilities to its local franchise partners. </w:t>
      </w:r>
    </w:p>
    <w:p w14:paraId="488C5BD7">
      <w:pPr>
        <w:rPr>
          <w:rFonts w:cs="Arial"/>
          <w:szCs w:val="24"/>
          <w:lang w:val="en-IN"/>
        </w:rPr>
      </w:pPr>
      <w:r>
        <w:rPr>
          <w:rFonts w:cs="Arial"/>
          <w:szCs w:val="24"/>
          <w:lang w:val="en-IN"/>
        </w:rPr>
        <w:t xml:space="preserve">The company is also able to expand quickly due to the franchisor taking over the capital commitment of setting up operations in different markets and is well placed to understand the consumer preferences and the operational policies and regulations for that particular market (Cavusgil, Knight and Riesenberger, 2023). It has also operated company-owned restaurants where high levels of control and brand protection are deemed essential. This is especially in markets where Nando's wants to protect its brand image and experience, customer service, operational procedures, and the product. However, direct control by Nando's comes at a higher investment cost and operational risks (Meyer, Li and Schotter, 2022). </w:t>
      </w:r>
    </w:p>
    <w:p w14:paraId="4BAC15DB">
      <w:pPr>
        <w:pStyle w:val="3"/>
        <w:rPr>
          <w:rFonts w:cs="Arial"/>
          <w:lang w:val="en-IN"/>
        </w:rPr>
      </w:pPr>
      <w:bookmarkStart w:id="18" w:name="_Toc236910618"/>
      <w:r>
        <w:rPr>
          <w:rFonts w:cs="Arial"/>
          <w:lang w:val="en-IN"/>
        </w:rPr>
        <w:t>3.2 Strategic fit and Justification for the Japan market entry</w:t>
      </w:r>
      <w:bookmarkEnd w:id="18"/>
      <w:r>
        <w:rPr>
          <w:rFonts w:cs="Arial"/>
          <w:lang w:val="en-IN"/>
        </w:rPr>
        <w:t xml:space="preserve"> </w:t>
      </w:r>
    </w:p>
    <w:p w14:paraId="23CF48BA">
      <w:pPr>
        <w:rPr>
          <w:rFonts w:cs="Arial"/>
          <w:szCs w:val="24"/>
          <w:lang w:val="en-IN"/>
        </w:rPr>
      </w:pPr>
      <w:r>
        <w:rPr>
          <w:rFonts w:cs="Arial"/>
          <w:szCs w:val="24"/>
          <w:lang w:val="en-IN"/>
        </w:rPr>
        <w:t>Nando's reliance on franchising could serve as a foundation for the entry into the Japanese market, but a combined approach with the use of a joint venture with an element of franchising would be more suitable from a strategic perspective. The Japanese market is developed and is highly culturally diverse, and therefore local knowledge and expertise will be invaluable to Nando's (Meyer, Li &amp; Schotter, 2022). A joint venture with an established Japanese restaurant operator would equip Nando's to navigate a variety of challenges: Firstly, the Japanese customer expects a high standard of hygiene, product quality, and customer service. Local knowledge and the expertise of a Japanese partner would provide access to the most appropriate suppliers and information on consumer preferences. This approach minimises potential operational risks (Cavusgil, Knight &amp; Riesenberger, 2023). Secondly, a joint venture offers a way to reduce the overall investment. Japan is known for its expensive rental rates, especially in major urban centres like Tokyo and Osaka, while labour costs continue to be a growing concern due to staff shortages. A joint venture with an established local partner would enable Nando's to share financial risk and access to a labour pool (Hennart, 2022). However, retaining a degree of control is essential. Over-reliance on franchisees could pose risks related to brand reputation, service quality, and customer experience. Nando's would need to develop clear operational standards, training procedures and quality monitoring systems to maintain brand standards (Meyer, Li &amp; Schotter, 2022).</w:t>
      </w:r>
    </w:p>
    <w:p w14:paraId="6225DD10">
      <w:pPr>
        <w:rPr>
          <w:rFonts w:cs="Arial"/>
          <w:b/>
          <w:bCs/>
          <w:szCs w:val="24"/>
        </w:rPr>
      </w:pPr>
      <w:r>
        <w:rPr>
          <w:rFonts w:cs="Arial"/>
          <w:b/>
          <w:bCs/>
          <w:szCs w:val="24"/>
        </w:rPr>
        <w:t>Table 3: Evaluation of Potential Entry Modes for Nando’s Japan Expansion</w:t>
      </w:r>
    </w:p>
    <w:tbl>
      <w:tblPr>
        <w:tblStyle w:val="12"/>
        <w:tblW w:w="0" w:type="auto"/>
        <w:tblInd w:w="0" w:type="dxa"/>
        <w:tblLayout w:type="autofit"/>
        <w:tblCellMar>
          <w:top w:w="0" w:type="dxa"/>
          <w:left w:w="108" w:type="dxa"/>
          <w:bottom w:w="0" w:type="dxa"/>
          <w:right w:w="108" w:type="dxa"/>
        </w:tblCellMar>
      </w:tblPr>
      <w:tblGrid>
        <w:gridCol w:w="1847"/>
        <w:gridCol w:w="3133"/>
        <w:gridCol w:w="2599"/>
        <w:gridCol w:w="1663"/>
      </w:tblGrid>
      <w:tr w14:paraId="032996A4">
        <w:tblPrEx>
          <w:tblCellMar>
            <w:top w:w="0" w:type="dxa"/>
            <w:left w:w="108" w:type="dxa"/>
            <w:bottom w:w="0" w:type="dxa"/>
            <w:right w:w="108" w:type="dxa"/>
          </w:tblCellMar>
        </w:tblPrEx>
        <w:trPr>
          <w:trHeight w:val="900" w:hRule="atLeast"/>
        </w:trPr>
        <w:tc>
          <w:tcPr>
            <w:tcW w:w="0" w:type="auto"/>
            <w:tcBorders>
              <w:top w:val="single" w:color="auto" w:sz="4" w:space="0"/>
              <w:left w:val="single" w:color="auto" w:sz="4" w:space="0"/>
              <w:bottom w:val="single" w:color="auto" w:sz="4" w:space="0"/>
              <w:right w:val="single" w:color="auto" w:sz="4" w:space="0"/>
            </w:tcBorders>
            <w:vAlign w:val="center"/>
          </w:tcPr>
          <w:p w14:paraId="619E9251">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Entry Mode</w:t>
            </w:r>
          </w:p>
        </w:tc>
        <w:tc>
          <w:tcPr>
            <w:tcW w:w="0" w:type="auto"/>
            <w:tcBorders>
              <w:top w:val="single" w:color="auto" w:sz="4" w:space="0"/>
              <w:left w:val="nil"/>
              <w:bottom w:val="single" w:color="auto" w:sz="4" w:space="0"/>
              <w:right w:val="single" w:color="auto" w:sz="4" w:space="0"/>
            </w:tcBorders>
            <w:vAlign w:val="center"/>
          </w:tcPr>
          <w:p w14:paraId="1B600FA9">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Advantages</w:t>
            </w:r>
          </w:p>
        </w:tc>
        <w:tc>
          <w:tcPr>
            <w:tcW w:w="0" w:type="auto"/>
            <w:tcBorders>
              <w:top w:val="single" w:color="auto" w:sz="4" w:space="0"/>
              <w:left w:val="nil"/>
              <w:bottom w:val="single" w:color="auto" w:sz="4" w:space="0"/>
              <w:right w:val="single" w:color="auto" w:sz="4" w:space="0"/>
            </w:tcBorders>
            <w:vAlign w:val="center"/>
          </w:tcPr>
          <w:p w14:paraId="4F457EE4">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Limitations</w:t>
            </w:r>
          </w:p>
        </w:tc>
        <w:tc>
          <w:tcPr>
            <w:tcW w:w="0" w:type="auto"/>
            <w:tcBorders>
              <w:top w:val="single" w:color="auto" w:sz="4" w:space="0"/>
              <w:left w:val="nil"/>
              <w:bottom w:val="single" w:color="auto" w:sz="4" w:space="0"/>
              <w:right w:val="single" w:color="auto" w:sz="4" w:space="0"/>
            </w:tcBorders>
            <w:vAlign w:val="center"/>
          </w:tcPr>
          <w:p w14:paraId="3821C905">
            <w:pPr>
              <w:spacing w:after="0"/>
              <w:jc w:val="center"/>
              <w:rPr>
                <w:rFonts w:eastAsia="Times New Roman" w:cs="Arial"/>
                <w:b/>
                <w:bCs/>
                <w:color w:val="000000"/>
                <w:kern w:val="0"/>
                <w:szCs w:val="24"/>
                <w:lang w:val="en-IN" w:eastAsia="en-IN"/>
              </w:rPr>
            </w:pPr>
            <w:r>
              <w:rPr>
                <w:rFonts w:eastAsia="Times New Roman" w:cs="Arial"/>
                <w:b/>
                <w:bCs/>
                <w:color w:val="000000"/>
                <w:kern w:val="0"/>
                <w:szCs w:val="24"/>
                <w:lang w:val="en-IN" w:eastAsia="en-IN"/>
              </w:rPr>
              <w:t>Suitability for Japan</w:t>
            </w:r>
          </w:p>
        </w:tc>
      </w:tr>
      <w:tr w14:paraId="4390A5DF">
        <w:tblPrEx>
          <w:tblCellMar>
            <w:top w:w="0" w:type="dxa"/>
            <w:left w:w="108" w:type="dxa"/>
            <w:bottom w:w="0" w:type="dxa"/>
            <w:right w:w="108" w:type="dxa"/>
          </w:tblCellMar>
        </w:tblPrEx>
        <w:trPr>
          <w:trHeight w:val="2790" w:hRule="atLeast"/>
        </w:trPr>
        <w:tc>
          <w:tcPr>
            <w:tcW w:w="0" w:type="auto"/>
            <w:tcBorders>
              <w:top w:val="nil"/>
              <w:left w:val="single" w:color="auto" w:sz="4" w:space="0"/>
              <w:bottom w:val="single" w:color="auto" w:sz="4" w:space="0"/>
              <w:right w:val="single" w:color="auto" w:sz="4" w:space="0"/>
            </w:tcBorders>
            <w:vAlign w:val="center"/>
          </w:tcPr>
          <w:p w14:paraId="6D84D28A">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Wholly Owned Subsidiary</w:t>
            </w:r>
          </w:p>
        </w:tc>
        <w:tc>
          <w:tcPr>
            <w:tcW w:w="0" w:type="auto"/>
            <w:tcBorders>
              <w:top w:val="nil"/>
              <w:left w:val="nil"/>
              <w:bottom w:val="single" w:color="auto" w:sz="4" w:space="0"/>
              <w:right w:val="single" w:color="auto" w:sz="4" w:space="0"/>
            </w:tcBorders>
            <w:vAlign w:val="center"/>
          </w:tcPr>
          <w:p w14:paraId="1B8DE47C">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Maximum control over operations and brand standards</w:t>
            </w:r>
          </w:p>
        </w:tc>
        <w:tc>
          <w:tcPr>
            <w:tcW w:w="0" w:type="auto"/>
            <w:tcBorders>
              <w:top w:val="nil"/>
              <w:left w:val="nil"/>
              <w:bottom w:val="single" w:color="auto" w:sz="4" w:space="0"/>
              <w:right w:val="single" w:color="auto" w:sz="4" w:space="0"/>
            </w:tcBorders>
            <w:vAlign w:val="center"/>
          </w:tcPr>
          <w:p w14:paraId="2D832644">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High financial investment and operational risk</w:t>
            </w:r>
          </w:p>
        </w:tc>
        <w:tc>
          <w:tcPr>
            <w:tcW w:w="0" w:type="auto"/>
            <w:tcBorders>
              <w:top w:val="nil"/>
              <w:left w:val="nil"/>
              <w:bottom w:val="single" w:color="auto" w:sz="4" w:space="0"/>
              <w:right w:val="single" w:color="auto" w:sz="4" w:space="0"/>
            </w:tcBorders>
            <w:shd w:val="clear" w:color="auto" w:fill="E2EFD9" w:themeFill="accent6" w:themeFillTint="33"/>
            <w:vAlign w:val="center"/>
          </w:tcPr>
          <w:p w14:paraId="1B5FC18B">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Moderate</w:t>
            </w:r>
          </w:p>
        </w:tc>
      </w:tr>
      <w:tr w14:paraId="6274AE79">
        <w:tblPrEx>
          <w:tblCellMar>
            <w:top w:w="0" w:type="dxa"/>
            <w:left w:w="108" w:type="dxa"/>
            <w:bottom w:w="0" w:type="dxa"/>
            <w:right w:w="108" w:type="dxa"/>
          </w:tblCellMar>
        </w:tblPrEx>
        <w:trPr>
          <w:trHeight w:val="2790" w:hRule="atLeast"/>
        </w:trPr>
        <w:tc>
          <w:tcPr>
            <w:tcW w:w="0" w:type="auto"/>
            <w:tcBorders>
              <w:top w:val="nil"/>
              <w:left w:val="single" w:color="auto" w:sz="4" w:space="0"/>
              <w:bottom w:val="single" w:color="auto" w:sz="4" w:space="0"/>
              <w:right w:val="single" w:color="auto" w:sz="4" w:space="0"/>
            </w:tcBorders>
            <w:vAlign w:val="center"/>
          </w:tcPr>
          <w:p w14:paraId="1F383494">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Franchising</w:t>
            </w:r>
          </w:p>
        </w:tc>
        <w:tc>
          <w:tcPr>
            <w:tcW w:w="0" w:type="auto"/>
            <w:tcBorders>
              <w:top w:val="nil"/>
              <w:left w:val="nil"/>
              <w:bottom w:val="single" w:color="auto" w:sz="4" w:space="0"/>
              <w:right w:val="single" w:color="auto" w:sz="4" w:space="0"/>
            </w:tcBorders>
            <w:vAlign w:val="center"/>
          </w:tcPr>
          <w:p w14:paraId="4A45E011">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Low investment, faster expansion, local knowledge</w:t>
            </w:r>
          </w:p>
        </w:tc>
        <w:tc>
          <w:tcPr>
            <w:tcW w:w="0" w:type="auto"/>
            <w:tcBorders>
              <w:top w:val="nil"/>
              <w:left w:val="nil"/>
              <w:bottom w:val="single" w:color="auto" w:sz="4" w:space="0"/>
              <w:right w:val="single" w:color="auto" w:sz="4" w:space="0"/>
            </w:tcBorders>
            <w:vAlign w:val="center"/>
          </w:tcPr>
          <w:p w14:paraId="75B1BEE5">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Lower control over quality and customer experience</w:t>
            </w:r>
          </w:p>
        </w:tc>
        <w:tc>
          <w:tcPr>
            <w:tcW w:w="0" w:type="auto"/>
            <w:tcBorders>
              <w:top w:val="nil"/>
              <w:left w:val="nil"/>
              <w:bottom w:val="single" w:color="auto" w:sz="4" w:space="0"/>
              <w:right w:val="single" w:color="auto" w:sz="4" w:space="0"/>
            </w:tcBorders>
            <w:shd w:val="clear" w:color="auto" w:fill="EE0000"/>
            <w:vAlign w:val="center"/>
          </w:tcPr>
          <w:p w14:paraId="3EF54569">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Very High</w:t>
            </w:r>
          </w:p>
        </w:tc>
      </w:tr>
      <w:tr w14:paraId="7135BEF1">
        <w:tblPrEx>
          <w:tblCellMar>
            <w:top w:w="0" w:type="dxa"/>
            <w:left w:w="108" w:type="dxa"/>
            <w:bottom w:w="0" w:type="dxa"/>
            <w:right w:w="108" w:type="dxa"/>
          </w:tblCellMar>
        </w:tblPrEx>
        <w:trPr>
          <w:trHeight w:val="2790" w:hRule="atLeast"/>
        </w:trPr>
        <w:tc>
          <w:tcPr>
            <w:tcW w:w="0" w:type="auto"/>
            <w:tcBorders>
              <w:top w:val="nil"/>
              <w:left w:val="single" w:color="auto" w:sz="4" w:space="0"/>
              <w:bottom w:val="single" w:color="auto" w:sz="4" w:space="0"/>
              <w:right w:val="single" w:color="auto" w:sz="4" w:space="0"/>
            </w:tcBorders>
            <w:vAlign w:val="center"/>
          </w:tcPr>
          <w:p w14:paraId="3156564A">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Joint Venture</w:t>
            </w:r>
          </w:p>
        </w:tc>
        <w:tc>
          <w:tcPr>
            <w:tcW w:w="0" w:type="auto"/>
            <w:tcBorders>
              <w:top w:val="nil"/>
              <w:left w:val="nil"/>
              <w:bottom w:val="single" w:color="auto" w:sz="4" w:space="0"/>
              <w:right w:val="single" w:color="auto" w:sz="4" w:space="0"/>
            </w:tcBorders>
            <w:vAlign w:val="center"/>
          </w:tcPr>
          <w:p w14:paraId="583911CC">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Shared risk, local expertise, and improved market understanding</w:t>
            </w:r>
          </w:p>
        </w:tc>
        <w:tc>
          <w:tcPr>
            <w:tcW w:w="0" w:type="auto"/>
            <w:tcBorders>
              <w:top w:val="nil"/>
              <w:left w:val="nil"/>
              <w:bottom w:val="single" w:color="auto" w:sz="4" w:space="0"/>
              <w:right w:val="single" w:color="auto" w:sz="4" w:space="0"/>
            </w:tcBorders>
            <w:vAlign w:val="center"/>
          </w:tcPr>
          <w:p w14:paraId="206CB2CD">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Possible conflict between partners</w:t>
            </w:r>
          </w:p>
        </w:tc>
        <w:tc>
          <w:tcPr>
            <w:tcW w:w="0" w:type="auto"/>
            <w:tcBorders>
              <w:top w:val="nil"/>
              <w:left w:val="nil"/>
              <w:bottom w:val="single" w:color="auto" w:sz="4" w:space="0"/>
              <w:right w:val="single" w:color="auto" w:sz="4" w:space="0"/>
            </w:tcBorders>
            <w:shd w:val="clear" w:color="auto" w:fill="FFFF00"/>
            <w:vAlign w:val="center"/>
          </w:tcPr>
          <w:p w14:paraId="05142756">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High</w:t>
            </w:r>
          </w:p>
        </w:tc>
      </w:tr>
      <w:tr w14:paraId="15F81104">
        <w:tblPrEx>
          <w:tblCellMar>
            <w:top w:w="0" w:type="dxa"/>
            <w:left w:w="108" w:type="dxa"/>
            <w:bottom w:w="0" w:type="dxa"/>
            <w:right w:w="108" w:type="dxa"/>
          </w:tblCellMar>
        </w:tblPrEx>
        <w:trPr>
          <w:trHeight w:val="2170" w:hRule="atLeast"/>
        </w:trPr>
        <w:tc>
          <w:tcPr>
            <w:tcW w:w="0" w:type="auto"/>
            <w:tcBorders>
              <w:top w:val="nil"/>
              <w:left w:val="single" w:color="auto" w:sz="4" w:space="0"/>
              <w:bottom w:val="single" w:color="auto" w:sz="4" w:space="0"/>
              <w:right w:val="single" w:color="auto" w:sz="4" w:space="0"/>
            </w:tcBorders>
            <w:vAlign w:val="center"/>
          </w:tcPr>
          <w:p w14:paraId="35EB264D">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Exporting</w:t>
            </w:r>
          </w:p>
        </w:tc>
        <w:tc>
          <w:tcPr>
            <w:tcW w:w="0" w:type="auto"/>
            <w:tcBorders>
              <w:top w:val="nil"/>
              <w:left w:val="nil"/>
              <w:bottom w:val="single" w:color="auto" w:sz="4" w:space="0"/>
              <w:right w:val="single" w:color="auto" w:sz="4" w:space="0"/>
            </w:tcBorders>
            <w:vAlign w:val="center"/>
          </w:tcPr>
          <w:p w14:paraId="19293077">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Low commitment</w:t>
            </w:r>
          </w:p>
        </w:tc>
        <w:tc>
          <w:tcPr>
            <w:tcW w:w="0" w:type="auto"/>
            <w:tcBorders>
              <w:top w:val="nil"/>
              <w:left w:val="nil"/>
              <w:bottom w:val="single" w:color="auto" w:sz="4" w:space="0"/>
              <w:right w:val="single" w:color="auto" w:sz="4" w:space="0"/>
            </w:tcBorders>
            <w:vAlign w:val="center"/>
          </w:tcPr>
          <w:p w14:paraId="5C350C90">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Not suitable for restaurant operations</w:t>
            </w:r>
          </w:p>
        </w:tc>
        <w:tc>
          <w:tcPr>
            <w:tcW w:w="0" w:type="auto"/>
            <w:tcBorders>
              <w:top w:val="nil"/>
              <w:left w:val="nil"/>
              <w:bottom w:val="single" w:color="auto" w:sz="4" w:space="0"/>
              <w:right w:val="single" w:color="auto" w:sz="4" w:space="0"/>
            </w:tcBorders>
            <w:shd w:val="clear" w:color="auto" w:fill="92D050"/>
            <w:vAlign w:val="center"/>
          </w:tcPr>
          <w:p w14:paraId="7A2FC727">
            <w:pPr>
              <w:spacing w:after="0"/>
              <w:rPr>
                <w:rFonts w:eastAsia="Times New Roman" w:cs="Arial"/>
                <w:color w:val="000000"/>
                <w:kern w:val="0"/>
                <w:szCs w:val="24"/>
                <w:lang w:val="en-IN" w:eastAsia="en-IN"/>
              </w:rPr>
            </w:pPr>
            <w:r>
              <w:rPr>
                <w:rFonts w:eastAsia="Times New Roman" w:cs="Arial"/>
                <w:color w:val="000000"/>
                <w:kern w:val="0"/>
                <w:szCs w:val="24"/>
                <w:lang w:val="en-IN" w:eastAsia="en-IN"/>
              </w:rPr>
              <w:t>Low</w:t>
            </w:r>
          </w:p>
        </w:tc>
      </w:tr>
    </w:tbl>
    <w:p w14:paraId="68B18504">
      <w:pPr>
        <w:rPr>
          <w:rFonts w:cs="Arial"/>
          <w:b/>
          <w:bCs/>
          <w:szCs w:val="24"/>
          <w:lang w:val="en-IN"/>
        </w:rPr>
      </w:pPr>
    </w:p>
    <w:p w14:paraId="7D48DDFD">
      <w:pPr>
        <w:pStyle w:val="3"/>
        <w:rPr>
          <w:rFonts w:cs="Arial"/>
          <w:lang w:val="en-IN"/>
        </w:rPr>
      </w:pPr>
      <w:bookmarkStart w:id="19" w:name="_Toc236910619"/>
      <w:r>
        <w:rPr>
          <w:rFonts w:cs="Arial"/>
          <w:lang w:val="en-IN"/>
        </w:rPr>
        <w:t>3.3 Strategic Synthesis: Risk, Control and Long-Term Strategic Fit</w:t>
      </w:r>
      <w:bookmarkEnd w:id="19"/>
    </w:p>
    <w:p w14:paraId="6F79368E">
      <w:pPr>
        <w:rPr>
          <w:rFonts w:cs="Arial"/>
          <w:szCs w:val="24"/>
          <w:lang w:val="en-IN"/>
        </w:rPr>
      </w:pPr>
      <w:r>
        <w:rPr>
          <w:rFonts w:cs="Arial"/>
          <w:szCs w:val="24"/>
          <w:lang w:val="en-IN"/>
        </w:rPr>
        <w:t>The proposed entry strategy for Nando’s in the Japanese market is in harmony with its overall international strategy but also seeks to address the specific circumstances within the Japanese market. The hybrid approach to franchising will mitigate the political, financial and operational risk for Nando’s by offsetting a degree of full ownership control in favour of partnership. In terms of political risk, despite Japan's relative political stability, regulatory requirements and potential cultural issues present uncertainty to any foreign-based restaurant group. In terms of resources, the franchising and joint venture approach would enable Nando's to expand in Japan without significant capital expenditure in the initial stages. This is critical since it will cost a substantial amount of capital to develop Nando's brand awareness in the market. In terms of the conflict between control and flexibility, a hybrid strategy would allow Nando's to maintain control over key attributes of its brand and its products, such as recipes, brand standards, quality control, service, and sustainability, while allowing local partners flexibility on other issues such as customer taste, advertising messages and supplier choices. With respect to long-term strategic fit, Japan is ideal as a hub for expansion in the wider Asian market, and a successful entry into Japan could enhance Nando's position in other mature markets such as Korea and Taiwan. However, this success is dependent on Nando's ability to successfully tailor its offer whilst retaining its global brand identity.</w:t>
      </w:r>
    </w:p>
    <w:p w14:paraId="182EEB56">
      <w:pPr>
        <w:pStyle w:val="3"/>
        <w:rPr>
          <w:rFonts w:cs="Arial"/>
          <w:lang w:val="en-IN"/>
        </w:rPr>
      </w:pPr>
      <w:bookmarkStart w:id="20" w:name="_Toc236910620"/>
      <w:r>
        <w:rPr>
          <w:rFonts w:cs="Arial"/>
          <w:lang w:val="en-IN"/>
        </w:rPr>
        <w:t>3.4 Conclusion and Recommendations</w:t>
      </w:r>
      <w:bookmarkEnd w:id="20"/>
    </w:p>
    <w:p w14:paraId="5B06FE8F">
      <w:r>
        <w:rPr>
          <w:rFonts w:cs="Arial"/>
          <w:szCs w:val="24"/>
          <w:lang w:val="en-IN"/>
        </w:rPr>
        <w:t xml:space="preserve">In summation, although Nando's has experience in franchising its brand, it would benefit from a more integrated approach to its Japanese expansion. The strategy recommended for Nando's in Japan is a combination of joint venture and franchising, as this would allow for the appropriate risk mitigation, a degree of control, and local market adaptations required for success. </w:t>
      </w:r>
      <w:r>
        <w:t xml:space="preserve">The Japanese market would provide Nando with an excellent opportunity due to its advanced and prosperous clientele with high purchasing power and willingness to experience the international cuisine. Nonetheless, there are also potential threats like strong local competition, cultural barriers, high operation costs, among others, that must be handled with care in the market. </w:t>
      </w:r>
      <w:r>
        <w:rPr>
          <w:rFonts w:cs="Arial"/>
          <w:szCs w:val="24"/>
          <w:lang w:val="en-IN"/>
        </w:rPr>
        <w:t>As such, Nando's should develop its brand presence initially through flagship restaurants, located in the key metropolitan cities of Tokyo and Osaka, and supported by a strong Japanese partner, before exploring the possibility of further growth through franchising.</w:t>
      </w:r>
    </w:p>
    <w:p w14:paraId="36609642">
      <w:pPr>
        <w:spacing w:line="259" w:lineRule="auto"/>
        <w:jc w:val="left"/>
        <w:rPr>
          <w:rFonts w:cs="Arial" w:eastAsiaTheme="majorEastAsia"/>
          <w:b/>
          <w:color w:val="000000" w:themeColor="text1"/>
          <w:sz w:val="28"/>
          <w:szCs w:val="44"/>
          <w:lang w:val="en-IN"/>
          <w14:textFill>
            <w14:solidFill>
              <w14:schemeClr w14:val="tx1"/>
            </w14:solidFill>
          </w14:textFill>
        </w:rPr>
      </w:pPr>
      <w:r>
        <w:rPr>
          <w:lang w:val="en-IN"/>
        </w:rPr>
        <w:br w:type="page"/>
      </w:r>
    </w:p>
    <w:p w14:paraId="32712171">
      <w:pPr>
        <w:pStyle w:val="2"/>
        <w:rPr>
          <w:lang w:val="en-IN"/>
        </w:rPr>
      </w:pPr>
      <w:bookmarkStart w:id="21" w:name="_Toc236910621"/>
      <w:r>
        <w:rPr>
          <w:lang w:val="en-IN"/>
        </w:rPr>
        <w:t>Section 2</w:t>
      </w:r>
      <w:bookmarkEnd w:id="21"/>
    </w:p>
    <w:p w14:paraId="391CC01F">
      <w:pPr>
        <w:pStyle w:val="3"/>
        <w:rPr>
          <w:rFonts w:cs="Arial"/>
          <w:lang w:val="en-IN"/>
        </w:rPr>
      </w:pPr>
      <w:bookmarkStart w:id="22" w:name="_Toc236910622"/>
      <w:r>
        <w:rPr>
          <w:rFonts w:cs="Arial"/>
          <w:lang w:val="en-IN"/>
        </w:rPr>
        <w:t>4.1 Description</w:t>
      </w:r>
      <w:bookmarkEnd w:id="22"/>
    </w:p>
    <w:p w14:paraId="1F033776">
      <w:pPr>
        <w:rPr>
          <w:rFonts w:cs="Arial"/>
          <w:szCs w:val="24"/>
          <w:lang w:val="en-IN"/>
        </w:rPr>
      </w:pPr>
      <w:r>
        <w:rPr>
          <w:rFonts w:cs="Arial"/>
          <w:szCs w:val="24"/>
          <w:lang w:val="en-IN"/>
        </w:rPr>
        <w:t xml:space="preserve">This assignment requires researching and analysing some strategic factors around the Nando's potential venture into Japan. Primarily, the assignment aims to explore how to analyse a foreign market and evaluate which entry strategy would be the best for the company, and how to balance standardisation and adaptation between an MNC's headquarters and the target country. To complete the assignment, I performed the following research steps: reviewing academic literature, examining industry information, and using international business theories and market conditions. </w:t>
      </w:r>
    </w:p>
    <w:p w14:paraId="5973674F">
      <w:pPr>
        <w:rPr>
          <w:rFonts w:cs="Arial"/>
          <w:szCs w:val="24"/>
          <w:lang w:val="en-IN"/>
        </w:rPr>
      </w:pPr>
      <w:r>
        <w:rPr>
          <w:rFonts w:cs="Arial"/>
          <w:szCs w:val="24"/>
          <w:lang w:val="en-IN"/>
        </w:rPr>
        <w:t xml:space="preserve">I decided to use Gibbs Reflective Cycle (1988) as a reflection on the entire process, because the cycle presents a structure in six steps - Description, Feelings, Evaluation, Analysis, Conclusion, Action plan - in which I can reflect on what happened, how I felt, what my role was and the learning outcomes in the module. </w:t>
      </w:r>
    </w:p>
    <w:p w14:paraId="3B4F1971">
      <w:pPr>
        <w:pStyle w:val="3"/>
        <w:rPr>
          <w:rFonts w:cs="Arial"/>
          <w:lang w:val="en-IN"/>
        </w:rPr>
      </w:pPr>
      <w:bookmarkStart w:id="23" w:name="_Toc236910623"/>
      <w:r>
        <w:rPr>
          <w:rFonts w:cs="Arial"/>
          <w:lang w:val="en-IN"/>
        </w:rPr>
        <w:t>4.2 Feelings</w:t>
      </w:r>
      <w:bookmarkEnd w:id="23"/>
    </w:p>
    <w:p w14:paraId="648FD26D">
      <w:pPr>
        <w:rPr>
          <w:rFonts w:cs="Arial"/>
          <w:szCs w:val="24"/>
          <w:lang w:val="en-IN"/>
        </w:rPr>
      </w:pPr>
      <w:r>
        <w:rPr>
          <w:rFonts w:cs="Arial"/>
          <w:szCs w:val="24"/>
          <w:lang w:val="en-IN"/>
        </w:rPr>
        <w:t xml:space="preserve">At the start of the module, I felt a bit insecure and enthusiastic because, although international expansion and multinational strategy are fascinating fields, I thought analysing the case study required various areas that were still unfamiliar to me. Initially, I struggled to link theoretical frameworks such as the international strategy of Bartlett and Ghoshal (1989) and the OLI framework of Dunning (2023) with a real business situation. I felt that theoretical models are often presented in abstract terms that can be difficult to translate to real organisations, but lectures, class discussions and my past experience on different projects helped me to be more confident. Through them, I better understood the need to assess multinational corporations' capabilities against different institutional, political and economic characteristics. The module learning contents, such as Cavusgil, Knight and Riesenberger (2023) stating the importance of integrating academic theory into market knowledge to make the best international business decision, assisted me in taking the research step seriously and developing my analysis in depth. </w:t>
      </w:r>
    </w:p>
    <w:p w14:paraId="7C887949">
      <w:pPr>
        <w:pStyle w:val="3"/>
        <w:rPr>
          <w:rFonts w:cs="Arial"/>
          <w:lang w:val="en-IN"/>
        </w:rPr>
      </w:pPr>
      <w:bookmarkStart w:id="24" w:name="_Toc236910624"/>
      <w:r>
        <w:rPr>
          <w:rFonts w:cs="Arial"/>
          <w:lang w:val="en-IN"/>
        </w:rPr>
        <w:t>4.3 Evaluation</w:t>
      </w:r>
      <w:bookmarkEnd w:id="24"/>
    </w:p>
    <w:p w14:paraId="1AA1CF9F">
      <w:pPr>
        <w:rPr>
          <w:rFonts w:cs="Arial"/>
          <w:szCs w:val="24"/>
          <w:lang w:val="en-IN"/>
        </w:rPr>
      </w:pPr>
      <w:r>
        <w:rPr>
          <w:rFonts w:cs="Arial"/>
          <w:szCs w:val="24"/>
          <w:lang w:val="en-IN"/>
        </w:rPr>
        <w:t xml:space="preserve">To analyse the Japanese market entry for Nando’s, I have collected both academic literature (journals, textbooks, case studies) and industry data and secondary information (industry reports, economic and market statistics) from reliable and varied sources. I used databases such as Google Scholar to conduct searches, especially focusing on publications related to international business, market entry, foreign direct investment, and Japanese business culture. Some specific sources used in my work include: </w:t>
      </w:r>
    </w:p>
    <w:p w14:paraId="4CA6C208">
      <w:pPr>
        <w:rPr>
          <w:rFonts w:cs="Arial"/>
          <w:szCs w:val="24"/>
          <w:lang w:val="en-IN"/>
        </w:rPr>
      </w:pPr>
      <w:r>
        <w:rPr>
          <w:rFonts w:cs="Arial"/>
          <w:szCs w:val="24"/>
          <w:lang w:val="en-IN"/>
        </w:rPr>
        <w:t>Academic journal articles focusing on:</w:t>
      </w:r>
    </w:p>
    <w:p w14:paraId="346E7A62">
      <w:pPr>
        <w:pStyle w:val="35"/>
        <w:numPr>
          <w:ilvl w:val="0"/>
          <w:numId w:val="1"/>
        </w:numPr>
        <w:rPr>
          <w:rFonts w:cs="Arial"/>
          <w:szCs w:val="24"/>
          <w:lang w:val="en-IN"/>
        </w:rPr>
      </w:pPr>
      <w:r>
        <w:rPr>
          <w:rFonts w:cs="Arial"/>
          <w:szCs w:val="24"/>
          <w:lang w:val="en-IN"/>
        </w:rPr>
        <w:t>Internationalisation of service firms.</w:t>
      </w:r>
    </w:p>
    <w:p w14:paraId="0D59D467">
      <w:pPr>
        <w:pStyle w:val="35"/>
        <w:numPr>
          <w:ilvl w:val="0"/>
          <w:numId w:val="1"/>
        </w:numPr>
        <w:rPr>
          <w:rFonts w:cs="Arial"/>
          <w:szCs w:val="24"/>
          <w:lang w:val="en-IN"/>
        </w:rPr>
      </w:pPr>
      <w:r>
        <w:rPr>
          <w:rFonts w:cs="Arial"/>
          <w:szCs w:val="24"/>
          <w:lang w:val="en-IN"/>
        </w:rPr>
        <w:t xml:space="preserve">Market entry modes in Japan. </w:t>
      </w:r>
    </w:p>
    <w:p w14:paraId="4A361BE1">
      <w:pPr>
        <w:pStyle w:val="35"/>
        <w:numPr>
          <w:ilvl w:val="0"/>
          <w:numId w:val="1"/>
        </w:numPr>
        <w:rPr>
          <w:rFonts w:cs="Arial"/>
          <w:szCs w:val="24"/>
          <w:lang w:val="en-IN"/>
        </w:rPr>
      </w:pPr>
      <w:r>
        <w:rPr>
          <w:rFonts w:cs="Arial"/>
          <w:szCs w:val="24"/>
          <w:lang w:val="en-IN"/>
        </w:rPr>
        <w:t xml:space="preserve">Cultural issues in International Business. </w:t>
      </w:r>
    </w:p>
    <w:p w14:paraId="18D863E0">
      <w:pPr>
        <w:pStyle w:val="35"/>
        <w:numPr>
          <w:ilvl w:val="0"/>
          <w:numId w:val="1"/>
        </w:numPr>
        <w:rPr>
          <w:rFonts w:cs="Arial"/>
          <w:szCs w:val="24"/>
          <w:lang w:val="en-IN"/>
        </w:rPr>
      </w:pPr>
      <w:r>
        <w:rPr>
          <w:rFonts w:cs="Arial"/>
          <w:szCs w:val="24"/>
          <w:lang w:val="en-IN"/>
        </w:rPr>
        <w:t xml:space="preserve">Textbooks and established references in the field of International Business. </w:t>
      </w:r>
    </w:p>
    <w:p w14:paraId="407C59BF">
      <w:pPr>
        <w:pStyle w:val="35"/>
        <w:numPr>
          <w:ilvl w:val="0"/>
          <w:numId w:val="1"/>
        </w:numPr>
        <w:rPr>
          <w:rFonts w:cs="Arial"/>
          <w:szCs w:val="24"/>
          <w:lang w:val="en-IN"/>
        </w:rPr>
      </w:pPr>
      <w:r>
        <w:rPr>
          <w:rFonts w:cs="Arial"/>
          <w:szCs w:val="24"/>
          <w:lang w:val="en-IN"/>
        </w:rPr>
        <w:t xml:space="preserve">Recent market reports and economic data about Japan’s restaurant industry. </w:t>
      </w:r>
    </w:p>
    <w:p w14:paraId="64C17DD2">
      <w:pPr>
        <w:pStyle w:val="35"/>
        <w:numPr>
          <w:ilvl w:val="0"/>
          <w:numId w:val="1"/>
        </w:numPr>
        <w:rPr>
          <w:rFonts w:cs="Arial"/>
          <w:szCs w:val="24"/>
          <w:lang w:val="en-IN"/>
        </w:rPr>
      </w:pPr>
      <w:r>
        <w:rPr>
          <w:rFonts w:cs="Arial"/>
          <w:szCs w:val="24"/>
          <w:lang w:val="en-IN"/>
        </w:rPr>
        <w:t xml:space="preserve">Country information websites. </w:t>
      </w:r>
    </w:p>
    <w:p w14:paraId="310BA40D">
      <w:pPr>
        <w:rPr>
          <w:rFonts w:cs="Arial"/>
          <w:szCs w:val="24"/>
          <w:lang w:val="en-IN"/>
        </w:rPr>
      </w:pPr>
      <w:r>
        <w:t xml:space="preserve">An important part of my research approach is the use of famous models of international businesses. As an illustration, the model of international strategy offered by Bartlett and Ghoshal (1989) was a handy tool to classify Nando as a probable transnational company that has to be global but local at the same time. In the same manner, the OLI (Ownership, Location, Internalisation) framework developed by Dunning was useful in finding out the potential benefits and drawbacks that Nando would have had when thinking about going global.  Nevertheless, in my preparation, I had a couple of difficulties. To begin with, it was hard to locate pertinent and recent academic literature. There are certain standard theoretical schemes in the International Business sector, but, regrettably, in some cases, the literature can be too old to be useful in up-to-date strategic evaluation. In order to eliminate this barrier, I devoted the greater part of my research to finding and reading more recent publications and attempted to reconcile the old concepts of the theories with the recent discoveries and new data. Secondly, I discovered that it was difficult to strike the balance between description and critical evaluation in my research. It's quite easy to research and present factual information on Japan's economic and restaurant industry. The only thing that demanded more efforts was to connect this information with the needs of Nando, examine the opportunities and risks involved, and assess the resources and capabilities of Nando. After weighing different options and focusing on the possible benefits and drawbacks, I strengthened this part of my work. </w:t>
      </w:r>
    </w:p>
    <w:p w14:paraId="57FBB7C3">
      <w:pPr>
        <w:pStyle w:val="3"/>
        <w:rPr>
          <w:rFonts w:cs="Arial"/>
          <w:lang w:val="en-IN"/>
        </w:rPr>
      </w:pPr>
      <w:bookmarkStart w:id="25" w:name="_Toc236910625"/>
      <w:r>
        <w:rPr>
          <w:rFonts w:cs="Arial"/>
          <w:lang w:val="en-IN"/>
        </w:rPr>
        <w:t>4.4 Analysis</w:t>
      </w:r>
      <w:bookmarkEnd w:id="25"/>
    </w:p>
    <w:p w14:paraId="0EA1D037">
      <w:r>
        <w:t xml:space="preserve">This assignment taught me to have a more in-depth view of how multinational companies must take into account various factors when outlining their international expansion strategies. The theories made me understand that there can be no simple transfer of business model of a company to that of the other country. MNCs have to change their products and services and marketing strategies based on regional cultural standards, legal and regulatory conditions and competitive forces in the market. Using the OLI framework, I got to learn that although Nando has great ownership benefits in the form of its brand, unique food idea, and established operational practices, its success in Japan would also be greatly influenced by its capacity to exploit location-specific benefits (e.g., ability to understand the taste and preferences of the Japanese consumers) and exploit the right internalisation benefits (e.g., efficient control systems to ensure brand-consistency). </w:t>
      </w:r>
    </w:p>
    <w:p w14:paraId="70BD8546">
      <w:r>
        <w:t xml:space="preserve">This further supports the idea of a moderate solution between international standardisation and national sensitivity. Moreover, the entry mode studies were used to indicate the individual risks of the different alternatives. As an example, franchising that at first sight might seem to be the best way to establish itself quickly in the market presents some risks such as the loss of control over the brand standards and quality that may negatively impact the reputation of Nando. As Paul and Feliciano-Cestero (2022) point out, careful selection of entry modes to align with the company's resources and the external environment is crucial for success. </w:t>
      </w:r>
    </w:p>
    <w:p w14:paraId="7C75E833">
      <w:pPr>
        <w:pStyle w:val="3"/>
        <w:rPr>
          <w:rFonts w:cs="Arial"/>
          <w:color w:val="EE0000"/>
          <w:lang w:val="en-IN"/>
        </w:rPr>
      </w:pPr>
      <w:bookmarkStart w:id="26" w:name="_Toc236910626"/>
      <w:r>
        <w:rPr>
          <w:rFonts w:cs="Arial"/>
          <w:color w:val="EE0000"/>
          <w:lang w:val="en-IN"/>
        </w:rPr>
        <w:t>4.5 Conclusion</w:t>
      </w:r>
      <w:bookmarkEnd w:id="26"/>
    </w:p>
    <w:p w14:paraId="262A9A32">
      <w:pPr>
        <w:pStyle w:val="2"/>
        <w:rPr>
          <w:b w:val="0"/>
          <w:bCs/>
          <w:color w:val="EE0000"/>
          <w:sz w:val="24"/>
          <w:szCs w:val="24"/>
          <w:lang w:val="en-IN"/>
        </w:rPr>
      </w:pPr>
      <w:bookmarkStart w:id="27" w:name="_Toc236910627"/>
      <w:r>
        <w:rPr>
          <w:b w:val="0"/>
          <w:bCs/>
          <w:color w:val="EE0000"/>
          <w:sz w:val="24"/>
          <w:szCs w:val="24"/>
          <w:lang w:val="en-IN"/>
        </w:rPr>
        <w:t>The international business prospect for Nando's venturing into Japan is promising due to Japan's solid and steady economy, the high customer purchase power, and a greater interest for international dining experience. Long-term survival of the brand relies not only on the suitable mode choice, but also on harmonising the brand's global culture and localisation approach. Nando's dominant storytelling culture, built on its Portuguese-African roots, PERi-PERi genesis and dining sensation, can position itself well to touch emotionally the customers' heart in Japan. On the other hand, the company is required to tailor the menus, customer service, ambiance, and communications to meet customers' social, cultural and quality standards. Hybrid entry with Joint Venture combined with Franchising is the ultimate solution enabling balance between world-wide command and localized responsiveness; as a result, Nando's is capable of building a sustained competitive edge in the Japanese market.</w:t>
      </w:r>
      <w:bookmarkEnd w:id="27"/>
    </w:p>
    <w:p w14:paraId="2F2B2805">
      <w:pPr>
        <w:pStyle w:val="3"/>
        <w:rPr>
          <w:color w:val="EE0000"/>
        </w:rPr>
      </w:pPr>
      <w:bookmarkStart w:id="28" w:name="_Toc236910628"/>
      <w:r>
        <w:rPr>
          <w:color w:val="EE0000"/>
        </w:rPr>
        <w:t>4.6 Recommendations</w:t>
      </w:r>
      <w:bookmarkEnd w:id="28"/>
    </w:p>
    <w:p w14:paraId="6602A38C">
      <w:pPr>
        <w:rPr>
          <w:color w:val="EE0000"/>
          <w:lang w:val="en-IN"/>
        </w:rPr>
      </w:pPr>
      <w:r>
        <w:rPr>
          <w:color w:val="EE0000"/>
          <w:lang w:val="en-IN"/>
        </w:rPr>
        <w:t>Employ a Hybrid Entry Strategy Partner in a joint venture with a seasoned Japanese restaurant specialist in order to access local market expertise, then followed by a limited rollout of franchised outlets and a long-term growth strategy. Drive Localisation efforts Modify menus by localising for: different spice levels, a selection of Japanese side dishes, seasonals and local sourcing, whilst ensuring brand PERi-PERi is maintained (</w:t>
      </w:r>
      <w:r>
        <w:rPr>
          <w:rFonts w:cs="Arial"/>
          <w:color w:val="EE0000"/>
          <w:szCs w:val="24"/>
          <w:lang w:val="en-IN"/>
        </w:rPr>
        <w:t>Dunning, 2023)</w:t>
      </w:r>
      <w:r>
        <w:rPr>
          <w:color w:val="EE0000"/>
          <w:lang w:val="en-IN"/>
        </w:rPr>
        <w:t xml:space="preserve">. Design in-restaurant experience; develop customer service and digital and promotional activities based on customer experience and Japanese tastes. </w:t>
      </w:r>
    </w:p>
    <w:p w14:paraId="0E491C56">
      <w:pPr>
        <w:rPr>
          <w:color w:val="EE0000"/>
          <w:lang w:val="en-IN"/>
        </w:rPr>
      </w:pPr>
      <w:r>
        <w:rPr>
          <w:color w:val="EE0000"/>
          <w:lang w:val="en-IN"/>
        </w:rPr>
        <w:t>Utilise storytelling the culture Market Portugal's African roots, PERi-PERi as part of your story to restaurants, packaging, marketing campaigns and in restaurant experiences Develop in the story through your chosen language which link Nando's values to local values, Omotenashi, culture etc and foster stronger emotional brand loyalty (</w:t>
      </w:r>
      <w:r>
        <w:rPr>
          <w:rFonts w:cs="Arial"/>
          <w:color w:val="EE0000"/>
          <w:szCs w:val="24"/>
        </w:rPr>
        <w:t xml:space="preserve">Hazzan </w:t>
      </w:r>
      <w:r>
        <w:rPr>
          <w:rFonts w:cs="Arial"/>
          <w:i/>
          <w:iCs/>
          <w:color w:val="EE0000"/>
          <w:szCs w:val="24"/>
        </w:rPr>
        <w:t>et al.,</w:t>
      </w:r>
      <w:r>
        <w:rPr>
          <w:rFonts w:cs="Arial"/>
          <w:color w:val="EE0000"/>
          <w:szCs w:val="24"/>
        </w:rPr>
        <w:t xml:space="preserve"> 2025)</w:t>
      </w:r>
      <w:r>
        <w:rPr>
          <w:color w:val="EE0000"/>
          <w:lang w:val="en-IN"/>
        </w:rPr>
        <w:t xml:space="preserve">. </w:t>
      </w:r>
    </w:p>
    <w:p w14:paraId="6BD3D17A">
      <w:pPr>
        <w:rPr>
          <w:color w:val="EE0000"/>
          <w:lang w:val="en-IN"/>
        </w:rPr>
      </w:pPr>
      <w:r>
        <w:rPr>
          <w:color w:val="EE0000"/>
          <w:lang w:val="en-IN"/>
        </w:rPr>
        <w:t>Invest in training Develop cross-cultural training in business etiquette, customers service standards and inter-cultural communication to ensure you offer consistent high service standards while retaining the brand persona. Create a plan to build brand awareness prior to going wider Raise profile through flagships in tokyo &amp; osaka backed by social/influencer marketing, digital campaigns, pop-up and in store experiences (</w:t>
      </w:r>
      <w:r>
        <w:rPr>
          <w:rFonts w:cs="Arial"/>
          <w:color w:val="EE0000"/>
          <w:szCs w:val="24"/>
        </w:rPr>
        <w:t>Hong, 2025)</w:t>
      </w:r>
      <w:r>
        <w:rPr>
          <w:color w:val="EE0000"/>
          <w:lang w:val="en-IN"/>
        </w:rPr>
        <w:t>.</w:t>
      </w:r>
    </w:p>
    <w:p w14:paraId="5F6E2D28">
      <w:pPr>
        <w:pStyle w:val="2"/>
        <w:rPr>
          <w:szCs w:val="24"/>
          <w:lang w:val="en-IN"/>
        </w:rPr>
      </w:pPr>
      <w:r>
        <w:rPr>
          <w:sz w:val="24"/>
          <w:szCs w:val="24"/>
          <w:lang w:val="en-IN"/>
        </w:rPr>
        <w:br w:type="page"/>
      </w:r>
      <w:bookmarkStart w:id="29" w:name="_Toc236910629"/>
      <w:r>
        <w:rPr>
          <w:lang w:val="en-IN"/>
        </w:rPr>
        <w:t>References</w:t>
      </w:r>
      <w:bookmarkEnd w:id="29"/>
      <w:r>
        <w:rPr>
          <w:lang w:val="en-IN"/>
        </w:rPr>
        <w:t xml:space="preserve"> </w:t>
      </w:r>
    </w:p>
    <w:p w14:paraId="085B33D1">
      <w:pPr>
        <w:rPr>
          <w:rFonts w:cs="Arial"/>
          <w:b/>
          <w:bCs/>
          <w:szCs w:val="24"/>
          <w:lang w:val="en-IN"/>
        </w:rPr>
      </w:pPr>
      <w:r>
        <w:rPr>
          <w:rFonts w:cs="Arial"/>
          <w:szCs w:val="24"/>
        </w:rPr>
        <w:t xml:space="preserve">Ando, N., Suzuki, M. and Nishikawa, H. (2026). "Migratory Bird" Local Managers: English Proficiency, Social Identification, and Early Turnover. </w:t>
      </w:r>
      <w:r>
        <w:rPr>
          <w:rFonts w:cs="Arial"/>
          <w:i/>
          <w:iCs/>
          <w:szCs w:val="24"/>
        </w:rPr>
        <w:t>Thunderbird International Business Review</w:t>
      </w:r>
      <w:r>
        <w:rPr>
          <w:rFonts w:cs="Arial"/>
          <w:szCs w:val="24"/>
        </w:rPr>
        <w:t>.</w:t>
      </w:r>
    </w:p>
    <w:p w14:paraId="2DDF9578">
      <w:pPr>
        <w:rPr>
          <w:rFonts w:cs="Arial"/>
          <w:szCs w:val="24"/>
          <w:lang w:val="en-IN"/>
        </w:rPr>
      </w:pPr>
      <w:r>
        <w:rPr>
          <w:rFonts w:cs="Arial"/>
          <w:szCs w:val="24"/>
          <w:lang w:val="en-IN"/>
        </w:rPr>
        <w:t xml:space="preserve">Bartlett, C.A. and Ghoshal, S. (1989) </w:t>
      </w:r>
      <w:r>
        <w:rPr>
          <w:rFonts w:cs="Arial"/>
          <w:i/>
          <w:iCs/>
          <w:szCs w:val="24"/>
          <w:lang w:val="en-IN"/>
        </w:rPr>
        <w:t>Managing Across Borders: The Transnational Solution</w:t>
      </w:r>
      <w:r>
        <w:rPr>
          <w:rFonts w:cs="Arial"/>
          <w:szCs w:val="24"/>
          <w:lang w:val="en-IN"/>
        </w:rPr>
        <w:t>. Boston: Harvard Business School Press.</w:t>
      </w:r>
    </w:p>
    <w:p w14:paraId="7575ED70">
      <w:pPr>
        <w:rPr>
          <w:rFonts w:cs="Arial"/>
          <w:szCs w:val="24"/>
          <w:lang w:val="en-IN"/>
        </w:rPr>
      </w:pPr>
      <w:r>
        <w:rPr>
          <w:rFonts w:cs="Arial"/>
          <w:szCs w:val="24"/>
          <w:lang w:val="en-IN"/>
        </w:rPr>
        <w:t xml:space="preserve">Cavusgil, S.T., Knight, G. and Riesenberger, J.R. (2023) </w:t>
      </w:r>
      <w:r>
        <w:rPr>
          <w:rFonts w:cs="Arial"/>
          <w:i/>
          <w:iCs/>
          <w:szCs w:val="24"/>
          <w:lang w:val="en-IN"/>
        </w:rPr>
        <w:t>International Business: The New Realities</w:t>
      </w:r>
      <w:r>
        <w:rPr>
          <w:rFonts w:cs="Arial"/>
          <w:szCs w:val="24"/>
          <w:lang w:val="en-IN"/>
        </w:rPr>
        <w:t>. 6th edn. Pearson.</w:t>
      </w:r>
    </w:p>
    <w:p w14:paraId="4822E184">
      <w:pPr>
        <w:rPr>
          <w:rFonts w:cs="Arial"/>
          <w:szCs w:val="24"/>
          <w:lang w:val="en-IN"/>
        </w:rPr>
      </w:pPr>
      <w:r>
        <w:rPr>
          <w:rFonts w:cs="Arial"/>
          <w:szCs w:val="24"/>
          <w:lang w:val="en-IN"/>
        </w:rPr>
        <w:t>Dagsberg, M. and Persson, F. (2025) 'One Size Fits All? A review of how multinational companies adapt their business model to enter emerging markets in Asia successfully.</w:t>
      </w:r>
    </w:p>
    <w:p w14:paraId="7D325A4B">
      <w:pPr>
        <w:rPr>
          <w:rFonts w:cs="Arial"/>
          <w:szCs w:val="24"/>
          <w:lang w:val="en-IN"/>
        </w:rPr>
      </w:pPr>
      <w:r>
        <w:rPr>
          <w:rFonts w:cs="Arial"/>
          <w:szCs w:val="24"/>
          <w:lang w:val="en-IN"/>
        </w:rPr>
        <w:t xml:space="preserve">Dunning, J.H. (2023) </w:t>
      </w:r>
      <w:r>
        <w:rPr>
          <w:rFonts w:cs="Arial"/>
          <w:i/>
          <w:iCs/>
          <w:szCs w:val="24"/>
          <w:lang w:val="en-IN"/>
        </w:rPr>
        <w:t>International Production and the Multinational Enterprise</w:t>
      </w:r>
      <w:r>
        <w:rPr>
          <w:rFonts w:cs="Arial"/>
          <w:szCs w:val="24"/>
          <w:lang w:val="en-IN"/>
        </w:rPr>
        <w:t>. London: Routledge.</w:t>
      </w:r>
    </w:p>
    <w:p w14:paraId="0FBEEB2E">
      <w:pPr>
        <w:rPr>
          <w:rFonts w:cs="Arial"/>
          <w:szCs w:val="24"/>
          <w:lang w:val="en-IN"/>
        </w:rPr>
      </w:pPr>
      <w:r>
        <w:rPr>
          <w:rFonts w:cs="Arial"/>
          <w:szCs w:val="24"/>
          <w:lang w:val="en-IN"/>
        </w:rPr>
        <w:t xml:space="preserve">Gibbs, G. (1988) </w:t>
      </w:r>
      <w:r>
        <w:rPr>
          <w:rFonts w:cs="Arial"/>
          <w:i/>
          <w:iCs/>
          <w:szCs w:val="24"/>
          <w:lang w:val="en-IN"/>
        </w:rPr>
        <w:t>Learning by Doing: A Guide to Teaching and Learning Methods</w:t>
      </w:r>
      <w:r>
        <w:rPr>
          <w:rFonts w:cs="Arial"/>
          <w:szCs w:val="24"/>
          <w:lang w:val="en-IN"/>
        </w:rPr>
        <w:t>. Oxford: Oxford Polytechnic.</w:t>
      </w:r>
    </w:p>
    <w:p w14:paraId="2A5107F9">
      <w:pPr>
        <w:rPr>
          <w:rFonts w:cs="Arial"/>
          <w:szCs w:val="24"/>
        </w:rPr>
      </w:pPr>
      <w:r>
        <w:rPr>
          <w:rFonts w:cs="Arial"/>
          <w:szCs w:val="24"/>
        </w:rPr>
        <w:t xml:space="preserve">Hazzan, S., Amlani, A. and Davis, P. (2025). </w:t>
      </w:r>
      <w:r>
        <w:rPr>
          <w:rFonts w:cs="Arial"/>
          <w:i/>
          <w:iCs/>
          <w:szCs w:val="24"/>
        </w:rPr>
        <w:t>International Business Growth Strategies for Emerging Markets: Creating Sustainable Entrepreneurial Expansion</w:t>
      </w:r>
      <w:r>
        <w:rPr>
          <w:rFonts w:cs="Arial"/>
          <w:szCs w:val="24"/>
        </w:rPr>
        <w:t>. Taylor &amp; Francis.</w:t>
      </w:r>
    </w:p>
    <w:p w14:paraId="01ABA125">
      <w:pPr>
        <w:rPr>
          <w:rFonts w:cs="Arial"/>
          <w:szCs w:val="24"/>
          <w:lang w:val="en-IN"/>
        </w:rPr>
      </w:pPr>
      <w:r>
        <w:rPr>
          <w:rFonts w:cs="Arial"/>
          <w:szCs w:val="24"/>
          <w:lang w:val="en-IN"/>
        </w:rPr>
        <w:t xml:space="preserve">Hennart, J.F. (2022) ‘The rise of multinational enterprises from emerging markets: Internationalisation and location advantages’, </w:t>
      </w:r>
      <w:r>
        <w:rPr>
          <w:rFonts w:cs="Arial"/>
          <w:i/>
          <w:iCs/>
          <w:szCs w:val="24"/>
          <w:lang w:val="en-IN"/>
        </w:rPr>
        <w:t>Journal of International Business Studies</w:t>
      </w:r>
      <w:r>
        <w:rPr>
          <w:rFonts w:cs="Arial"/>
          <w:szCs w:val="24"/>
          <w:lang w:val="en-IN"/>
        </w:rPr>
        <w:t>, 53(6), pp.1050–1067.</w:t>
      </w:r>
    </w:p>
    <w:p w14:paraId="3051B912">
      <w:pPr>
        <w:rPr>
          <w:rFonts w:cs="Arial"/>
          <w:szCs w:val="24"/>
        </w:rPr>
      </w:pPr>
      <w:r>
        <w:rPr>
          <w:rFonts w:cs="Arial"/>
          <w:szCs w:val="24"/>
        </w:rPr>
        <w:t>Hong, T.K. (2025). Guide to Developing an International Marketing Strategy Report.</w:t>
      </w:r>
    </w:p>
    <w:p w14:paraId="4A35BCF6">
      <w:pPr>
        <w:rPr>
          <w:rFonts w:cs="Arial"/>
          <w:szCs w:val="24"/>
        </w:rPr>
      </w:pPr>
      <w:r>
        <w:rPr>
          <w:rFonts w:cs="Arial"/>
          <w:szCs w:val="24"/>
        </w:rPr>
        <w:t>İşiner, R.A. and Aydın, K., (2023). Strategies for Entry to International Markets: The Case of Japanese Companies. </w:t>
      </w:r>
      <w:r>
        <w:rPr>
          <w:rFonts w:cs="Arial"/>
          <w:i/>
          <w:iCs/>
          <w:szCs w:val="24"/>
        </w:rPr>
        <w:t>Turkish Journal of Marketing Research</w:t>
      </w:r>
      <w:r>
        <w:rPr>
          <w:rFonts w:cs="Arial"/>
          <w:szCs w:val="24"/>
        </w:rPr>
        <w:t>, </w:t>
      </w:r>
      <w:r>
        <w:rPr>
          <w:rFonts w:cs="Arial"/>
          <w:i/>
          <w:iCs/>
          <w:szCs w:val="24"/>
        </w:rPr>
        <w:t>2</w:t>
      </w:r>
      <w:r>
        <w:rPr>
          <w:rFonts w:cs="Arial"/>
          <w:szCs w:val="24"/>
        </w:rPr>
        <w:t>(1), pp.40-49.</w:t>
      </w:r>
    </w:p>
    <w:p w14:paraId="0A9EF68C">
      <w:pPr>
        <w:rPr>
          <w:rFonts w:cs="Arial"/>
          <w:szCs w:val="24"/>
          <w:lang w:val="en-IN"/>
        </w:rPr>
      </w:pPr>
      <w:r>
        <w:rPr>
          <w:rFonts w:cs="Arial"/>
          <w:szCs w:val="24"/>
          <w:lang w:val="en-IN"/>
        </w:rPr>
        <w:t xml:space="preserve">Japan Foodservice Association (2024) </w:t>
      </w:r>
      <w:r>
        <w:rPr>
          <w:rFonts w:cs="Arial"/>
          <w:i/>
          <w:iCs/>
          <w:szCs w:val="24"/>
          <w:lang w:val="en-IN"/>
        </w:rPr>
        <w:t>Food Service Industry Trends and Market Data in Japan</w:t>
      </w:r>
      <w:r>
        <w:rPr>
          <w:rFonts w:cs="Arial"/>
          <w:szCs w:val="24"/>
          <w:lang w:val="en-IN"/>
        </w:rPr>
        <w:t>. Tokyo: Japan Foodservice Association.</w:t>
      </w:r>
    </w:p>
    <w:p w14:paraId="0F650FC9">
      <w:pPr>
        <w:rPr>
          <w:rFonts w:cs="Arial"/>
          <w:szCs w:val="24"/>
          <w:lang w:val="en-IN"/>
        </w:rPr>
      </w:pPr>
      <w:r>
        <w:rPr>
          <w:rFonts w:cs="Arial"/>
          <w:szCs w:val="24"/>
          <w:lang w:val="en-IN"/>
        </w:rPr>
        <w:t xml:space="preserve">Kim, J. and Lee, H. (2023) ‘Experiential consumption and consumer engagement in the restaurant industry: Evidence from Asian markets’, </w:t>
      </w:r>
      <w:r>
        <w:rPr>
          <w:rFonts w:cs="Arial"/>
          <w:i/>
          <w:iCs/>
          <w:szCs w:val="24"/>
          <w:lang w:val="en-IN"/>
        </w:rPr>
        <w:t>Journal of Retailing and Consumer Services</w:t>
      </w:r>
      <w:r>
        <w:rPr>
          <w:rFonts w:cs="Arial"/>
          <w:szCs w:val="24"/>
          <w:lang w:val="en-IN"/>
        </w:rPr>
        <w:t>, 72, pp.1–10.</w:t>
      </w:r>
    </w:p>
    <w:p w14:paraId="331B4AF7">
      <w:pPr>
        <w:rPr>
          <w:rFonts w:cs="Arial"/>
          <w:szCs w:val="24"/>
          <w:lang w:val="en-IN"/>
        </w:rPr>
      </w:pPr>
      <w:r>
        <w:rPr>
          <w:rFonts w:cs="Arial"/>
          <w:szCs w:val="24"/>
          <w:lang w:val="en-IN"/>
        </w:rPr>
        <w:t xml:space="preserve">Meyer, K.E., Li, C. and Schotter, A.P.J. (2022) ‘Managing the new realities of international business: Global strategy and institutional adaptation’, </w:t>
      </w:r>
      <w:r>
        <w:rPr>
          <w:rFonts w:cs="Arial"/>
          <w:i/>
          <w:iCs/>
          <w:szCs w:val="24"/>
          <w:lang w:val="en-IN"/>
        </w:rPr>
        <w:t>International Business Review</w:t>
      </w:r>
      <w:r>
        <w:rPr>
          <w:rFonts w:cs="Arial"/>
          <w:szCs w:val="24"/>
          <w:lang w:val="en-IN"/>
        </w:rPr>
        <w:t>, 31(5), pp.101–118.</w:t>
      </w:r>
    </w:p>
    <w:p w14:paraId="3917C15E">
      <w:pPr>
        <w:rPr>
          <w:rFonts w:cs="Arial"/>
          <w:szCs w:val="24"/>
          <w:lang w:val="en-IN"/>
        </w:rPr>
      </w:pPr>
      <w:r>
        <w:rPr>
          <w:rFonts w:cs="Arial"/>
          <w:szCs w:val="24"/>
          <w:lang w:val="en-IN"/>
        </w:rPr>
        <w:t xml:space="preserve">Paul, J. and Feliciano-Cestero, M.M. (2022) ‘Five decades of research on foreign direct investment by MNEs: An overview and research agenda’, </w:t>
      </w:r>
      <w:r>
        <w:rPr>
          <w:rFonts w:cs="Arial"/>
          <w:i/>
          <w:iCs/>
          <w:szCs w:val="24"/>
          <w:lang w:val="en-IN"/>
        </w:rPr>
        <w:t>International Business Review</w:t>
      </w:r>
      <w:r>
        <w:rPr>
          <w:rFonts w:cs="Arial"/>
          <w:szCs w:val="24"/>
          <w:lang w:val="en-IN"/>
        </w:rPr>
        <w:t>, 31(4), pp.1–15.</w:t>
      </w:r>
    </w:p>
    <w:p w14:paraId="5F62129B">
      <w:pPr>
        <w:rPr>
          <w:rFonts w:cs="Arial"/>
          <w:szCs w:val="24"/>
        </w:rPr>
      </w:pPr>
      <w:r>
        <w:rPr>
          <w:rFonts w:cs="Arial"/>
          <w:szCs w:val="24"/>
        </w:rPr>
        <w:t xml:space="preserve">Rahman, A., Rowlinson, S., Xia, B., Mahmood, M.N. and Hubbard, B. (2026) Testing the multinational contracting OLI framework: Australia as a host market. </w:t>
      </w:r>
      <w:r>
        <w:rPr>
          <w:rFonts w:cs="Arial"/>
          <w:i/>
          <w:iCs/>
          <w:szCs w:val="24"/>
        </w:rPr>
        <w:t>Engineering, Construction and Architectural Management</w:t>
      </w:r>
      <w:r>
        <w:rPr>
          <w:rFonts w:cs="Arial"/>
          <w:szCs w:val="24"/>
        </w:rPr>
        <w:t>, </w:t>
      </w:r>
      <w:r>
        <w:rPr>
          <w:rFonts w:cs="Arial"/>
          <w:i/>
          <w:iCs/>
          <w:szCs w:val="24"/>
        </w:rPr>
        <w:t>33</w:t>
      </w:r>
      <w:r>
        <w:rPr>
          <w:rFonts w:cs="Arial"/>
          <w:szCs w:val="24"/>
        </w:rPr>
        <w:t>(8), pp.6464-6488.</w:t>
      </w:r>
    </w:p>
    <w:p w14:paraId="5070ADE2">
      <w:pPr>
        <w:rPr>
          <w:rFonts w:cs="Arial"/>
          <w:szCs w:val="24"/>
        </w:rPr>
      </w:pPr>
      <w:r>
        <w:rPr>
          <w:rFonts w:cs="Arial"/>
          <w:szCs w:val="24"/>
        </w:rPr>
        <w:t xml:space="preserve">Titilope, D.A., Christopher, A.O., Adeoye, O.S. and Ayodeji, G.B. (2023). Macro Environmental Factors and Organisational Performance of Multinational Food and Beverages (F&amp;B) Corporations in Lagos State, Nigeria. </w:t>
      </w:r>
      <w:r>
        <w:rPr>
          <w:rFonts w:cs="Arial"/>
          <w:i/>
          <w:iCs/>
          <w:szCs w:val="24"/>
        </w:rPr>
        <w:t>IAR Journal of Business Management</w:t>
      </w:r>
      <w:r>
        <w:rPr>
          <w:rFonts w:cs="Arial"/>
          <w:szCs w:val="24"/>
        </w:rPr>
        <w:t>, </w:t>
      </w:r>
      <w:r>
        <w:rPr>
          <w:rFonts w:cs="Arial"/>
          <w:i/>
          <w:iCs/>
          <w:szCs w:val="24"/>
        </w:rPr>
        <w:t>4</w:t>
      </w:r>
      <w:r>
        <w:rPr>
          <w:rFonts w:cs="Arial"/>
          <w:szCs w:val="24"/>
        </w:rPr>
        <w:t>, pp.1-7.</w:t>
      </w:r>
    </w:p>
    <w:p w14:paraId="4690E11D">
      <w:pPr>
        <w:rPr>
          <w:rFonts w:cs="Arial"/>
          <w:b/>
          <w:bCs/>
          <w:szCs w:val="24"/>
          <w:lang w:val="en-IN"/>
        </w:rPr>
      </w:pPr>
    </w:p>
    <w:p w14:paraId="3F18F8F7">
      <w:pPr>
        <w:rPr>
          <w:rFonts w:cs="Arial"/>
          <w:szCs w:val="24"/>
          <w:lang w:val="en-IN"/>
        </w:rPr>
      </w:pPr>
    </w:p>
    <w:p w14:paraId="3C13F6FE">
      <w:pPr>
        <w:rPr>
          <w:rFonts w:cs="Arial"/>
          <w:szCs w:val="24"/>
        </w:rPr>
      </w:pPr>
    </w:p>
    <w:sectPr>
      <w:footerReference r:id="rId5" w:type="default"/>
      <w:footerReference r:id="rId6" w:type="even"/>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6"/>
      </w:rPr>
      <w:id w:val="-1208031547"/>
      <w:docPartObj>
        <w:docPartGallery w:val="AutoText"/>
      </w:docPartObj>
    </w:sdtPr>
    <w:sdtEndPr>
      <w:rPr>
        <w:rStyle w:val="16"/>
      </w:rPr>
    </w:sdtEndPr>
    <w:sdtContent>
      <w:p w14:paraId="3A38DCB8">
        <w:pPr>
          <w:pStyle w:val="13"/>
          <w:framePr w:wrap="auto" w:vAnchor="text" w:hAnchor="margin" w:xAlign="right" w:y="1"/>
          <w:rPr>
            <w:rStyle w:val="16"/>
          </w:rPr>
        </w:pPr>
        <w:r>
          <w:rPr>
            <w:rStyle w:val="16"/>
          </w:rPr>
          <w:fldChar w:fldCharType="begin"/>
        </w:r>
        <w:r>
          <w:rPr>
            <w:rStyle w:val="16"/>
          </w:rPr>
          <w:instrText xml:space="preserve"> PAGE </w:instrText>
        </w:r>
        <w:r>
          <w:rPr>
            <w:rStyle w:val="16"/>
          </w:rPr>
          <w:fldChar w:fldCharType="separate"/>
        </w:r>
        <w:r>
          <w:rPr>
            <w:rStyle w:val="16"/>
          </w:rPr>
          <w:t>20</w:t>
        </w:r>
        <w:r>
          <w:rPr>
            <w:rStyle w:val="16"/>
          </w:rPr>
          <w:fldChar w:fldCharType="end"/>
        </w:r>
      </w:p>
    </w:sdtContent>
  </w:sdt>
  <w:p w14:paraId="32784AF9">
    <w:pPr>
      <w:pStyle w:val="13"/>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6"/>
      </w:rPr>
      <w:id w:val="1814602104"/>
      <w:docPartObj>
        <w:docPartGallery w:val="AutoText"/>
      </w:docPartObj>
    </w:sdtPr>
    <w:sdtEndPr>
      <w:rPr>
        <w:rStyle w:val="16"/>
      </w:rPr>
    </w:sdtEndPr>
    <w:sdtContent>
      <w:p w14:paraId="2AEFA172">
        <w:pPr>
          <w:pStyle w:val="13"/>
          <w:framePr w:wrap="auto" w:vAnchor="text" w:hAnchor="margin" w:xAlign="right" w:y="1"/>
          <w:rPr>
            <w:rStyle w:val="16"/>
          </w:rPr>
        </w:pPr>
        <w:r>
          <w:rPr>
            <w:rStyle w:val="16"/>
          </w:rPr>
          <w:fldChar w:fldCharType="begin"/>
        </w:r>
        <w:r>
          <w:rPr>
            <w:rStyle w:val="16"/>
          </w:rPr>
          <w:instrText xml:space="preserve"> PAGE </w:instrText>
        </w:r>
        <w:r>
          <w:rPr>
            <w:rStyle w:val="16"/>
          </w:rPr>
          <w:fldChar w:fldCharType="separate"/>
        </w:r>
        <w:r>
          <w:rPr>
            <w:rStyle w:val="16"/>
          </w:rPr>
          <w:fldChar w:fldCharType="end"/>
        </w:r>
      </w:p>
    </w:sdtContent>
  </w:sdt>
  <w:p w14:paraId="46116429">
    <w:pPr>
      <w:pStyle w:val="13"/>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DC0B23"/>
    <w:multiLevelType w:val="multilevel"/>
    <w:tmpl w:val="3CDC0B2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5452"/>
    <w:rsid w:val="0005466B"/>
    <w:rsid w:val="00080EC6"/>
    <w:rsid w:val="00196D3A"/>
    <w:rsid w:val="001E1D86"/>
    <w:rsid w:val="00275DCE"/>
    <w:rsid w:val="002816FD"/>
    <w:rsid w:val="0028470D"/>
    <w:rsid w:val="002A24A5"/>
    <w:rsid w:val="002C7EBA"/>
    <w:rsid w:val="00304788"/>
    <w:rsid w:val="00340703"/>
    <w:rsid w:val="00362A27"/>
    <w:rsid w:val="00364497"/>
    <w:rsid w:val="003C3477"/>
    <w:rsid w:val="00453CFD"/>
    <w:rsid w:val="004F2794"/>
    <w:rsid w:val="00527E92"/>
    <w:rsid w:val="0055739D"/>
    <w:rsid w:val="005863CA"/>
    <w:rsid w:val="005B3124"/>
    <w:rsid w:val="005C2707"/>
    <w:rsid w:val="00625EDB"/>
    <w:rsid w:val="0063515B"/>
    <w:rsid w:val="00650E06"/>
    <w:rsid w:val="00680152"/>
    <w:rsid w:val="006B5154"/>
    <w:rsid w:val="006D057F"/>
    <w:rsid w:val="006E20EB"/>
    <w:rsid w:val="00774EEA"/>
    <w:rsid w:val="007A6EA5"/>
    <w:rsid w:val="007D2577"/>
    <w:rsid w:val="008878AB"/>
    <w:rsid w:val="008D6DD0"/>
    <w:rsid w:val="0091330D"/>
    <w:rsid w:val="00945E92"/>
    <w:rsid w:val="009D4ADA"/>
    <w:rsid w:val="00A14588"/>
    <w:rsid w:val="00A350CF"/>
    <w:rsid w:val="00A478C0"/>
    <w:rsid w:val="00A670BE"/>
    <w:rsid w:val="00AC4D84"/>
    <w:rsid w:val="00AF5720"/>
    <w:rsid w:val="00B34F41"/>
    <w:rsid w:val="00B377BA"/>
    <w:rsid w:val="00B647AE"/>
    <w:rsid w:val="00B67CB7"/>
    <w:rsid w:val="00BE61F6"/>
    <w:rsid w:val="00C97319"/>
    <w:rsid w:val="00CC5195"/>
    <w:rsid w:val="00CE499E"/>
    <w:rsid w:val="00D95452"/>
    <w:rsid w:val="00DE06F2"/>
    <w:rsid w:val="00ED5129"/>
    <w:rsid w:val="00F126C7"/>
    <w:rsid w:val="00F234AC"/>
    <w:rsid w:val="00F44D06"/>
    <w:rsid w:val="00F61FA8"/>
    <w:rsid w:val="00F63C1B"/>
    <w:rsid w:val="069426C0"/>
  </w:rsids>
  <m:mathPr>
    <m:mathFont m:val="Cambria Math"/>
    <m:brkBin m:val="before"/>
    <m:brkBinSub m:val="--"/>
    <m:smallFrac m:val="1"/>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2"/>
      <w:sz w:val="24"/>
      <w:szCs w:val="22"/>
      <w:lang w:val="en-GB" w:eastAsia="en-US" w:bidi="ar-SA"/>
    </w:rPr>
  </w:style>
  <w:style w:type="paragraph" w:styleId="2">
    <w:name w:val="heading 1"/>
    <w:basedOn w:val="1"/>
    <w:next w:val="1"/>
    <w:link w:val="23"/>
    <w:qFormat/>
    <w:uiPriority w:val="9"/>
    <w:pPr>
      <w:keepNext/>
      <w:keepLines/>
      <w:spacing w:before="360" w:after="80"/>
      <w:outlineLvl w:val="0"/>
    </w:pPr>
    <w:rPr>
      <w:rFonts w:cs="Arial" w:eastAsiaTheme="majorEastAsia"/>
      <w:b/>
      <w:color w:val="000000" w:themeColor="text1"/>
      <w:sz w:val="28"/>
      <w:szCs w:val="44"/>
      <w14:textFill>
        <w14:solidFill>
          <w14:schemeClr w14:val="tx1"/>
        </w14:solidFill>
      </w14:textFill>
    </w:rPr>
  </w:style>
  <w:style w:type="paragraph" w:styleId="3">
    <w:name w:val="heading 2"/>
    <w:basedOn w:val="1"/>
    <w:next w:val="1"/>
    <w:link w:val="22"/>
    <w:unhideWhenUsed/>
    <w:qFormat/>
    <w:uiPriority w:val="9"/>
    <w:pPr>
      <w:keepNext/>
      <w:keepLines/>
      <w:spacing w:before="200" w:after="0"/>
      <w:outlineLvl w:val="1"/>
    </w:pPr>
    <w:rPr>
      <w:rFonts w:eastAsiaTheme="majorEastAsia" w:cstheme="majorBidi"/>
      <w:b/>
      <w:bCs/>
      <w:color w:val="000000" w:themeColor="text1"/>
      <w:szCs w:val="26"/>
      <w14:textFill>
        <w14:solidFill>
          <w14:schemeClr w14:val="tx1"/>
        </w14:solidFill>
      </w14:textFill>
    </w:rPr>
  </w:style>
  <w:style w:type="paragraph" w:styleId="4">
    <w:name w:val="heading 3"/>
    <w:basedOn w:val="1"/>
    <w:next w:val="1"/>
    <w:link w:val="24"/>
    <w:unhideWhenUsed/>
    <w:qFormat/>
    <w:uiPriority w:val="9"/>
    <w:pPr>
      <w:keepNext/>
      <w:keepLines/>
      <w:spacing w:before="160" w:after="80"/>
      <w:outlineLvl w:val="2"/>
    </w:pPr>
    <w:rPr>
      <w:rFonts w:ascii="Times New Roman" w:hAnsi="Times New Roman" w:eastAsiaTheme="majorEastAsia" w:cstheme="majorBidi"/>
      <w:b/>
      <w:color w:val="000000" w:themeColor="text1"/>
      <w:szCs w:val="28"/>
      <w14:textFill>
        <w14:solidFill>
          <w14:schemeClr w14:val="tx1"/>
        </w14:solidFill>
      </w14:textFill>
    </w:rPr>
  </w:style>
  <w:style w:type="paragraph" w:styleId="5">
    <w:name w:val="heading 4"/>
    <w:basedOn w:val="1"/>
    <w:next w:val="1"/>
    <w:link w:val="25"/>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7"/>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43"/>
    <w:unhideWhenUsed/>
    <w:uiPriority w:val="99"/>
    <w:pPr>
      <w:tabs>
        <w:tab w:val="center" w:pos="4513"/>
        <w:tab w:val="right" w:pos="9026"/>
      </w:tabs>
      <w:spacing w:after="0" w:line="240" w:lineRule="auto"/>
    </w:pPr>
  </w:style>
  <w:style w:type="paragraph" w:styleId="14">
    <w:name w:val="header"/>
    <w:basedOn w:val="1"/>
    <w:link w:val="42"/>
    <w:unhideWhenUsed/>
    <w:qFormat/>
    <w:uiPriority w:val="99"/>
    <w:pPr>
      <w:tabs>
        <w:tab w:val="center" w:pos="4513"/>
        <w:tab w:val="right" w:pos="9026"/>
      </w:tabs>
      <w:spacing w:after="0" w:line="240" w:lineRule="auto"/>
    </w:pPr>
  </w:style>
  <w:style w:type="character" w:styleId="15">
    <w:name w:val="Hyperlink"/>
    <w:basedOn w:val="11"/>
    <w:unhideWhenUsed/>
    <w:qFormat/>
    <w:uiPriority w:val="99"/>
    <w:rPr>
      <w:color w:val="0563C1" w:themeColor="hyperlink"/>
      <w:u w:val="single"/>
      <w14:textFill>
        <w14:solidFill>
          <w14:schemeClr w14:val="hlink"/>
        </w14:solidFill>
      </w14:textFill>
    </w:rPr>
  </w:style>
  <w:style w:type="character" w:styleId="16">
    <w:name w:val="page number"/>
    <w:basedOn w:val="11"/>
    <w:semiHidden/>
    <w:unhideWhenUsed/>
    <w:uiPriority w:val="99"/>
  </w:style>
  <w:style w:type="paragraph" w:styleId="17">
    <w:name w:val="Subtitle"/>
    <w:basedOn w:val="1"/>
    <w:next w:val="1"/>
    <w:link w:val="32"/>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qFormat/>
    <w:uiPriority w:val="39"/>
    <w:pPr>
      <w:spacing w:after="100"/>
      <w:ind w:left="220"/>
    </w:pPr>
  </w:style>
  <w:style w:type="paragraph" w:styleId="21">
    <w:name w:val="toc 3"/>
    <w:basedOn w:val="1"/>
    <w:next w:val="1"/>
    <w:autoRedefine/>
    <w:unhideWhenUsed/>
    <w:qFormat/>
    <w:uiPriority w:val="39"/>
    <w:pPr>
      <w:spacing w:after="100"/>
      <w:ind w:left="440"/>
    </w:pPr>
  </w:style>
  <w:style w:type="character" w:customStyle="1" w:styleId="22">
    <w:name w:val="Heading 2 Char"/>
    <w:basedOn w:val="11"/>
    <w:link w:val="3"/>
    <w:qFormat/>
    <w:uiPriority w:val="9"/>
    <w:rPr>
      <w:rFonts w:ascii="Arial" w:hAnsi="Arial" w:eastAsiaTheme="majorEastAsia" w:cstheme="majorBidi"/>
      <w:b/>
      <w:bCs/>
      <w:color w:val="000000" w:themeColor="text1"/>
      <w:sz w:val="24"/>
      <w:szCs w:val="26"/>
      <w:lang w:val="en-GB"/>
      <w14:textFill>
        <w14:solidFill>
          <w14:schemeClr w14:val="tx1"/>
        </w14:solidFill>
      </w14:textFill>
    </w:rPr>
  </w:style>
  <w:style w:type="character" w:customStyle="1" w:styleId="23">
    <w:name w:val="Heading 1 Char"/>
    <w:basedOn w:val="11"/>
    <w:link w:val="2"/>
    <w:qFormat/>
    <w:uiPriority w:val="9"/>
    <w:rPr>
      <w:rFonts w:ascii="Arial" w:hAnsi="Arial" w:cs="Arial" w:eastAsiaTheme="majorEastAsia"/>
      <w:b/>
      <w:color w:val="000000" w:themeColor="text1"/>
      <w:sz w:val="28"/>
      <w:szCs w:val="44"/>
      <w:lang w:val="en-GB"/>
      <w14:textFill>
        <w14:solidFill>
          <w14:schemeClr w14:val="tx1"/>
        </w14:solidFill>
      </w14:textFill>
    </w:rPr>
  </w:style>
  <w:style w:type="character" w:customStyle="1" w:styleId="24">
    <w:name w:val="Heading 3 Char"/>
    <w:basedOn w:val="11"/>
    <w:link w:val="4"/>
    <w:qFormat/>
    <w:uiPriority w:val="9"/>
    <w:rPr>
      <w:rFonts w:ascii="Times New Roman" w:hAnsi="Times New Roman" w:eastAsiaTheme="majorEastAsia" w:cstheme="majorBidi"/>
      <w:b/>
      <w:color w:val="000000" w:themeColor="text1"/>
      <w:sz w:val="24"/>
      <w:szCs w:val="28"/>
      <w:lang w:val="en-GB"/>
      <w14:textFill>
        <w14:solidFill>
          <w14:schemeClr w14:val="tx1"/>
        </w14:solidFill>
      </w14:textFill>
    </w:rPr>
  </w:style>
  <w:style w:type="character" w:customStyle="1" w:styleId="25">
    <w:name w:val="Heading 4 Char"/>
    <w:basedOn w:val="11"/>
    <w:link w:val="5"/>
    <w:semiHidden/>
    <w:uiPriority w:val="9"/>
    <w:rPr>
      <w:rFonts w:eastAsiaTheme="majorEastAsia" w:cstheme="majorBidi"/>
      <w:i/>
      <w:iCs/>
      <w:color w:val="2F5597" w:themeColor="accent1" w:themeShade="BF"/>
      <w:lang w:val="en-GB"/>
    </w:rPr>
  </w:style>
  <w:style w:type="character" w:customStyle="1" w:styleId="26">
    <w:name w:val="Heading 5 Char"/>
    <w:basedOn w:val="11"/>
    <w:link w:val="6"/>
    <w:semiHidden/>
    <w:qFormat/>
    <w:uiPriority w:val="9"/>
    <w:rPr>
      <w:rFonts w:eastAsiaTheme="majorEastAsia" w:cstheme="majorBidi"/>
      <w:color w:val="2F5597" w:themeColor="accent1" w:themeShade="BF"/>
      <w:lang w:val="en-GB"/>
    </w:rPr>
  </w:style>
  <w:style w:type="character" w:customStyle="1" w:styleId="27">
    <w:name w:val="Heading 6 Char"/>
    <w:basedOn w:val="11"/>
    <w:link w:val="7"/>
    <w:semiHidden/>
    <w:qFormat/>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28">
    <w:name w:val="Heading 7 Char"/>
    <w:basedOn w:val="11"/>
    <w:link w:val="8"/>
    <w:semiHidden/>
    <w:qFormat/>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29">
    <w:name w:val="Heading 8 Char"/>
    <w:basedOn w:val="11"/>
    <w:link w:val="9"/>
    <w:semiHidden/>
    <w:qFormat/>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30">
    <w:name w:val="Heading 9 Char"/>
    <w:basedOn w:val="11"/>
    <w:link w:val="10"/>
    <w:semiHidden/>
    <w:qFormat/>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1">
    <w:name w:val="Title Char"/>
    <w:basedOn w:val="11"/>
    <w:link w:val="18"/>
    <w:qFormat/>
    <w:uiPriority w:val="10"/>
    <w:rPr>
      <w:rFonts w:asciiTheme="majorHAnsi" w:hAnsiTheme="majorHAnsi" w:eastAsiaTheme="majorEastAsia" w:cstheme="majorBidi"/>
      <w:spacing w:val="-10"/>
      <w:kern w:val="28"/>
      <w:sz w:val="56"/>
      <w:szCs w:val="56"/>
      <w:lang w:val="en-GB"/>
    </w:rPr>
  </w:style>
  <w:style w:type="character" w:customStyle="1" w:styleId="32">
    <w:name w:val="Subtitle Char"/>
    <w:basedOn w:val="11"/>
    <w:link w:val="17"/>
    <w:qFormat/>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qFormat/>
    <w:uiPriority w:val="29"/>
    <w:rPr>
      <w:i/>
      <w:iCs/>
      <w:color w:val="404040" w:themeColor="text1" w:themeTint="BF"/>
      <w:lang w:val="en-GB"/>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Intense Emphasis"/>
    <w:basedOn w:val="11"/>
    <w:qFormat/>
    <w:uiPriority w:val="21"/>
    <w:rPr>
      <w:i/>
      <w:iCs/>
      <w:color w:val="2F5597" w:themeColor="accent1" w:themeShade="BF"/>
    </w:rPr>
  </w:style>
  <w:style w:type="paragraph" w:styleId="37">
    <w:name w:val="Intense Quote"/>
    <w:basedOn w:val="1"/>
    <w:next w:val="1"/>
    <w:link w:val="38"/>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8">
    <w:name w:val="Intense Quote Char"/>
    <w:basedOn w:val="11"/>
    <w:link w:val="37"/>
    <w:qFormat/>
    <w:uiPriority w:val="30"/>
    <w:rPr>
      <w:i/>
      <w:iCs/>
      <w:color w:val="2F5597" w:themeColor="accent1" w:themeShade="BF"/>
      <w:lang w:val="en-GB"/>
    </w:rPr>
  </w:style>
  <w:style w:type="character" w:customStyle="1" w:styleId="39">
    <w:name w:val="Intense Reference"/>
    <w:basedOn w:val="11"/>
    <w:qFormat/>
    <w:uiPriority w:val="32"/>
    <w:rPr>
      <w:b/>
      <w:bCs/>
      <w:smallCaps/>
      <w:color w:val="2F5597" w:themeColor="accent1" w:themeShade="BF"/>
      <w:spacing w:val="5"/>
    </w:rPr>
  </w:style>
  <w:style w:type="character" w:customStyle="1" w:styleId="40">
    <w:name w:val="Unresolved Mention"/>
    <w:basedOn w:val="11"/>
    <w:semiHidden/>
    <w:unhideWhenUsed/>
    <w:qFormat/>
    <w:uiPriority w:val="99"/>
    <w:rPr>
      <w:color w:val="605E5C"/>
      <w:shd w:val="clear" w:color="auto" w:fill="E1DFDD"/>
    </w:rPr>
  </w:style>
  <w:style w:type="paragraph" w:customStyle="1" w:styleId="41">
    <w:name w:val="TOC Heading"/>
    <w:basedOn w:val="2"/>
    <w:next w:val="1"/>
    <w:unhideWhenUsed/>
    <w:qFormat/>
    <w:uiPriority w:val="39"/>
    <w:pPr>
      <w:spacing w:before="240" w:after="0" w:line="259" w:lineRule="auto"/>
      <w:jc w:val="left"/>
      <w:outlineLvl w:val="9"/>
    </w:pPr>
    <w:rPr>
      <w:rFonts w:asciiTheme="majorHAnsi" w:hAnsiTheme="majorHAnsi"/>
      <w:b w:val="0"/>
      <w:color w:val="2F5597" w:themeColor="accent1" w:themeShade="BF"/>
      <w:kern w:val="0"/>
      <w:sz w:val="32"/>
      <w:szCs w:val="32"/>
      <w:lang w:val="en-US"/>
    </w:rPr>
  </w:style>
  <w:style w:type="character" w:customStyle="1" w:styleId="42">
    <w:name w:val="Header Char"/>
    <w:basedOn w:val="11"/>
    <w:link w:val="14"/>
    <w:uiPriority w:val="99"/>
    <w:rPr>
      <w:rFonts w:ascii="Arial" w:hAnsi="Arial"/>
      <w:sz w:val="24"/>
      <w:lang w:val="en-GB"/>
    </w:rPr>
  </w:style>
  <w:style w:type="character" w:customStyle="1" w:styleId="43">
    <w:name w:val="Footer Char"/>
    <w:basedOn w:val="11"/>
    <w:link w:val="13"/>
    <w:uiPriority w:val="99"/>
    <w:rPr>
      <w:rFonts w:ascii="Arial" w:hAnsi="Arial"/>
      <w:sz w:val="24"/>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25</Pages>
  <Words>6297</Words>
  <Characters>37734</Characters>
  <Lines>325</Lines>
  <Paragraphs>91</Paragraphs>
  <TotalTime>3</TotalTime>
  <ScaleCrop>false</ScaleCrop>
  <LinksUpToDate>false</LinksUpToDate>
  <CharactersWithSpaces>43941</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2026-07-18T12:13:00Z</dcterms:created>
  <dcterms:modified xsi:type="dcterms:W3CDTF">2026-08-12T14:09:04Z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eyJoZGlkIjoiZWI0MWYxNTMxMTVhYzdmZjZhZmFjYWNiMTg2NzZmMDciLCJ1c2VySWQiOiIzODQ4MjkxOTg3ODQyIn0=</vt:lpwstr>
  </property>
  <property fmtid="{D5CDD505-2E9C-101B-9397-08002B2CF9AE}" pid="3" name="KSOProductBuildVer">
    <vt:lpwstr>1033-12.1.0.28032</vt:lpwstr>
  </property>
  <property fmtid="{D5CDD505-2E9C-101B-9397-08002B2CF9AE}" pid="4" name="ICV">
    <vt:lpwstr>F2B368AADE7748EFBEC0FCFBE4C91A4A_13</vt:lpwstr>
  </property>
</Properties>
</file>