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C56DDC4" w14:textId="77777777" w:rsidR="002C47A4" w:rsidRPr="00126D54" w:rsidRDefault="002C47A4" w:rsidP="002C47A4">
      <w:pPr>
        <w:jc w:val="center"/>
        <w:rPr>
          <w:rFonts w:cs="Times New Roman"/>
          <w:b/>
          <w:bCs/>
          <w:szCs w:val="24"/>
        </w:rPr>
      </w:pPr>
    </w:p>
    <w:p w14:paraId="0B868EEF" w14:textId="77777777" w:rsidR="002C47A4" w:rsidRPr="00126D54" w:rsidRDefault="002C47A4" w:rsidP="002C47A4">
      <w:pPr>
        <w:jc w:val="center"/>
        <w:rPr>
          <w:rFonts w:cs="Times New Roman"/>
          <w:b/>
          <w:bCs/>
          <w:szCs w:val="24"/>
        </w:rPr>
      </w:pPr>
    </w:p>
    <w:p w14:paraId="44261B6D" w14:textId="77777777" w:rsidR="002C47A4" w:rsidRPr="00126D54" w:rsidRDefault="002C47A4" w:rsidP="002C47A4">
      <w:pPr>
        <w:jc w:val="center"/>
        <w:rPr>
          <w:rFonts w:cs="Times New Roman"/>
          <w:b/>
          <w:bCs/>
          <w:szCs w:val="24"/>
        </w:rPr>
      </w:pPr>
    </w:p>
    <w:p w14:paraId="04F6EBB5" w14:textId="77777777" w:rsidR="002C47A4" w:rsidRPr="00126D54" w:rsidRDefault="002C47A4" w:rsidP="002C47A4">
      <w:pPr>
        <w:jc w:val="center"/>
        <w:rPr>
          <w:rFonts w:cs="Times New Roman"/>
          <w:b/>
          <w:bCs/>
          <w:szCs w:val="24"/>
        </w:rPr>
      </w:pPr>
    </w:p>
    <w:p w14:paraId="0FBD40B2" w14:textId="77777777" w:rsidR="002C47A4" w:rsidRPr="00126D54" w:rsidRDefault="002C47A4" w:rsidP="002C47A4">
      <w:pPr>
        <w:jc w:val="center"/>
        <w:rPr>
          <w:rFonts w:cs="Times New Roman"/>
          <w:b/>
          <w:bCs/>
          <w:szCs w:val="24"/>
        </w:rPr>
      </w:pPr>
    </w:p>
    <w:p w14:paraId="6A679A25" w14:textId="77777777" w:rsidR="002C47A4" w:rsidRPr="00126D54" w:rsidRDefault="002C47A4" w:rsidP="002C47A4">
      <w:pPr>
        <w:jc w:val="center"/>
        <w:rPr>
          <w:rFonts w:cs="Times New Roman"/>
          <w:b/>
          <w:bCs/>
          <w:szCs w:val="24"/>
        </w:rPr>
      </w:pPr>
    </w:p>
    <w:p w14:paraId="23916119" w14:textId="77777777" w:rsidR="002C47A4" w:rsidRPr="000108D1" w:rsidRDefault="002C47A4" w:rsidP="002C47A4">
      <w:pPr>
        <w:jc w:val="center"/>
        <w:rPr>
          <w:rFonts w:cs="Times New Roman"/>
          <w:b/>
          <w:bCs/>
          <w:sz w:val="32"/>
          <w:szCs w:val="32"/>
        </w:rPr>
      </w:pPr>
      <w:bookmarkStart w:id="0" w:name="_GoBack"/>
      <w:r w:rsidRPr="000108D1">
        <w:rPr>
          <w:rFonts w:cs="Times New Roman"/>
          <w:b/>
          <w:bCs/>
          <w:sz w:val="32"/>
          <w:szCs w:val="32"/>
        </w:rPr>
        <w:t>LCBB4001</w:t>
      </w:r>
    </w:p>
    <w:p w14:paraId="1B46C5E4" w14:textId="77777777" w:rsidR="002C47A4" w:rsidRPr="000108D1" w:rsidRDefault="002C47A4" w:rsidP="002C47A4">
      <w:pPr>
        <w:jc w:val="center"/>
        <w:rPr>
          <w:rFonts w:cs="Times New Roman"/>
          <w:b/>
          <w:bCs/>
          <w:sz w:val="32"/>
          <w:szCs w:val="32"/>
        </w:rPr>
      </w:pPr>
      <w:r w:rsidRPr="000108D1">
        <w:rPr>
          <w:rFonts w:cs="Times New Roman"/>
          <w:b/>
          <w:bCs/>
          <w:sz w:val="32"/>
          <w:szCs w:val="32"/>
        </w:rPr>
        <w:t>Accounting Fundamentals Assessment 1</w:t>
      </w:r>
    </w:p>
    <w:bookmarkEnd w:id="0"/>
    <w:p w14:paraId="4D4A9396" w14:textId="7FCDEE99" w:rsidR="002C47A4" w:rsidRDefault="002C47A4" w:rsidP="002A6DDF">
      <w:pPr>
        <w:jc w:val="left"/>
        <w:rPr>
          <w:rFonts w:cs="Times New Roman"/>
          <w:b/>
          <w:bCs/>
          <w:szCs w:val="24"/>
        </w:rPr>
      </w:pPr>
    </w:p>
    <w:p w14:paraId="1A476C8E" w14:textId="6231755A" w:rsidR="002A6DDF" w:rsidRDefault="002A6DDF" w:rsidP="002A6DDF">
      <w:pPr>
        <w:jc w:val="center"/>
        <w:rPr>
          <w:rFonts w:cs="Times New Roman"/>
          <w:b/>
          <w:bCs/>
          <w:szCs w:val="24"/>
        </w:rPr>
      </w:pPr>
      <w:r>
        <w:rPr>
          <w:rFonts w:cs="Times New Roman"/>
          <w:b/>
          <w:bCs/>
          <w:szCs w:val="24"/>
        </w:rPr>
        <w:t>Student ID:</w:t>
      </w:r>
      <w:r w:rsidR="0056166F">
        <w:rPr>
          <w:rFonts w:cs="Times New Roman"/>
          <w:b/>
          <w:bCs/>
          <w:szCs w:val="24"/>
        </w:rPr>
        <w:t xml:space="preserve"> 1912953</w:t>
      </w:r>
    </w:p>
    <w:p w14:paraId="12E2526B" w14:textId="1E6FFBCD" w:rsidR="002A6DDF" w:rsidRPr="00126D54" w:rsidRDefault="002A6DDF" w:rsidP="002A6DDF">
      <w:pPr>
        <w:jc w:val="center"/>
        <w:rPr>
          <w:rFonts w:cs="Times New Roman"/>
          <w:b/>
          <w:bCs/>
          <w:szCs w:val="24"/>
        </w:rPr>
      </w:pPr>
      <w:r>
        <w:rPr>
          <w:rFonts w:cs="Times New Roman"/>
          <w:b/>
          <w:bCs/>
          <w:szCs w:val="24"/>
        </w:rPr>
        <w:t>Student Name:</w:t>
      </w:r>
      <w:r w:rsidR="0056166F">
        <w:rPr>
          <w:rFonts w:cs="Times New Roman"/>
          <w:b/>
          <w:bCs/>
          <w:szCs w:val="24"/>
        </w:rPr>
        <w:t xml:space="preserve"> Tatyana Nikolova</w:t>
      </w:r>
    </w:p>
    <w:p w14:paraId="09F0EF90" w14:textId="77777777" w:rsidR="000535BA" w:rsidRPr="002A6DDF" w:rsidRDefault="002C47A4" w:rsidP="00126D54">
      <w:pPr>
        <w:pStyle w:val="Heading1"/>
        <w:rPr>
          <w:rFonts w:ascii="Arial" w:hAnsi="Arial" w:cs="Arial"/>
        </w:rPr>
      </w:pPr>
      <w:r w:rsidRPr="00126D54">
        <w:br w:type="column"/>
      </w:r>
      <w:bookmarkStart w:id="1" w:name="_Toc55714975"/>
      <w:r w:rsidR="000535BA" w:rsidRPr="002A6DDF">
        <w:rPr>
          <w:rFonts w:ascii="Arial" w:hAnsi="Arial" w:cs="Arial"/>
        </w:rPr>
        <w:lastRenderedPageBreak/>
        <w:t>Introduction</w:t>
      </w:r>
      <w:bookmarkEnd w:id="1"/>
    </w:p>
    <w:p w14:paraId="550CC40A" w14:textId="49965A79" w:rsidR="00816128" w:rsidRPr="002A6DDF" w:rsidRDefault="00816128" w:rsidP="00816128">
      <w:pPr>
        <w:rPr>
          <w:rFonts w:ascii="Arial" w:hAnsi="Arial" w:cs="Arial"/>
        </w:rPr>
      </w:pPr>
      <w:r w:rsidRPr="002A6DDF">
        <w:rPr>
          <w:rFonts w:ascii="Arial" w:hAnsi="Arial" w:cs="Arial"/>
        </w:rPr>
        <w:t>The moment a business with hope, which has hope, starts a business, the workplace is filled with energy, excitement and unusual assumptions. Workers are hired to pick up the phones and sales representatives sell. The owner buys raw materials and the labor force makes the items. The reason for accounting is to provide monetary data to business partners: the board, speculators and credit bosses. Accounting measures and summarizes the exercises of the organization and transmits the results to the board and other invested persons. Administrators need accurate and convenient monetary information to deal with ridiculous choices, and accountants are the ones who provide this data. As the accounting cycle gathers information and presents it in different types of reports, accountants help to understand the implications of the reports and suggest approaches for using these subtleties to deal with business problems (Needles, 2012).</w:t>
      </w:r>
    </w:p>
    <w:p w14:paraId="65C984A1" w14:textId="77777777" w:rsidR="00816128" w:rsidRPr="002A6DDF" w:rsidRDefault="00816128" w:rsidP="00816128">
      <w:pPr>
        <w:rPr>
          <w:rFonts w:ascii="Arial" w:hAnsi="Arial" w:cs="Arial"/>
        </w:rPr>
      </w:pPr>
      <w:r w:rsidRPr="002A6DDF">
        <w:rPr>
          <w:rFonts w:ascii="Arial" w:hAnsi="Arial" w:cs="Arial"/>
        </w:rPr>
        <w:t>Accounting can be organized in two structures: executive and monetary. On-board accounting helps keep a business going, while cash accounting covers how well it works. Administrative accounting prepares internal reports, which are intended for the board and are used for dynamic. These reports are modified and adapted to the specific goals and needs of individual managers and are not usually made available to parties outside the organization. Several cases of managers' accounts are the maturity of receivables, inventory levels, monthly transactions and the status of liabilities. Internal accounting reports are additionally used for planning cost plans and dimensions.</w:t>
      </w:r>
    </w:p>
    <w:p w14:paraId="7B23110B" w14:textId="14802E0A" w:rsidR="000535BA" w:rsidRPr="002A6DDF" w:rsidRDefault="00816128" w:rsidP="00816128">
      <w:pPr>
        <w:rPr>
          <w:rFonts w:ascii="Arial" w:hAnsi="Arial" w:cs="Arial"/>
        </w:rPr>
      </w:pPr>
      <w:r w:rsidRPr="002A6DDF">
        <w:rPr>
          <w:rFonts w:ascii="Arial" w:hAnsi="Arial" w:cs="Arial"/>
        </w:rPr>
        <w:t xml:space="preserve">Maintaining a business requires accurate information about the resources, liabilities, benefits and financial condition of the organization. Accounting provides these basic data. Accounting does a great job of assessing the appropriateness of speculation. Appropriate thought for speculation requires careful study of costs and forecasts of assumptions about future income. For example, certain standards that address barriers to profitability must be met. Consider the choices that directors regularly make about whether to invest in another plant or expand existing offices. A solution could be to withdraw $ 1 million from another creation office or burn $ 300,000 to develop a creation line. Initially, each eligible person will have a distinctive cash jump and variable future cash flows. Each approach will have an alternative rate of return. In general, who should choose the board? The </w:t>
      </w:r>
      <w:r w:rsidRPr="002A6DDF">
        <w:rPr>
          <w:rFonts w:ascii="Arial" w:hAnsi="Arial" w:cs="Arial"/>
        </w:rPr>
        <w:lastRenderedPageBreak/>
        <w:t>organization's accountants will break down the numbers for each speculation, establish the rate of return for each endeavor, and present their findings to executives, as suggested by Britton (2015). This is where the accounting methodology creates the relevant monetary information that the administration must establish in a reasonable choice. They must also explore different approaches to support these speculations. Elections must be constantly sponsored with legitimate raw numbers.</w:t>
      </w:r>
    </w:p>
    <w:p w14:paraId="0B51D9DF" w14:textId="77777777" w:rsidR="000535BA" w:rsidRPr="002A6DDF" w:rsidRDefault="000535BA" w:rsidP="000535BA">
      <w:pPr>
        <w:pStyle w:val="NormalWeb"/>
        <w:spacing w:before="0" w:beforeAutospacing="0" w:after="0" w:afterAutospacing="0"/>
        <w:rPr>
          <w:rFonts w:ascii="Arial" w:hAnsi="Arial" w:cs="Arial"/>
          <w:color w:val="0E101A"/>
        </w:rPr>
      </w:pPr>
    </w:p>
    <w:p w14:paraId="5CBCD59A" w14:textId="77777777" w:rsidR="00126D54" w:rsidRPr="002A6DDF" w:rsidRDefault="000535BA" w:rsidP="000535BA">
      <w:pPr>
        <w:pStyle w:val="Heading2"/>
        <w:spacing w:before="0"/>
        <w:rPr>
          <w:rStyle w:val="Strong"/>
          <w:rFonts w:ascii="Arial" w:hAnsi="Arial" w:cs="Arial"/>
          <w:b/>
          <w:bCs/>
          <w:color w:val="0E101A"/>
          <w:sz w:val="24"/>
          <w:szCs w:val="24"/>
        </w:rPr>
      </w:pPr>
      <w:r w:rsidRPr="002A6DDF">
        <w:rPr>
          <w:rStyle w:val="Strong"/>
          <w:rFonts w:ascii="Arial" w:hAnsi="Arial" w:cs="Arial"/>
          <w:b/>
          <w:bCs/>
          <w:color w:val="0E101A"/>
          <w:sz w:val="24"/>
          <w:szCs w:val="24"/>
        </w:rPr>
        <w:t> </w:t>
      </w:r>
    </w:p>
    <w:p w14:paraId="5E1FF1B0" w14:textId="518C3569" w:rsidR="000535BA" w:rsidRPr="002A6DDF" w:rsidRDefault="00126D54" w:rsidP="00126D54">
      <w:pPr>
        <w:pStyle w:val="Heading2"/>
        <w:rPr>
          <w:rFonts w:ascii="Arial" w:hAnsi="Arial" w:cs="Arial"/>
        </w:rPr>
      </w:pPr>
      <w:r w:rsidRPr="002A6DDF">
        <w:rPr>
          <w:rStyle w:val="Strong"/>
          <w:rFonts w:ascii="Arial" w:hAnsi="Arial" w:cs="Arial"/>
          <w:b/>
          <w:bCs/>
          <w:color w:val="0E101A"/>
          <w:sz w:val="24"/>
          <w:szCs w:val="24"/>
        </w:rPr>
        <w:br w:type="column"/>
      </w:r>
      <w:bookmarkStart w:id="2" w:name="_Toc55714976"/>
      <w:r w:rsidR="000535BA" w:rsidRPr="002A6DDF">
        <w:rPr>
          <w:rFonts w:ascii="Arial" w:hAnsi="Arial" w:cs="Arial"/>
        </w:rPr>
        <w:lastRenderedPageBreak/>
        <w:t>Question 1</w:t>
      </w:r>
      <w:bookmarkEnd w:id="2"/>
      <w:r w:rsidR="00AE74C4" w:rsidRPr="002A6DDF">
        <w:rPr>
          <w:rFonts w:ascii="Arial" w:hAnsi="Arial" w:cs="Arial"/>
        </w:rPr>
        <w:t xml:space="preserve"> – Task A</w:t>
      </w:r>
    </w:p>
    <w:p w14:paraId="0A87D730" w14:textId="0AEEFA37" w:rsidR="000535BA" w:rsidRPr="002A6DDF" w:rsidRDefault="000535BA" w:rsidP="00126D54">
      <w:pPr>
        <w:pStyle w:val="Heading3"/>
        <w:rPr>
          <w:rFonts w:ascii="Arial" w:hAnsi="Arial" w:cs="Arial"/>
        </w:rPr>
      </w:pPr>
      <w:bookmarkStart w:id="3" w:name="_Toc55714977"/>
      <w:r w:rsidRPr="002A6DDF">
        <w:rPr>
          <w:rFonts w:ascii="Arial" w:hAnsi="Arial" w:cs="Arial"/>
        </w:rPr>
        <w:t>The financial Statement of an Organi</w:t>
      </w:r>
      <w:r w:rsidR="00973B53" w:rsidRPr="002A6DDF">
        <w:rPr>
          <w:rFonts w:ascii="Arial" w:hAnsi="Arial" w:cs="Arial"/>
        </w:rPr>
        <w:t>s</w:t>
      </w:r>
      <w:r w:rsidRPr="002A6DDF">
        <w:rPr>
          <w:rFonts w:ascii="Arial" w:hAnsi="Arial" w:cs="Arial"/>
        </w:rPr>
        <w:t>ation</w:t>
      </w:r>
      <w:bookmarkEnd w:id="3"/>
    </w:p>
    <w:p w14:paraId="1A27B9B9" w14:textId="5200D680" w:rsidR="00816128" w:rsidRPr="002A6DDF" w:rsidRDefault="00816128" w:rsidP="00816128">
      <w:pPr>
        <w:rPr>
          <w:rFonts w:ascii="Arial" w:hAnsi="Arial" w:cs="Arial"/>
        </w:rPr>
      </w:pPr>
      <w:r w:rsidRPr="002A6DDF">
        <w:rPr>
          <w:rFonts w:ascii="Arial" w:hAnsi="Arial" w:cs="Arial"/>
        </w:rPr>
        <w:t>As Britton (2015) points out, financial  reports are reported that transfer the business exercises and monetary performance of the organization. Budget reports are often evaluated by government departments, accountants, companies, etc. to ensure accuracy and for customs, financial or contributing purposes. Speculators and monetary experts depend on monetary information to dissect an organization's performance and make predictions about its future title for the organization's stock costs. Most likely, the main assets of reliable and verified monetary information is the annual report, which contains summary data on the company's budget. Fiscal statements are used by speculators, market researchers and banks to assess the monetary well-being and income potential of an organization. The three significant summary reports for the budget are monetary reporting, salary announcement and articulation of income.</w:t>
      </w:r>
    </w:p>
    <w:p w14:paraId="01AF1B56" w14:textId="010CB099" w:rsidR="00126D54" w:rsidRPr="002A6DDF" w:rsidRDefault="00816128" w:rsidP="00816128">
      <w:pPr>
        <w:rPr>
          <w:rFonts w:ascii="Arial" w:hAnsi="Arial" w:cs="Arial"/>
        </w:rPr>
      </w:pPr>
      <w:r w:rsidRPr="002A6DDF">
        <w:rPr>
          <w:rFonts w:ascii="Arial" w:hAnsi="Arial" w:cs="Arial"/>
        </w:rPr>
        <w:t>For example, a cash record recognizes how resources are subsidized, either by liabilities, such as a liability, or the value of investors, such as retained earnings and additional paid-in capital. The resources are recorded in the financial statements, sorted by liquidity. Liabilities are recorded in the claim in which they will be paid. It relies on current or current liabilities to be paid within the year, while long-term or non-current liabilities are liabilities that are expected to be paid after more than one year.</w:t>
      </w:r>
      <w:r w:rsidR="000535BA" w:rsidRPr="002A6DDF">
        <w:rPr>
          <w:rFonts w:ascii="Arial" w:hAnsi="Arial" w:cs="Arial"/>
        </w:rPr>
        <w:t> </w:t>
      </w:r>
    </w:p>
    <w:p w14:paraId="6081C107" w14:textId="2043C69C" w:rsidR="00816128" w:rsidRPr="002A6DDF" w:rsidRDefault="002C47A4" w:rsidP="00126D54">
      <w:pPr>
        <w:pStyle w:val="Heading3"/>
        <w:rPr>
          <w:rFonts w:ascii="Arial" w:hAnsi="Arial" w:cs="Arial"/>
        </w:rPr>
      </w:pPr>
      <w:bookmarkStart w:id="4" w:name="_Toc55714978"/>
      <w:r w:rsidRPr="002A6DDF">
        <w:rPr>
          <w:rFonts w:ascii="Arial" w:hAnsi="Arial" w:cs="Arial"/>
        </w:rPr>
        <w:lastRenderedPageBreak/>
        <w:t>Income statement</w:t>
      </w:r>
      <w:r w:rsidR="00816128" w:rsidRPr="002A6DDF">
        <w:rPr>
          <w:rFonts w:ascii="Arial" w:hAnsi="Arial" w:cs="Arial"/>
        </w:rPr>
        <w:t xml:space="preserve"> – 2019 (year ending on the 31</w:t>
      </w:r>
      <w:r w:rsidR="00816128" w:rsidRPr="002A6DDF">
        <w:rPr>
          <w:rFonts w:ascii="Arial" w:hAnsi="Arial" w:cs="Arial"/>
          <w:vertAlign w:val="superscript"/>
        </w:rPr>
        <w:t>st</w:t>
      </w:r>
      <w:r w:rsidR="00816128" w:rsidRPr="002A6DDF">
        <w:rPr>
          <w:rFonts w:ascii="Arial" w:hAnsi="Arial" w:cs="Arial"/>
        </w:rPr>
        <w:t xml:space="preserve"> of December)</w:t>
      </w:r>
    </w:p>
    <w:p w14:paraId="51D51C98" w14:textId="1314B4B4" w:rsidR="002C47A4" w:rsidRPr="002A6DDF" w:rsidRDefault="002C47A4" w:rsidP="00126D54">
      <w:pPr>
        <w:pStyle w:val="Heading3"/>
        <w:rPr>
          <w:rFonts w:ascii="Arial" w:hAnsi="Arial" w:cs="Arial"/>
        </w:rPr>
      </w:pPr>
      <w:r w:rsidRPr="002A6DDF">
        <w:rPr>
          <w:rFonts w:ascii="Arial" w:hAnsi="Arial" w:cs="Arial"/>
        </w:rPr>
        <w:t xml:space="preserve"> Eccles </w:t>
      </w:r>
      <w:bookmarkEnd w:id="4"/>
      <w:r w:rsidR="00816128" w:rsidRPr="002A6DDF">
        <w:rPr>
          <w:rFonts w:ascii="Arial" w:hAnsi="Arial" w:cs="Arial"/>
        </w:rPr>
        <w:t>PLC:</w:t>
      </w:r>
    </w:p>
    <w:p w14:paraId="1C65289F" w14:textId="4A8F2991" w:rsidR="00816128" w:rsidRPr="002A6DDF" w:rsidRDefault="00816128" w:rsidP="00816128">
      <w:pPr>
        <w:rPr>
          <w:rFonts w:ascii="Arial" w:hAnsi="Arial" w:cs="Arial"/>
        </w:rPr>
      </w:pPr>
      <w:r w:rsidRPr="002A6DDF">
        <w:rPr>
          <w:rFonts w:ascii="Arial" w:hAnsi="Arial" w:cs="Arial"/>
          <w:noProof/>
          <w:lang w:eastAsia="en-GB" w:bidi="ar-SA"/>
        </w:rPr>
        <w:drawing>
          <wp:inline distT="0" distB="0" distL="0" distR="0" wp14:anchorId="7A257053" wp14:editId="462E892D">
            <wp:extent cx="5943600" cy="52578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943600" cy="5257800"/>
                    </a:xfrm>
                    <a:prstGeom prst="rect">
                      <a:avLst/>
                    </a:prstGeom>
                  </pic:spPr>
                </pic:pic>
              </a:graphicData>
            </a:graphic>
          </wp:inline>
        </w:drawing>
      </w:r>
    </w:p>
    <w:p w14:paraId="713A6B0D" w14:textId="5979AB24" w:rsidR="00816128" w:rsidRPr="002A6DDF" w:rsidRDefault="00816128" w:rsidP="00816128">
      <w:pPr>
        <w:rPr>
          <w:rFonts w:ascii="Arial" w:hAnsi="Arial" w:cs="Arial"/>
        </w:rPr>
      </w:pPr>
    </w:p>
    <w:p w14:paraId="2BA75A79" w14:textId="4E4697FE" w:rsidR="00816128" w:rsidRPr="002A6DDF" w:rsidRDefault="00816128" w:rsidP="00816128">
      <w:pPr>
        <w:rPr>
          <w:rFonts w:ascii="Arial" w:hAnsi="Arial" w:cs="Arial"/>
        </w:rPr>
      </w:pPr>
    </w:p>
    <w:p w14:paraId="0541C26B" w14:textId="46CC3FDD" w:rsidR="00816128" w:rsidRPr="002A6DDF" w:rsidRDefault="00816128" w:rsidP="00816128">
      <w:pPr>
        <w:rPr>
          <w:rFonts w:ascii="Arial" w:hAnsi="Arial" w:cs="Arial"/>
        </w:rPr>
      </w:pPr>
    </w:p>
    <w:p w14:paraId="24BAD595" w14:textId="2EA075DE" w:rsidR="00816128" w:rsidRPr="002A6DDF" w:rsidRDefault="00816128" w:rsidP="00816128">
      <w:pPr>
        <w:rPr>
          <w:rFonts w:ascii="Arial" w:hAnsi="Arial" w:cs="Arial"/>
        </w:rPr>
      </w:pPr>
    </w:p>
    <w:p w14:paraId="5CD69D17" w14:textId="30555439" w:rsidR="00816128" w:rsidRPr="002A6DDF" w:rsidRDefault="00816128" w:rsidP="00816128">
      <w:pPr>
        <w:rPr>
          <w:rFonts w:ascii="Arial" w:hAnsi="Arial" w:cs="Arial"/>
        </w:rPr>
      </w:pPr>
    </w:p>
    <w:p w14:paraId="548CD284" w14:textId="77777777" w:rsidR="00816128" w:rsidRPr="002A6DDF" w:rsidRDefault="00816128" w:rsidP="00816128">
      <w:pPr>
        <w:rPr>
          <w:rFonts w:ascii="Arial" w:hAnsi="Arial" w:cs="Arial"/>
        </w:rPr>
      </w:pPr>
    </w:p>
    <w:p w14:paraId="581F1D42" w14:textId="16DA3C1D" w:rsidR="00816128" w:rsidRPr="002A6DDF" w:rsidRDefault="00816128" w:rsidP="00816128">
      <w:pPr>
        <w:rPr>
          <w:rFonts w:ascii="Arial" w:hAnsi="Arial" w:cs="Arial"/>
          <w:b/>
          <w:bCs/>
        </w:rPr>
      </w:pPr>
      <w:r w:rsidRPr="002A6DDF">
        <w:rPr>
          <w:rFonts w:ascii="Arial" w:hAnsi="Arial" w:cs="Arial"/>
          <w:b/>
          <w:bCs/>
        </w:rPr>
        <w:lastRenderedPageBreak/>
        <w:t>Financial position statement - 2019 (year ending on the 31</w:t>
      </w:r>
      <w:r w:rsidRPr="002A6DDF">
        <w:rPr>
          <w:rFonts w:ascii="Arial" w:hAnsi="Arial" w:cs="Arial"/>
          <w:b/>
          <w:bCs/>
          <w:vertAlign w:val="superscript"/>
        </w:rPr>
        <w:t>st</w:t>
      </w:r>
      <w:r w:rsidRPr="002A6DDF">
        <w:rPr>
          <w:rFonts w:ascii="Arial" w:hAnsi="Arial" w:cs="Arial"/>
          <w:b/>
          <w:bCs/>
        </w:rPr>
        <w:t xml:space="preserve"> of December)</w:t>
      </w:r>
    </w:p>
    <w:p w14:paraId="1A4B0A27" w14:textId="32DEFE42" w:rsidR="00816128" w:rsidRPr="002A6DDF" w:rsidRDefault="00816128" w:rsidP="00816128">
      <w:pPr>
        <w:rPr>
          <w:rFonts w:ascii="Arial" w:hAnsi="Arial" w:cs="Arial"/>
          <w:b/>
          <w:bCs/>
        </w:rPr>
      </w:pPr>
      <w:r w:rsidRPr="002A6DDF">
        <w:rPr>
          <w:rFonts w:ascii="Arial" w:hAnsi="Arial" w:cs="Arial"/>
          <w:b/>
          <w:bCs/>
        </w:rPr>
        <w:t>Eccles PLC:</w:t>
      </w:r>
    </w:p>
    <w:p w14:paraId="0814C37B" w14:textId="0681B74D" w:rsidR="002C47A4" w:rsidRPr="002A6DDF" w:rsidRDefault="00816128" w:rsidP="00816128">
      <w:pPr>
        <w:rPr>
          <w:rFonts w:ascii="Arial" w:hAnsi="Arial" w:cs="Arial"/>
        </w:rPr>
      </w:pPr>
      <w:r w:rsidRPr="002A6DDF">
        <w:rPr>
          <w:rFonts w:ascii="Arial" w:hAnsi="Arial" w:cs="Arial"/>
          <w:noProof/>
          <w:lang w:eastAsia="en-GB" w:bidi="ar-SA"/>
        </w:rPr>
        <w:drawing>
          <wp:inline distT="0" distB="0" distL="0" distR="0" wp14:anchorId="3961BC58" wp14:editId="32E0C8A5">
            <wp:extent cx="5943600" cy="70993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7099300"/>
                    </a:xfrm>
                    <a:prstGeom prst="rect">
                      <a:avLst/>
                    </a:prstGeom>
                  </pic:spPr>
                </pic:pic>
              </a:graphicData>
            </a:graphic>
          </wp:inline>
        </w:drawing>
      </w:r>
    </w:p>
    <w:p w14:paraId="49F7F327" w14:textId="40667CE2" w:rsidR="002C47A4" w:rsidRPr="002A6DDF" w:rsidRDefault="002C47A4" w:rsidP="002C47A4">
      <w:pPr>
        <w:rPr>
          <w:rFonts w:ascii="Arial" w:hAnsi="Arial" w:cs="Arial"/>
          <w:szCs w:val="24"/>
        </w:rPr>
      </w:pPr>
    </w:p>
    <w:p w14:paraId="36D1C97C" w14:textId="0133B5F1" w:rsidR="00816128" w:rsidRPr="002A6DDF" w:rsidRDefault="00816128" w:rsidP="002C47A4">
      <w:pPr>
        <w:rPr>
          <w:rFonts w:ascii="Arial" w:hAnsi="Arial" w:cs="Arial"/>
          <w:b/>
          <w:bCs/>
          <w:szCs w:val="24"/>
        </w:rPr>
      </w:pPr>
      <w:r w:rsidRPr="002A6DDF">
        <w:rPr>
          <w:rFonts w:ascii="Arial" w:hAnsi="Arial" w:cs="Arial"/>
          <w:b/>
          <w:bCs/>
          <w:szCs w:val="24"/>
        </w:rPr>
        <w:lastRenderedPageBreak/>
        <w:t>Retained profit report – 2019 (year ending on the 31</w:t>
      </w:r>
      <w:r w:rsidRPr="002A6DDF">
        <w:rPr>
          <w:rFonts w:ascii="Arial" w:hAnsi="Arial" w:cs="Arial"/>
          <w:b/>
          <w:bCs/>
          <w:szCs w:val="24"/>
          <w:vertAlign w:val="superscript"/>
        </w:rPr>
        <w:t>st</w:t>
      </w:r>
      <w:r w:rsidRPr="002A6DDF">
        <w:rPr>
          <w:rFonts w:ascii="Arial" w:hAnsi="Arial" w:cs="Arial"/>
          <w:b/>
          <w:bCs/>
          <w:szCs w:val="24"/>
        </w:rPr>
        <w:t xml:space="preserve"> of December)</w:t>
      </w:r>
    </w:p>
    <w:p w14:paraId="4837FE40" w14:textId="522541D7" w:rsidR="002C47A4" w:rsidRPr="002A6DDF" w:rsidRDefault="00816128" w:rsidP="00816128">
      <w:pPr>
        <w:rPr>
          <w:rFonts w:ascii="Arial" w:hAnsi="Arial" w:cs="Arial"/>
          <w:b/>
          <w:bCs/>
          <w:szCs w:val="24"/>
        </w:rPr>
      </w:pPr>
      <w:r w:rsidRPr="002A6DDF">
        <w:rPr>
          <w:rFonts w:ascii="Arial" w:hAnsi="Arial" w:cs="Arial"/>
          <w:b/>
          <w:bCs/>
          <w:szCs w:val="24"/>
        </w:rPr>
        <w:t>Eccles PLC:</w:t>
      </w:r>
    </w:p>
    <w:p w14:paraId="33500613" w14:textId="67CF27D8" w:rsidR="00816128" w:rsidRPr="002A6DDF" w:rsidRDefault="00816128" w:rsidP="00126D54">
      <w:pPr>
        <w:rPr>
          <w:rFonts w:ascii="Arial" w:hAnsi="Arial" w:cs="Arial"/>
        </w:rPr>
      </w:pPr>
      <w:r w:rsidRPr="002A6DDF">
        <w:rPr>
          <w:rFonts w:ascii="Arial" w:hAnsi="Arial" w:cs="Arial"/>
          <w:noProof/>
          <w:lang w:eastAsia="en-GB" w:bidi="ar-SA"/>
        </w:rPr>
        <w:drawing>
          <wp:inline distT="0" distB="0" distL="0" distR="0" wp14:anchorId="11388A0D" wp14:editId="3B851CF7">
            <wp:extent cx="5943600" cy="17145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43600" cy="1714500"/>
                    </a:xfrm>
                    <a:prstGeom prst="rect">
                      <a:avLst/>
                    </a:prstGeom>
                  </pic:spPr>
                </pic:pic>
              </a:graphicData>
            </a:graphic>
          </wp:inline>
        </w:drawing>
      </w:r>
    </w:p>
    <w:p w14:paraId="3F21D731" w14:textId="204807F4" w:rsidR="000535BA" w:rsidRPr="002A6DDF" w:rsidRDefault="00816128" w:rsidP="00126D54">
      <w:pPr>
        <w:rPr>
          <w:rFonts w:ascii="Arial" w:hAnsi="Arial" w:cs="Arial"/>
        </w:rPr>
      </w:pPr>
      <w:r w:rsidRPr="002A6DDF">
        <w:rPr>
          <w:rFonts w:ascii="Arial" w:hAnsi="Arial" w:cs="Arial"/>
        </w:rPr>
        <w:t>Accounting profit, otherwise known as the organization's reported income or total compensation (NI), is determined by deducting business uses, including costs of goods sold (COGS), general and regulatory costs (G &amp; As), deterioration, interest and duties , from income. In essence, it shows the cash measure left by the organization after deducting the express costs of maintaining the business. The main goal of any organization is to bring cash. This means that the benefit, the return on business is left with the subsequent presentation of all costs, is often the metric for speculators and inspectors to measure performance and assess the strength of inventories recorded in transactions. The point is that organizations often distribute different adaptations of income or income in their fiscal summaries. Some of these figures are adjusted for generally accepted accounting rehearsals (GAAP). Others are ingenious understandings gathered by executives and their accountants (Needles, 2012)</w:t>
      </w:r>
    </w:p>
    <w:p w14:paraId="10493C9C" w14:textId="10D34DB4" w:rsidR="000535BA" w:rsidRPr="002A6DDF" w:rsidRDefault="000535BA" w:rsidP="00126D54">
      <w:pPr>
        <w:pStyle w:val="Heading2"/>
        <w:rPr>
          <w:rFonts w:ascii="Arial" w:hAnsi="Arial" w:cs="Arial"/>
        </w:rPr>
      </w:pPr>
      <w:bookmarkStart w:id="5" w:name="_Toc55714981"/>
      <w:r w:rsidRPr="002A6DDF">
        <w:rPr>
          <w:rFonts w:ascii="Arial" w:hAnsi="Arial" w:cs="Arial"/>
        </w:rPr>
        <w:t>Question 1</w:t>
      </w:r>
      <w:bookmarkEnd w:id="5"/>
      <w:r w:rsidR="00AE74C4" w:rsidRPr="002A6DDF">
        <w:rPr>
          <w:rFonts w:ascii="Arial" w:hAnsi="Arial" w:cs="Arial"/>
        </w:rPr>
        <w:t xml:space="preserve"> – Task B</w:t>
      </w:r>
    </w:p>
    <w:p w14:paraId="260DD3C6" w14:textId="0A824CDB" w:rsidR="000535BA" w:rsidRPr="002A6DDF" w:rsidRDefault="00AE74C4" w:rsidP="00126D54">
      <w:pPr>
        <w:rPr>
          <w:rFonts w:ascii="Arial" w:hAnsi="Arial" w:cs="Arial"/>
          <w:b/>
          <w:bCs/>
        </w:rPr>
      </w:pPr>
      <w:r w:rsidRPr="002A6DDF">
        <w:rPr>
          <w:rFonts w:ascii="Arial" w:hAnsi="Arial" w:cs="Arial"/>
          <w:b/>
          <w:bCs/>
        </w:rPr>
        <w:t>Asset Overview</w:t>
      </w:r>
    </w:p>
    <w:p w14:paraId="4B0B4F23" w14:textId="4B36BCF9" w:rsidR="00AE74C4" w:rsidRPr="002A6DDF" w:rsidRDefault="00AE74C4" w:rsidP="00126D54">
      <w:pPr>
        <w:rPr>
          <w:rFonts w:ascii="Arial" w:hAnsi="Arial" w:cs="Arial"/>
        </w:rPr>
      </w:pPr>
      <w:r w:rsidRPr="002A6DDF">
        <w:rPr>
          <w:rFonts w:ascii="Arial" w:hAnsi="Arial" w:cs="Arial"/>
        </w:rPr>
        <w:t xml:space="preserve">According to Nikolai (2014), a resource is a monetary asset that a natural person, enterprise or government claims or controls on the assumption that it will give a future advantage. Resources are recorded in the monetary record of the organization and are purchased or created to increase the value or advantage of the activities of the association. The resource can be seen as something that can later generate income, reduce costs or improve transactions, whether it is assembling equipment or a patent. </w:t>
      </w:r>
      <w:r w:rsidRPr="002A6DDF">
        <w:rPr>
          <w:rFonts w:ascii="Arial" w:hAnsi="Arial" w:cs="Arial"/>
        </w:rPr>
        <w:lastRenderedPageBreak/>
        <w:t>Current resources are current financial assets that are expected to be converted into cash within one year. Current resources include cash and reciprocal cash, sales records, cash, and various prepaid expenses. Fixed resources are fixed assets, such as installations, hardware and structures. The change in the maturity of fixed resources depends on periodic fees, called devaluations, which could reflect the lack of acquisition of fixed resource powers.</w:t>
      </w:r>
    </w:p>
    <w:p w14:paraId="61189AF3" w14:textId="456E5E0D" w:rsidR="00AE74C4" w:rsidRPr="002A6DDF" w:rsidRDefault="000535BA" w:rsidP="00126D54">
      <w:pPr>
        <w:rPr>
          <w:rFonts w:ascii="Arial" w:hAnsi="Arial" w:cs="Arial"/>
        </w:rPr>
      </w:pPr>
      <w:r w:rsidRPr="002A6DDF">
        <w:rPr>
          <w:rStyle w:val="Strong"/>
          <w:rFonts w:ascii="Arial" w:hAnsi="Arial" w:cs="Arial"/>
          <w:color w:val="0E101A"/>
          <w:szCs w:val="24"/>
        </w:rPr>
        <w:t>Liability</w:t>
      </w:r>
      <w:r w:rsidR="00AE74C4" w:rsidRPr="002A6DDF">
        <w:rPr>
          <w:rStyle w:val="Strong"/>
          <w:rFonts w:ascii="Arial" w:hAnsi="Arial" w:cs="Arial"/>
          <w:color w:val="0E101A"/>
          <w:szCs w:val="24"/>
        </w:rPr>
        <w:t xml:space="preserve"> Overview</w:t>
      </w:r>
    </w:p>
    <w:p w14:paraId="324C25FF" w14:textId="08A5B25D" w:rsidR="000535BA" w:rsidRPr="002A6DDF" w:rsidRDefault="00AE74C4" w:rsidP="00AE74C4">
      <w:pPr>
        <w:rPr>
          <w:rFonts w:ascii="Arial" w:hAnsi="Arial" w:cs="Arial"/>
        </w:rPr>
      </w:pPr>
      <w:r w:rsidRPr="002A6DDF">
        <w:rPr>
          <w:rFonts w:ascii="Arial" w:hAnsi="Arial" w:cs="Arial"/>
        </w:rPr>
        <w:t>Risk is something that an individual or organization owes, usually a cash amount. Liabilities are settled in the long term through the exchange of financial advantages, including cash, goods or administrations (Nikolai, 2014). Recorded on the correct side of the asset report, liabilities include loans, creditor liabilities, contracts, income, securities, guarantees and accumulated expenses. In general, a risk is a commitment between one collection and another that has not yet been completed or paid. In the field of accounting, monetary risk is an additional commitment, but rather it is characterized by past business exchanges, occasions, transactions, trade in resources or administrations or something that would give a financial advantage in the future. Liabilities are usually treated as current (expected to be settled in a year or less) or long distances (one year or more). Liabilities are otherwise called current or non-current, relying on the unique circumstance. These may include future help owed to other people; acquisition of short or long distances from banks, people or various substances; or a past exchange that has made an excited commitment. The most widely recognized liabilities are usually the largest as payables and liabilities. Most organizations will have these two details in their asset report, as they are essential to the progress of current and long-term activities.</w:t>
      </w:r>
      <w:r w:rsidR="000535BA" w:rsidRPr="002A6DDF">
        <w:rPr>
          <w:rFonts w:ascii="Arial" w:hAnsi="Arial" w:cs="Arial"/>
        </w:rPr>
        <w:t>   </w:t>
      </w:r>
    </w:p>
    <w:p w14:paraId="2E5A76EA" w14:textId="23713DB5" w:rsidR="000535BA" w:rsidRPr="002A6DDF" w:rsidRDefault="00DA4183" w:rsidP="00126D54">
      <w:pPr>
        <w:rPr>
          <w:rFonts w:ascii="Arial" w:hAnsi="Arial" w:cs="Arial"/>
          <w:b/>
          <w:bCs/>
        </w:rPr>
      </w:pPr>
      <w:r w:rsidRPr="002A6DDF">
        <w:rPr>
          <w:rFonts w:ascii="Arial" w:hAnsi="Arial" w:cs="Arial"/>
          <w:b/>
          <w:bCs/>
        </w:rPr>
        <w:t xml:space="preserve">Equity </w:t>
      </w:r>
      <w:r w:rsidR="00AE74C4" w:rsidRPr="002A6DDF">
        <w:rPr>
          <w:rFonts w:ascii="Arial" w:hAnsi="Arial" w:cs="Arial"/>
          <w:b/>
          <w:bCs/>
        </w:rPr>
        <w:t>Overview</w:t>
      </w:r>
    </w:p>
    <w:p w14:paraId="52E0A760" w14:textId="60FDCE36" w:rsidR="00AE74C4" w:rsidRPr="002A6DDF" w:rsidRDefault="00AE74C4" w:rsidP="00126D54">
      <w:pPr>
        <w:rPr>
          <w:rFonts w:ascii="Arial" w:hAnsi="Arial" w:cs="Arial"/>
        </w:rPr>
      </w:pPr>
      <w:r w:rsidRPr="002A6DDF">
        <w:rPr>
          <w:rFonts w:ascii="Arial" w:hAnsi="Arial" w:cs="Arial"/>
        </w:rPr>
        <w:t xml:space="preserve">The value, commonly referred to as the value of investors (or the value of holders) for secretly held organizations, indicates the cash measure that would be returned to the organization's investors if all resources were exchanged and the entire organization's liability was paid due to liquidation (Irwin, 2018). Due to an order, this is the valuation of the transaction of the organization minus all liabilities of the organization that are not moved with the transaction Similarly, the value of the investor can speak to the </w:t>
      </w:r>
      <w:r w:rsidRPr="002A6DDF">
        <w:rPr>
          <w:rFonts w:ascii="Arial" w:hAnsi="Arial" w:cs="Arial"/>
        </w:rPr>
        <w:lastRenderedPageBreak/>
        <w:t>organization's estimate. The value may in some cases be offered as a deferred installment. This also speaks to the favorable proportional responsibility for the organization's offers. The capital can be found in the organization's financial statements and is probably the best known piece of information used by experts to study the monetary strength of the organization.</w:t>
      </w:r>
    </w:p>
    <w:p w14:paraId="17F97A46" w14:textId="2A0D2D22" w:rsidR="000535BA" w:rsidRPr="002A6DDF" w:rsidRDefault="00AE74C4" w:rsidP="00126D54">
      <w:pPr>
        <w:pStyle w:val="Heading3"/>
        <w:rPr>
          <w:rFonts w:ascii="Arial" w:hAnsi="Arial" w:cs="Arial"/>
        </w:rPr>
      </w:pPr>
      <w:r w:rsidRPr="002A6DDF">
        <w:rPr>
          <w:rFonts w:ascii="Arial" w:hAnsi="Arial" w:cs="Arial"/>
        </w:rPr>
        <w:t>Evaluation of Asset, Liability and Equity in Balance Sheet</w:t>
      </w:r>
    </w:p>
    <w:p w14:paraId="58D49124" w14:textId="1CE9C22B" w:rsidR="000535BA" w:rsidRPr="002A6DDF" w:rsidRDefault="00AE74C4" w:rsidP="00126D54">
      <w:pPr>
        <w:rPr>
          <w:rFonts w:ascii="Arial" w:hAnsi="Arial" w:cs="Arial"/>
        </w:rPr>
      </w:pPr>
      <w:r w:rsidRPr="002A6DDF">
        <w:rPr>
          <w:rFonts w:ascii="Arial" w:hAnsi="Arial" w:cs="Arial"/>
        </w:rPr>
        <w:t>Resources in the cash statement include what an organization claims or will receive later and which are quantifiable. Liabilities are what an organization owes, for example, fees, liabilities, benefits and obligations. The investor value segment shows the retained earnings of the organization and the capital contributed by investors. In order to adjust the financial statements, all exposed resources must be close to the full value of liabilities and the value of investors. A significant explanation for cash adjustments is the double-pass accounting guidelines. This accounting framework records all exchanges in each case two unique records and is accordingly additionally performed as a check to ensure that the sections are predictable.</w:t>
      </w:r>
    </w:p>
    <w:p w14:paraId="6DD0F761" w14:textId="36C656C8" w:rsidR="000535BA" w:rsidRPr="002A6DDF" w:rsidRDefault="000535BA" w:rsidP="00126D54">
      <w:pPr>
        <w:pStyle w:val="Heading2"/>
        <w:rPr>
          <w:rFonts w:ascii="Arial" w:hAnsi="Arial" w:cs="Arial"/>
        </w:rPr>
      </w:pPr>
      <w:bookmarkStart w:id="6" w:name="_Toc55714984"/>
      <w:r w:rsidRPr="002A6DDF">
        <w:rPr>
          <w:rFonts w:ascii="Arial" w:hAnsi="Arial" w:cs="Arial"/>
        </w:rPr>
        <w:t>Question 2</w:t>
      </w:r>
      <w:bookmarkEnd w:id="6"/>
    </w:p>
    <w:p w14:paraId="04AF3443" w14:textId="570F0515" w:rsidR="000535BA" w:rsidRPr="002A6DDF" w:rsidRDefault="00AE74C4" w:rsidP="00126D54">
      <w:pPr>
        <w:pStyle w:val="Heading3"/>
        <w:rPr>
          <w:rFonts w:ascii="Arial" w:hAnsi="Arial" w:cs="Arial"/>
        </w:rPr>
      </w:pPr>
      <w:r w:rsidRPr="002A6DDF">
        <w:rPr>
          <w:rFonts w:ascii="Arial" w:hAnsi="Arial" w:cs="Arial"/>
        </w:rPr>
        <w:t>Ratio Analysis for Choco PLC:</w:t>
      </w:r>
    </w:p>
    <w:p w14:paraId="720888C0" w14:textId="18B25887" w:rsidR="00694EA2" w:rsidRPr="002A6DDF" w:rsidRDefault="00694EA2" w:rsidP="00694EA2">
      <w:pPr>
        <w:rPr>
          <w:rFonts w:ascii="Arial" w:hAnsi="Arial" w:cs="Arial"/>
        </w:rPr>
      </w:pPr>
      <w:r w:rsidRPr="002A6DDF">
        <w:rPr>
          <w:rFonts w:ascii="Arial" w:hAnsi="Arial" w:cs="Arial"/>
        </w:rPr>
        <w:t>The accounting proportion analyzes two details in the organization's budget summaries that are specific, including its pay announcement, accounting statement, and explanation of revenue. These proportions can be used to assess the materiality of the organization and to provide data on the organization's performance in the last quarter or financial year (Elliott, 2012).</w:t>
      </w:r>
    </w:p>
    <w:p w14:paraId="4C732E2E" w14:textId="77777777" w:rsidR="00694EA2" w:rsidRPr="002A6DDF" w:rsidRDefault="00694EA2" w:rsidP="00694EA2">
      <w:pPr>
        <w:rPr>
          <w:rFonts w:ascii="Arial" w:hAnsi="Arial" w:cs="Arial"/>
        </w:rPr>
      </w:pPr>
      <w:r w:rsidRPr="002A6DDF">
        <w:rPr>
          <w:rFonts w:ascii="Arial" w:hAnsi="Arial" w:cs="Arial"/>
        </w:rPr>
        <w:t>The breakdown of accounting proportions is a significant advance in deciding on the monetary well-being of the organization. It can regularly focus on regions that benefit from an organization and need improvement in this regard. The adequacy of the new administrative plans, the new elements and the changes in the operational methodology could be dictated by a study of the accounting proportions.</w:t>
      </w:r>
    </w:p>
    <w:p w14:paraId="79BF6676" w14:textId="77777777" w:rsidR="00694EA2" w:rsidRPr="002A6DDF" w:rsidRDefault="00694EA2" w:rsidP="00694EA2">
      <w:pPr>
        <w:rPr>
          <w:rFonts w:ascii="Arial" w:hAnsi="Arial" w:cs="Arial"/>
        </w:rPr>
      </w:pPr>
      <w:r w:rsidRPr="002A6DDF">
        <w:rPr>
          <w:rFonts w:ascii="Arial" w:hAnsi="Arial" w:cs="Arial"/>
        </w:rPr>
        <w:t xml:space="preserve">Accounting proportions additionally function as an important apparatus in the organizational correlation in an industry, both for the organization itself and for </w:t>
      </w:r>
      <w:r w:rsidRPr="002A6DDF">
        <w:rPr>
          <w:rFonts w:ascii="Arial" w:hAnsi="Arial" w:cs="Arial"/>
        </w:rPr>
        <w:lastRenderedPageBreak/>
        <w:t>speculators. The organization can perceive how it accumulates in front of its friends, and financial professionals can use accounting proportions to figure out which organization is the better alternative.</w:t>
      </w:r>
    </w:p>
    <w:p w14:paraId="3ECAAF35" w14:textId="77777777" w:rsidR="00694EA2" w:rsidRPr="002A6DDF" w:rsidRDefault="00694EA2" w:rsidP="00694EA2">
      <w:pPr>
        <w:rPr>
          <w:rFonts w:ascii="Arial" w:hAnsi="Arial" w:cs="Arial"/>
        </w:rPr>
      </w:pPr>
      <w:r w:rsidRPr="002A6DDF">
        <w:rPr>
          <w:rFonts w:ascii="Arial" w:hAnsi="Arial" w:cs="Arial"/>
        </w:rPr>
        <w:t>Careful accounting research can be an unpredictable endeavor, but calculating accounting proportions is a basic cycle of splitting two details found in a budget report that give a quick type of clear investigation to an entrepreneur or financial professional.</w:t>
      </w:r>
    </w:p>
    <w:p w14:paraId="00B0654A" w14:textId="77777777" w:rsidR="00694EA2" w:rsidRPr="002A6DDF" w:rsidRDefault="00694EA2" w:rsidP="00694EA2">
      <w:pPr>
        <w:rPr>
          <w:rFonts w:ascii="Arial" w:hAnsi="Arial" w:cs="Arial"/>
        </w:rPr>
      </w:pPr>
      <w:r w:rsidRPr="002A6DDF">
        <w:rPr>
          <w:rFonts w:ascii="Arial" w:hAnsi="Arial" w:cs="Arial"/>
        </w:rPr>
        <w:t>Net margin and operating margin</w:t>
      </w:r>
    </w:p>
    <w:p w14:paraId="0A2A83FB" w14:textId="77777777" w:rsidR="00694EA2" w:rsidRPr="002A6DDF" w:rsidRDefault="00694EA2" w:rsidP="00694EA2">
      <w:pPr>
        <w:rPr>
          <w:rFonts w:ascii="Arial" w:hAnsi="Arial" w:cs="Arial"/>
        </w:rPr>
      </w:pPr>
      <w:r w:rsidRPr="002A6DDF">
        <w:rPr>
          <w:rFonts w:ascii="Arial" w:hAnsi="Arial" w:cs="Arial"/>
        </w:rPr>
        <w:t>The declaration of payment contains data on organizational transactions, expenses and general compensation. It also provides a chart of income and the amount of extraordinary offers used to establish earnings per share (EPS). These are the absolute best known information tricks that experts use to study the performance of the organization.</w:t>
      </w:r>
    </w:p>
    <w:p w14:paraId="1C15DB3A" w14:textId="43499073" w:rsidR="00694EA2" w:rsidRPr="002A6DDF" w:rsidRDefault="00694EA2" w:rsidP="00694EA2">
      <w:pPr>
        <w:rPr>
          <w:rFonts w:ascii="Arial" w:hAnsi="Arial" w:cs="Arial"/>
        </w:rPr>
      </w:pPr>
      <w:r w:rsidRPr="002A6DDF">
        <w:rPr>
          <w:rFonts w:ascii="Arial" w:hAnsi="Arial" w:cs="Arial"/>
        </w:rPr>
        <w:t>Net profit as a percentage of transactions is mentioned as a gross advantage. It is determined by dividing the gross profit by transactions. For example, if the net profit is $ 80,000 and the transactions are $ 100,000, the gross net income is 80%. The higher the gross total revenue, the better, as it shows that the organization maintains a higher amount of income as a benefit instead of a cost</w:t>
      </w:r>
      <w:r w:rsidR="002A6DDF" w:rsidRPr="002A6DDF">
        <w:rPr>
          <w:rFonts w:ascii="Arial" w:hAnsi="Arial" w:cs="Arial"/>
        </w:rPr>
        <w:t xml:space="preserve"> (Power, 2014)</w:t>
      </w:r>
      <w:r w:rsidRPr="002A6DDF">
        <w:rPr>
          <w:rFonts w:ascii="Arial" w:hAnsi="Arial" w:cs="Arial"/>
        </w:rPr>
        <w:t>.</w:t>
      </w:r>
    </w:p>
    <w:p w14:paraId="0D87F10A" w14:textId="77777777" w:rsidR="00694EA2" w:rsidRPr="002A6DDF" w:rsidRDefault="00694EA2" w:rsidP="00694EA2">
      <w:pPr>
        <w:rPr>
          <w:rFonts w:ascii="Arial" w:hAnsi="Arial" w:cs="Arial"/>
        </w:rPr>
      </w:pPr>
      <w:r w:rsidRPr="002A6DDF">
        <w:rPr>
          <w:rFonts w:ascii="Arial" w:hAnsi="Arial" w:cs="Arial"/>
        </w:rPr>
        <w:t>Work benefit as a level of transactions is referred to as working end. It is determined by dividing the operating profit by transactions. For example, if the operating profit is $ 60,000 and the transactions are $ 100,000, the total operating income is 60%.</w:t>
      </w:r>
    </w:p>
    <w:p w14:paraId="3336C7DD" w14:textId="77777777" w:rsidR="00694EA2" w:rsidRPr="002A6DDF" w:rsidRDefault="00694EA2" w:rsidP="00694EA2">
      <w:pPr>
        <w:rPr>
          <w:rFonts w:ascii="Arial" w:hAnsi="Arial" w:cs="Arial"/>
        </w:rPr>
      </w:pPr>
      <w:r w:rsidRPr="002A6DDF">
        <w:rPr>
          <w:rFonts w:ascii="Arial" w:hAnsi="Arial" w:cs="Arial"/>
        </w:rPr>
        <w:t>Ratio of the liability to equity</w:t>
      </w:r>
    </w:p>
    <w:p w14:paraId="579E4675" w14:textId="7E1EDDDD" w:rsidR="00694EA2" w:rsidRPr="002A6DDF" w:rsidRDefault="00694EA2" w:rsidP="00694EA2">
      <w:pPr>
        <w:rPr>
          <w:rFonts w:ascii="Arial" w:hAnsi="Arial" w:cs="Arial"/>
        </w:rPr>
      </w:pPr>
      <w:r w:rsidRPr="002A6DDF">
        <w:rPr>
          <w:rFonts w:ascii="Arial" w:hAnsi="Arial" w:cs="Arial"/>
        </w:rPr>
        <w:t>The cash statement gives the accountants a description of the capital structure of the organization, and probably the main proportions are the proportion of the valuation obligation (D / E). It is determined by the obligation to divide by value. For example, if an organization has a liability equivalent to $ 100,000 and a value equivalent to $ 50,000, the ratio of the valuation obligation is 2 to 1. The ratio of the liability to value indicates how much business has been used; how much debt it uses to support activities rather than its own interior assets</w:t>
      </w:r>
      <w:r w:rsidR="002A6DDF" w:rsidRPr="002A6DDF">
        <w:rPr>
          <w:rFonts w:ascii="Arial" w:hAnsi="Arial" w:cs="Arial"/>
        </w:rPr>
        <w:t xml:space="preserve"> (Finney, 2017)</w:t>
      </w:r>
      <w:r w:rsidRPr="002A6DDF">
        <w:rPr>
          <w:rFonts w:ascii="Arial" w:hAnsi="Arial" w:cs="Arial"/>
        </w:rPr>
        <w:t>.</w:t>
      </w:r>
    </w:p>
    <w:p w14:paraId="6E01DE8A" w14:textId="77777777" w:rsidR="00694EA2" w:rsidRPr="002A6DDF" w:rsidRDefault="00694EA2" w:rsidP="00694EA2">
      <w:pPr>
        <w:rPr>
          <w:rFonts w:ascii="Arial" w:hAnsi="Arial" w:cs="Arial"/>
        </w:rPr>
      </w:pPr>
      <w:r w:rsidRPr="002A6DDF">
        <w:rPr>
          <w:rFonts w:ascii="Arial" w:hAnsi="Arial" w:cs="Arial"/>
        </w:rPr>
        <w:t>The fast ratio</w:t>
      </w:r>
    </w:p>
    <w:p w14:paraId="58C3492B" w14:textId="77777777" w:rsidR="00694EA2" w:rsidRPr="002A6DDF" w:rsidRDefault="00694EA2" w:rsidP="00694EA2">
      <w:pPr>
        <w:rPr>
          <w:rFonts w:ascii="Arial" w:hAnsi="Arial" w:cs="Arial"/>
        </w:rPr>
      </w:pPr>
      <w:r w:rsidRPr="002A6DDF">
        <w:rPr>
          <w:rFonts w:ascii="Arial" w:hAnsi="Arial" w:cs="Arial"/>
        </w:rPr>
        <w:lastRenderedPageBreak/>
        <w:t>Rapid Proportion, otherwise known as Basic Proportion Analysis, is a marker of an organization's current liquidity and measures an organization's capacity to meet its transitional commitments with the most fluid resources. Because we simply worry about the most liquid resources, the proportions of bar stocks from current resources.</w:t>
      </w:r>
    </w:p>
    <w:p w14:paraId="56DAEC55" w14:textId="77777777" w:rsidR="00694EA2" w:rsidRPr="002A6DDF" w:rsidRDefault="00694EA2" w:rsidP="00694EA2">
      <w:pPr>
        <w:rPr>
          <w:rFonts w:ascii="Arial" w:hAnsi="Arial" w:cs="Arial"/>
        </w:rPr>
      </w:pPr>
      <w:r w:rsidRPr="002A6DDF">
        <w:rPr>
          <w:rFonts w:ascii="Arial" w:hAnsi="Arial" w:cs="Arial"/>
        </w:rPr>
        <w:t>Profit payout ratio</w:t>
      </w:r>
    </w:p>
    <w:p w14:paraId="507490BB" w14:textId="27A9606E" w:rsidR="000535BA" w:rsidRPr="002A6DDF" w:rsidRDefault="00694EA2" w:rsidP="00694EA2">
      <w:pPr>
        <w:rPr>
          <w:rFonts w:ascii="Arial" w:hAnsi="Arial" w:cs="Arial"/>
        </w:rPr>
      </w:pPr>
      <w:r w:rsidRPr="002A6DDF">
        <w:rPr>
          <w:rFonts w:ascii="Arial" w:hAnsi="Arial" w:cs="Arial"/>
        </w:rPr>
        <w:t>The articulation of income provides information about the proportions that govern money. For example, the payout ratio is the level of total profit provided to financial professionals through profits. Both winnings and redemptions are treated as cash expenses and can be found in the income statement.</w:t>
      </w:r>
    </w:p>
    <w:p w14:paraId="7B39094A" w14:textId="5B4A9F89" w:rsidR="00694EA2" w:rsidRPr="002A6DDF" w:rsidRDefault="00694EA2" w:rsidP="00126D54">
      <w:pPr>
        <w:rPr>
          <w:rFonts w:ascii="Arial" w:hAnsi="Arial" w:cs="Arial"/>
          <w:b/>
          <w:bCs/>
        </w:rPr>
      </w:pPr>
      <w:r w:rsidRPr="002A6DDF">
        <w:rPr>
          <w:rFonts w:ascii="Arial" w:hAnsi="Arial" w:cs="Arial"/>
          <w:b/>
          <w:bCs/>
        </w:rPr>
        <w:t>Ratio Calculations</w:t>
      </w:r>
    </w:p>
    <w:tbl>
      <w:tblPr>
        <w:tblStyle w:val="TableGrid"/>
        <w:tblW w:w="0" w:type="auto"/>
        <w:tblLook w:val="04A0" w:firstRow="1" w:lastRow="0" w:firstColumn="1" w:lastColumn="0" w:noHBand="0" w:noVBand="1"/>
      </w:tblPr>
      <w:tblGrid>
        <w:gridCol w:w="4675"/>
        <w:gridCol w:w="4669"/>
      </w:tblGrid>
      <w:tr w:rsidR="007070A6" w:rsidRPr="002A6DDF" w14:paraId="00D2F6F1" w14:textId="77777777" w:rsidTr="007070A6">
        <w:tc>
          <w:tcPr>
            <w:tcW w:w="4675" w:type="dxa"/>
          </w:tcPr>
          <w:p w14:paraId="132651DB" w14:textId="3B4BB7A2" w:rsidR="007070A6" w:rsidRPr="002A6DDF" w:rsidRDefault="007070A6" w:rsidP="007070A6">
            <w:pPr>
              <w:rPr>
                <w:rFonts w:ascii="Arial" w:eastAsiaTheme="minorEastAsia" w:hAnsi="Arial" w:cs="Arial"/>
                <w:szCs w:val="24"/>
              </w:rPr>
            </w:pPr>
            <w:r w:rsidRPr="002A6DDF">
              <w:rPr>
                <w:rFonts w:ascii="Arial" w:hAnsi="Arial" w:cs="Arial"/>
                <w:b/>
                <w:bCs/>
                <w:szCs w:val="24"/>
              </w:rPr>
              <w:t>ROCE for year 2019</w:t>
            </w:r>
            <w:r w:rsidRPr="002A6DDF">
              <w:rPr>
                <w:rFonts w:ascii="Arial" w:hAnsi="Arial" w:cs="Arial"/>
                <w:szCs w:val="24"/>
              </w:rPr>
              <w:t xml:space="preserve">= </w:t>
            </w:r>
            <m:oMath>
              <m:f>
                <m:fPr>
                  <m:ctrlPr>
                    <w:rPr>
                      <w:rFonts w:ascii="Cambria Math" w:hAnsi="Cambria Math" w:cs="Arial"/>
                      <w:i/>
                      <w:szCs w:val="24"/>
                    </w:rPr>
                  </m:ctrlPr>
                </m:fPr>
                <m:num>
                  <m:r>
                    <w:rPr>
                      <w:rFonts w:ascii="Cambria Math" w:hAnsi="Cambria Math" w:cs="Arial"/>
                      <w:szCs w:val="24"/>
                    </w:rPr>
                    <m:t>620</m:t>
                  </m:r>
                </m:num>
                <m:den>
                  <m:r>
                    <m:rPr>
                      <m:sty m:val="p"/>
                    </m:rPr>
                    <w:rPr>
                      <w:rFonts w:ascii="Cambria Math" w:hAnsi="Cambria Math" w:cs="Arial"/>
                      <w:szCs w:val="24"/>
                    </w:rPr>
                    <m:t>9,736</m:t>
                  </m:r>
                  <m:r>
                    <w:rPr>
                      <w:rFonts w:ascii="Cambria Math" w:hAnsi="Cambria Math" w:cs="Arial"/>
                      <w:szCs w:val="24"/>
                    </w:rPr>
                    <m:t>-</m:t>
                  </m:r>
                  <m:r>
                    <m:rPr>
                      <m:sty m:val="p"/>
                    </m:rPr>
                    <w:rPr>
                      <w:rFonts w:ascii="Cambria Math" w:hAnsi="Cambria Math" w:cs="Arial"/>
                      <w:szCs w:val="24"/>
                    </w:rPr>
                    <m:t>(2,511)</m:t>
                  </m:r>
                </m:den>
              </m:f>
              <m:r>
                <w:rPr>
                  <w:rFonts w:ascii="Cambria Math" w:hAnsi="Cambria Math" w:cs="Arial"/>
                  <w:szCs w:val="24"/>
                </w:rPr>
                <m:t>*100%</m:t>
              </m:r>
            </m:oMath>
            <w:r w:rsidRPr="002A6DDF">
              <w:rPr>
                <w:rFonts w:ascii="Arial" w:eastAsiaTheme="minorEastAsia" w:hAnsi="Arial" w:cs="Arial"/>
                <w:szCs w:val="24"/>
              </w:rPr>
              <w:t xml:space="preserve"> = 8.581%</w:t>
            </w:r>
          </w:p>
        </w:tc>
        <w:tc>
          <w:tcPr>
            <w:tcW w:w="4669" w:type="dxa"/>
          </w:tcPr>
          <w:p w14:paraId="401F036B" w14:textId="4F1D33E1" w:rsidR="007070A6" w:rsidRPr="002A6DDF" w:rsidRDefault="007070A6" w:rsidP="007070A6">
            <w:pPr>
              <w:rPr>
                <w:rFonts w:ascii="Arial" w:eastAsia="Times New Roman" w:hAnsi="Arial" w:cs="Arial"/>
                <w:color w:val="0E101A"/>
                <w:szCs w:val="24"/>
              </w:rPr>
            </w:pPr>
            <w:r w:rsidRPr="002A6DDF">
              <w:rPr>
                <w:rFonts w:ascii="Arial" w:hAnsi="Arial" w:cs="Arial"/>
                <w:b/>
                <w:bCs/>
                <w:szCs w:val="24"/>
              </w:rPr>
              <w:t>ROCE for year 2018</w:t>
            </w:r>
            <w:r w:rsidRPr="002A6DDF">
              <w:rPr>
                <w:rFonts w:ascii="Arial" w:hAnsi="Arial" w:cs="Arial"/>
                <w:szCs w:val="24"/>
              </w:rPr>
              <w:t xml:space="preserve">= </w:t>
            </w:r>
            <m:oMath>
              <m:f>
                <m:fPr>
                  <m:ctrlPr>
                    <w:rPr>
                      <w:rFonts w:ascii="Cambria Math" w:hAnsi="Cambria Math" w:cs="Arial"/>
                      <w:i/>
                      <w:szCs w:val="24"/>
                    </w:rPr>
                  </m:ctrlPr>
                </m:fPr>
                <m:num>
                  <m:r>
                    <w:rPr>
                      <w:rFonts w:ascii="Cambria Math" w:hAnsi="Cambria Math" w:cs="Arial"/>
                      <w:szCs w:val="24"/>
                    </w:rPr>
                    <m:t>539</m:t>
                  </m:r>
                </m:num>
                <m:den>
                  <m:r>
                    <m:rPr>
                      <m:sty m:val="p"/>
                    </m:rPr>
                    <w:rPr>
                      <w:rFonts w:ascii="Cambria Math" w:hAnsi="Cambria Math" w:cs="Arial"/>
                      <w:szCs w:val="24"/>
                    </w:rPr>
                    <m:t>10,087-3046</m:t>
                  </m:r>
                </m:den>
              </m:f>
              <m:r>
                <w:rPr>
                  <w:rFonts w:ascii="Cambria Math" w:hAnsi="Cambria Math" w:cs="Arial"/>
                  <w:szCs w:val="24"/>
                </w:rPr>
                <m:t>*100%</m:t>
              </m:r>
            </m:oMath>
            <w:r w:rsidRPr="002A6DDF">
              <w:rPr>
                <w:rFonts w:ascii="Arial" w:eastAsiaTheme="minorEastAsia" w:hAnsi="Arial" w:cs="Arial"/>
                <w:szCs w:val="24"/>
              </w:rPr>
              <w:t>= 7.655%</w:t>
            </w:r>
          </w:p>
        </w:tc>
      </w:tr>
    </w:tbl>
    <w:p w14:paraId="3760D457" w14:textId="56E45610" w:rsidR="008960B5" w:rsidRPr="002A6DDF" w:rsidRDefault="008960B5" w:rsidP="00126D54">
      <w:pPr>
        <w:rPr>
          <w:rFonts w:ascii="Arial" w:hAnsi="Arial" w:cs="Arial"/>
        </w:rPr>
      </w:pPr>
    </w:p>
    <w:tbl>
      <w:tblPr>
        <w:tblStyle w:val="TableGrid"/>
        <w:tblW w:w="0" w:type="auto"/>
        <w:tblLook w:val="04A0" w:firstRow="1" w:lastRow="0" w:firstColumn="1" w:lastColumn="0" w:noHBand="0" w:noVBand="1"/>
      </w:tblPr>
      <w:tblGrid>
        <w:gridCol w:w="4675"/>
        <w:gridCol w:w="4669"/>
      </w:tblGrid>
      <w:tr w:rsidR="00341D46" w:rsidRPr="002A6DDF" w14:paraId="3F39AB8C" w14:textId="77777777" w:rsidTr="002C0A6B">
        <w:tc>
          <w:tcPr>
            <w:tcW w:w="4675" w:type="dxa"/>
          </w:tcPr>
          <w:p w14:paraId="6217BC47" w14:textId="077A14CE" w:rsidR="00341D46" w:rsidRPr="002A6DDF" w:rsidRDefault="00341D46" w:rsidP="002C0A6B">
            <w:pPr>
              <w:rPr>
                <w:rFonts w:ascii="Arial" w:eastAsiaTheme="minorEastAsia" w:hAnsi="Arial" w:cs="Arial"/>
                <w:szCs w:val="24"/>
              </w:rPr>
            </w:pPr>
            <w:r w:rsidRPr="002A6DDF">
              <w:rPr>
                <w:rFonts w:ascii="Arial" w:eastAsiaTheme="minorEastAsia" w:hAnsi="Arial" w:cs="Arial"/>
                <w:b/>
                <w:bCs/>
                <w:szCs w:val="24"/>
              </w:rPr>
              <w:t>ROE for year 2019</w:t>
            </w:r>
            <w:r w:rsidRPr="002A6DDF">
              <w:rPr>
                <w:rFonts w:ascii="Arial" w:eastAsiaTheme="minorEastAsia" w:hAnsi="Arial" w:cs="Arial"/>
                <w:szCs w:val="24"/>
              </w:rPr>
              <w:t xml:space="preserve">=  </w:t>
            </w:r>
            <m:oMath>
              <m:f>
                <m:fPr>
                  <m:ctrlPr>
                    <w:rPr>
                      <w:rFonts w:ascii="Cambria Math" w:hAnsi="Cambria Math" w:cs="Arial"/>
                      <w:i/>
                      <w:szCs w:val="24"/>
                    </w:rPr>
                  </m:ctrlPr>
                </m:fPr>
                <m:num>
                  <m:r>
                    <m:rPr>
                      <m:sty m:val="p"/>
                    </m:rPr>
                    <w:rPr>
                      <w:rFonts w:ascii="Cambria Math" w:hAnsi="Cambria Math" w:cs="Arial"/>
                      <w:szCs w:val="24"/>
                    </w:rPr>
                    <m:t>431</m:t>
                  </m:r>
                </m:num>
                <m:den>
                  <m:r>
                    <m:rPr>
                      <m:sty m:val="p"/>
                    </m:rPr>
                    <w:rPr>
                      <w:rFonts w:ascii="Cambria Math" w:hAnsi="Cambria Math" w:cs="Arial"/>
                      <w:szCs w:val="24"/>
                    </w:rPr>
                    <m:t>3,088</m:t>
                  </m:r>
                </m:den>
              </m:f>
              <m:r>
                <w:rPr>
                  <w:rFonts w:ascii="Cambria Math" w:hAnsi="Cambria Math" w:cs="Arial"/>
                  <w:szCs w:val="24"/>
                </w:rPr>
                <m:t>*100%</m:t>
              </m:r>
            </m:oMath>
            <w:r w:rsidRPr="002A6DDF">
              <w:rPr>
                <w:rFonts w:ascii="Arial" w:eastAsiaTheme="minorEastAsia" w:hAnsi="Arial" w:cs="Arial"/>
                <w:szCs w:val="24"/>
              </w:rPr>
              <w:t>= 13.957 %</w:t>
            </w:r>
          </w:p>
        </w:tc>
        <w:tc>
          <w:tcPr>
            <w:tcW w:w="4669" w:type="dxa"/>
          </w:tcPr>
          <w:p w14:paraId="439ED40C" w14:textId="50091511" w:rsidR="00341D46" w:rsidRPr="002A6DDF" w:rsidRDefault="00341D46" w:rsidP="002C0A6B">
            <w:pPr>
              <w:rPr>
                <w:rFonts w:ascii="Arial" w:eastAsiaTheme="minorEastAsia" w:hAnsi="Arial" w:cs="Arial"/>
                <w:szCs w:val="24"/>
              </w:rPr>
            </w:pPr>
            <w:r w:rsidRPr="002A6DDF">
              <w:rPr>
                <w:rFonts w:ascii="Arial" w:eastAsiaTheme="minorEastAsia" w:hAnsi="Arial" w:cs="Arial"/>
                <w:b/>
                <w:bCs/>
                <w:szCs w:val="24"/>
              </w:rPr>
              <w:t>ROE for year 2018</w:t>
            </w:r>
            <w:r w:rsidRPr="002A6DDF">
              <w:rPr>
                <w:rFonts w:ascii="Arial" w:eastAsiaTheme="minorEastAsia" w:hAnsi="Arial" w:cs="Arial"/>
                <w:szCs w:val="24"/>
              </w:rPr>
              <w:t xml:space="preserve">=  </w:t>
            </w:r>
            <m:oMath>
              <m:f>
                <m:fPr>
                  <m:ctrlPr>
                    <w:rPr>
                      <w:rFonts w:ascii="Cambria Math" w:hAnsi="Cambria Math" w:cs="Arial"/>
                      <w:i/>
                      <w:szCs w:val="24"/>
                    </w:rPr>
                  </m:ctrlPr>
                </m:fPr>
                <m:num>
                  <m:r>
                    <m:rPr>
                      <m:sty m:val="p"/>
                    </m:rPr>
                    <w:rPr>
                      <w:rFonts w:ascii="Cambria Math" w:hAnsi="Cambria Math" w:cs="Arial"/>
                      <w:szCs w:val="24"/>
                    </w:rPr>
                    <m:t>366</m:t>
                  </m:r>
                </m:num>
                <m:den>
                  <m:r>
                    <m:rPr>
                      <m:sty m:val="p"/>
                    </m:rPr>
                    <w:rPr>
                      <w:rFonts w:ascii="Cambria Math" w:hAnsi="Cambria Math" w:cs="Arial"/>
                      <w:szCs w:val="24"/>
                    </w:rPr>
                    <m:t>2,912</m:t>
                  </m:r>
                </m:den>
              </m:f>
              <m:r>
                <w:rPr>
                  <w:rFonts w:ascii="Cambria Math" w:hAnsi="Cambria Math" w:cs="Arial"/>
                  <w:szCs w:val="24"/>
                </w:rPr>
                <m:t>*100%</m:t>
              </m:r>
            </m:oMath>
            <w:r w:rsidRPr="002A6DDF">
              <w:rPr>
                <w:rFonts w:ascii="Arial" w:eastAsiaTheme="minorEastAsia" w:hAnsi="Arial" w:cs="Arial"/>
                <w:szCs w:val="24"/>
              </w:rPr>
              <w:t>=12.568%</w:t>
            </w:r>
          </w:p>
        </w:tc>
      </w:tr>
    </w:tbl>
    <w:p w14:paraId="1A828007" w14:textId="27E536DA" w:rsidR="008960B5" w:rsidRPr="002A6DDF" w:rsidRDefault="008960B5" w:rsidP="007A37F6">
      <w:pPr>
        <w:rPr>
          <w:rFonts w:ascii="Arial" w:hAnsi="Arial" w:cs="Arial"/>
          <w:color w:val="auto"/>
          <w:szCs w:val="24"/>
        </w:rPr>
      </w:pPr>
    </w:p>
    <w:tbl>
      <w:tblPr>
        <w:tblStyle w:val="TableGrid"/>
        <w:tblW w:w="0" w:type="auto"/>
        <w:tblLook w:val="04A0" w:firstRow="1" w:lastRow="0" w:firstColumn="1" w:lastColumn="0" w:noHBand="0" w:noVBand="1"/>
      </w:tblPr>
      <w:tblGrid>
        <w:gridCol w:w="4675"/>
        <w:gridCol w:w="4669"/>
      </w:tblGrid>
      <w:tr w:rsidR="00341D46" w:rsidRPr="002A6DDF" w14:paraId="109F3080" w14:textId="77777777" w:rsidTr="002C0A6B">
        <w:tc>
          <w:tcPr>
            <w:tcW w:w="4675" w:type="dxa"/>
          </w:tcPr>
          <w:p w14:paraId="35260614" w14:textId="0112F23F" w:rsidR="00341D46" w:rsidRPr="002A6DDF" w:rsidRDefault="00341D46" w:rsidP="002C0A6B">
            <w:pPr>
              <w:rPr>
                <w:rFonts w:ascii="Arial" w:eastAsiaTheme="minorEastAsia" w:hAnsi="Arial" w:cs="Arial"/>
                <w:szCs w:val="24"/>
              </w:rPr>
            </w:pPr>
            <w:r w:rsidRPr="002A6DDF">
              <w:rPr>
                <w:rFonts w:ascii="Arial" w:eastAsiaTheme="minorEastAsia" w:hAnsi="Arial" w:cs="Arial"/>
                <w:b/>
                <w:bCs/>
                <w:szCs w:val="24"/>
              </w:rPr>
              <w:t>EPS for 2019</w:t>
            </w:r>
            <w:r w:rsidRPr="002A6DDF">
              <w:rPr>
                <w:rFonts w:ascii="Arial" w:eastAsiaTheme="minorEastAsia" w:hAnsi="Arial" w:cs="Arial"/>
                <w:szCs w:val="24"/>
              </w:rPr>
              <w:t xml:space="preserve"> = </w:t>
            </w:r>
            <m:oMath>
              <m:f>
                <m:fPr>
                  <m:ctrlPr>
                    <w:rPr>
                      <w:rFonts w:ascii="Cambria Math" w:hAnsi="Cambria Math" w:cs="Arial"/>
                      <w:i/>
                      <w:szCs w:val="24"/>
                    </w:rPr>
                  </m:ctrlPr>
                </m:fPr>
                <m:num>
                  <m:r>
                    <w:rPr>
                      <w:rFonts w:ascii="Cambria Math" w:hAnsi="Cambria Math" w:cs="Arial"/>
                      <w:szCs w:val="24"/>
                    </w:rPr>
                    <m:t xml:space="preserve">431-255 </m:t>
                  </m:r>
                </m:num>
                <m:den>
                  <m:r>
                    <w:rPr>
                      <w:rFonts w:ascii="Cambria Math" w:hAnsi="Cambria Math" w:cs="Arial"/>
                      <w:szCs w:val="24"/>
                    </w:rPr>
                    <m:t>50</m:t>
                  </m:r>
                </m:den>
              </m:f>
            </m:oMath>
            <w:r w:rsidRPr="002A6DDF">
              <w:rPr>
                <w:rFonts w:ascii="Arial" w:eastAsiaTheme="minorEastAsia" w:hAnsi="Arial" w:cs="Arial"/>
                <w:szCs w:val="24"/>
              </w:rPr>
              <w:t xml:space="preserve">= 3.52 p </w:t>
            </w:r>
          </w:p>
        </w:tc>
        <w:tc>
          <w:tcPr>
            <w:tcW w:w="4669" w:type="dxa"/>
          </w:tcPr>
          <w:p w14:paraId="0EC40276" w14:textId="1CFF635C" w:rsidR="00341D46" w:rsidRPr="002A6DDF" w:rsidRDefault="00341D46" w:rsidP="002C0A6B">
            <w:pPr>
              <w:rPr>
                <w:rFonts w:ascii="Arial" w:hAnsi="Arial" w:cs="Arial"/>
                <w:szCs w:val="24"/>
              </w:rPr>
            </w:pPr>
            <w:r w:rsidRPr="002A6DDF">
              <w:rPr>
                <w:rFonts w:ascii="Arial" w:eastAsiaTheme="minorEastAsia" w:hAnsi="Arial" w:cs="Arial"/>
                <w:b/>
                <w:bCs/>
                <w:szCs w:val="24"/>
              </w:rPr>
              <w:t>EPS for 2018</w:t>
            </w:r>
            <w:r w:rsidRPr="002A6DDF">
              <w:rPr>
                <w:rFonts w:ascii="Arial" w:eastAsiaTheme="minorEastAsia" w:hAnsi="Arial" w:cs="Arial"/>
                <w:szCs w:val="24"/>
              </w:rPr>
              <w:t xml:space="preserve">= </w:t>
            </w:r>
            <m:oMath>
              <m:f>
                <m:fPr>
                  <m:ctrlPr>
                    <w:rPr>
                      <w:rFonts w:ascii="Cambria Math" w:hAnsi="Cambria Math" w:cs="Arial"/>
                      <w:i/>
                      <w:szCs w:val="24"/>
                    </w:rPr>
                  </m:ctrlPr>
                </m:fPr>
                <m:num>
                  <m:r>
                    <w:rPr>
                      <w:rFonts w:ascii="Cambria Math" w:hAnsi="Cambria Math" w:cs="Arial"/>
                      <w:szCs w:val="24"/>
                    </w:rPr>
                    <m:t>366-242</m:t>
                  </m:r>
                </m:num>
                <m:den>
                  <m:r>
                    <w:rPr>
                      <w:rFonts w:ascii="Cambria Math" w:hAnsi="Cambria Math" w:cs="Arial"/>
                      <w:szCs w:val="24"/>
                    </w:rPr>
                    <m:t>50</m:t>
                  </m:r>
                </m:den>
              </m:f>
            </m:oMath>
            <w:r w:rsidRPr="002A6DDF">
              <w:rPr>
                <w:rFonts w:ascii="Arial" w:eastAsiaTheme="minorEastAsia" w:hAnsi="Arial" w:cs="Arial"/>
                <w:szCs w:val="24"/>
              </w:rPr>
              <w:t xml:space="preserve">= 2.48 p </w:t>
            </w:r>
          </w:p>
        </w:tc>
      </w:tr>
    </w:tbl>
    <w:p w14:paraId="1A22043E" w14:textId="1F760956" w:rsidR="00D8752F" w:rsidRPr="002A6DDF" w:rsidRDefault="00D8752F" w:rsidP="007A37F6">
      <w:pPr>
        <w:rPr>
          <w:rFonts w:ascii="Arial" w:hAnsi="Arial" w:cs="Arial"/>
          <w:szCs w:val="24"/>
        </w:rPr>
      </w:pPr>
    </w:p>
    <w:tbl>
      <w:tblPr>
        <w:tblStyle w:val="TableGrid"/>
        <w:tblW w:w="0" w:type="auto"/>
        <w:tblLook w:val="04A0" w:firstRow="1" w:lastRow="0" w:firstColumn="1" w:lastColumn="0" w:noHBand="0" w:noVBand="1"/>
      </w:tblPr>
      <w:tblGrid>
        <w:gridCol w:w="4675"/>
        <w:gridCol w:w="4669"/>
      </w:tblGrid>
      <w:tr w:rsidR="00341D46" w:rsidRPr="002A6DDF" w14:paraId="688D0FD0" w14:textId="77777777" w:rsidTr="002C0A6B">
        <w:tc>
          <w:tcPr>
            <w:tcW w:w="4675" w:type="dxa"/>
          </w:tcPr>
          <w:p w14:paraId="2301F996" w14:textId="3B0157B7" w:rsidR="00341D46" w:rsidRPr="002A6DDF" w:rsidRDefault="00341D46" w:rsidP="002C0A6B">
            <w:pPr>
              <w:rPr>
                <w:rFonts w:ascii="Arial" w:eastAsiaTheme="minorEastAsia" w:hAnsi="Arial" w:cs="Arial"/>
                <w:szCs w:val="24"/>
              </w:rPr>
            </w:pPr>
            <w:r w:rsidRPr="002A6DDF">
              <w:rPr>
                <w:rFonts w:ascii="Arial" w:eastAsiaTheme="minorEastAsia" w:hAnsi="Arial" w:cs="Arial"/>
                <w:b/>
                <w:bCs/>
                <w:szCs w:val="24"/>
              </w:rPr>
              <w:t>Gross profit margin for year 2019</w:t>
            </w:r>
            <w:r w:rsidRPr="002A6DDF">
              <w:rPr>
                <w:rFonts w:ascii="Arial" w:eastAsiaTheme="minorEastAsia" w:hAnsi="Arial" w:cs="Arial"/>
                <w:szCs w:val="24"/>
              </w:rPr>
              <w:t xml:space="preserve">= </w:t>
            </w:r>
            <m:oMath>
              <m:f>
                <m:fPr>
                  <m:ctrlPr>
                    <w:rPr>
                      <w:rFonts w:ascii="Cambria Math" w:hAnsi="Cambria Math" w:cs="Arial"/>
                      <w:i/>
                      <w:szCs w:val="24"/>
                    </w:rPr>
                  </m:ctrlPr>
                </m:fPr>
                <m:num>
                  <m:r>
                    <m:rPr>
                      <m:sty m:val="p"/>
                    </m:rPr>
                    <w:rPr>
                      <w:rFonts w:ascii="Cambria Math" w:hAnsi="Cambria Math" w:cs="Arial"/>
                      <w:szCs w:val="24"/>
                    </w:rPr>
                    <m:t xml:space="preserve">3,503 </m:t>
                  </m:r>
                  <m:r>
                    <w:rPr>
                      <w:rFonts w:ascii="Cambria Math" w:hAnsi="Cambria Math" w:cs="Arial"/>
                      <w:szCs w:val="24"/>
                    </w:rPr>
                    <m:t xml:space="preserve"> </m:t>
                  </m:r>
                </m:num>
                <m:den>
                  <m:r>
                    <m:rPr>
                      <m:sty m:val="p"/>
                    </m:rPr>
                    <w:rPr>
                      <w:rFonts w:ascii="Cambria Math" w:hAnsi="Cambria Math" w:cs="Arial"/>
                      <w:szCs w:val="24"/>
                    </w:rPr>
                    <m:t>6,738</m:t>
                  </m:r>
                </m:den>
              </m:f>
              <m:r>
                <w:rPr>
                  <w:rFonts w:ascii="Cambria Math" w:hAnsi="Cambria Math" w:cs="Arial"/>
                  <w:szCs w:val="24"/>
                </w:rPr>
                <m:t>*100%</m:t>
              </m:r>
            </m:oMath>
            <w:r w:rsidRPr="002A6DDF">
              <w:rPr>
                <w:rFonts w:ascii="Arial" w:eastAsiaTheme="minorEastAsia" w:hAnsi="Arial" w:cs="Arial"/>
                <w:szCs w:val="24"/>
              </w:rPr>
              <w:t>= 51.988 %</w:t>
            </w:r>
          </w:p>
        </w:tc>
        <w:tc>
          <w:tcPr>
            <w:tcW w:w="4669" w:type="dxa"/>
          </w:tcPr>
          <w:p w14:paraId="1DD0A66B" w14:textId="710C5482" w:rsidR="00341D46" w:rsidRPr="002A6DDF" w:rsidRDefault="00341D46" w:rsidP="002C0A6B">
            <w:pPr>
              <w:rPr>
                <w:rFonts w:ascii="Arial" w:hAnsi="Arial" w:cs="Arial"/>
                <w:szCs w:val="24"/>
              </w:rPr>
            </w:pPr>
            <w:r w:rsidRPr="002A6DDF">
              <w:rPr>
                <w:rFonts w:ascii="Arial" w:eastAsiaTheme="minorEastAsia" w:hAnsi="Arial" w:cs="Arial"/>
                <w:b/>
                <w:bCs/>
                <w:szCs w:val="24"/>
              </w:rPr>
              <w:t>Gross profit margin for year 2018</w:t>
            </w:r>
            <w:r w:rsidRPr="002A6DDF">
              <w:rPr>
                <w:rFonts w:ascii="Arial" w:eastAsiaTheme="minorEastAsia" w:hAnsi="Arial" w:cs="Arial"/>
                <w:szCs w:val="24"/>
              </w:rPr>
              <w:t xml:space="preserve">= </w:t>
            </w:r>
            <m:oMath>
              <m:f>
                <m:fPr>
                  <m:ctrlPr>
                    <w:rPr>
                      <w:rFonts w:ascii="Cambria Math" w:hAnsi="Cambria Math" w:cs="Arial"/>
                      <w:i/>
                      <w:szCs w:val="24"/>
                    </w:rPr>
                  </m:ctrlPr>
                </m:fPr>
                <m:num>
                  <m:r>
                    <m:rPr>
                      <m:sty m:val="p"/>
                    </m:rPr>
                    <w:rPr>
                      <w:rFonts w:ascii="Cambria Math" w:hAnsi="Cambria Math" w:cs="Arial"/>
                      <w:szCs w:val="24"/>
                    </w:rPr>
                    <m:t>3,345</m:t>
                  </m:r>
                  <m:r>
                    <w:rPr>
                      <w:rFonts w:ascii="Cambria Math" w:hAnsi="Cambria Math" w:cs="Arial"/>
                      <w:szCs w:val="24"/>
                    </w:rPr>
                    <m:t xml:space="preserve"> </m:t>
                  </m:r>
                </m:num>
                <m:den>
                  <m:r>
                    <m:rPr>
                      <m:sty m:val="p"/>
                    </m:rPr>
                    <w:rPr>
                      <w:rFonts w:ascii="Cambria Math" w:hAnsi="Cambria Math" w:cs="Arial"/>
                      <w:szCs w:val="24"/>
                    </w:rPr>
                    <m:t>6,441</m:t>
                  </m:r>
                </m:den>
              </m:f>
              <m:r>
                <w:rPr>
                  <w:rFonts w:ascii="Cambria Math" w:hAnsi="Cambria Math" w:cs="Arial"/>
                  <w:szCs w:val="24"/>
                </w:rPr>
                <m:t>*100%</m:t>
              </m:r>
            </m:oMath>
            <w:r w:rsidRPr="002A6DDF">
              <w:rPr>
                <w:rFonts w:ascii="Arial" w:eastAsiaTheme="minorEastAsia" w:hAnsi="Arial" w:cs="Arial"/>
                <w:szCs w:val="24"/>
              </w:rPr>
              <w:t>= 51.932 %</w:t>
            </w:r>
          </w:p>
        </w:tc>
      </w:tr>
    </w:tbl>
    <w:p w14:paraId="680E8747" w14:textId="0E50EE4E" w:rsidR="00BB46A7" w:rsidRPr="002A6DDF" w:rsidRDefault="00BB46A7" w:rsidP="00126D54">
      <w:pPr>
        <w:rPr>
          <w:rFonts w:ascii="Arial" w:hAnsi="Arial" w:cs="Arial"/>
        </w:rPr>
      </w:pPr>
    </w:p>
    <w:tbl>
      <w:tblPr>
        <w:tblStyle w:val="TableGrid"/>
        <w:tblW w:w="0" w:type="auto"/>
        <w:tblLook w:val="04A0" w:firstRow="1" w:lastRow="0" w:firstColumn="1" w:lastColumn="0" w:noHBand="0" w:noVBand="1"/>
      </w:tblPr>
      <w:tblGrid>
        <w:gridCol w:w="4675"/>
        <w:gridCol w:w="4669"/>
      </w:tblGrid>
      <w:tr w:rsidR="00341D46" w:rsidRPr="002A6DDF" w14:paraId="0231D972" w14:textId="77777777" w:rsidTr="002C0A6B">
        <w:tc>
          <w:tcPr>
            <w:tcW w:w="4675" w:type="dxa"/>
          </w:tcPr>
          <w:p w14:paraId="3521D624" w14:textId="5C878181" w:rsidR="00341D46" w:rsidRPr="002A6DDF" w:rsidRDefault="00341D46" w:rsidP="002C0A6B">
            <w:pPr>
              <w:rPr>
                <w:rFonts w:ascii="Arial" w:eastAsiaTheme="minorEastAsia" w:hAnsi="Arial" w:cs="Arial"/>
                <w:szCs w:val="24"/>
              </w:rPr>
            </w:pPr>
            <w:r w:rsidRPr="002A6DDF">
              <w:rPr>
                <w:rFonts w:ascii="Arial" w:eastAsiaTheme="minorEastAsia" w:hAnsi="Arial" w:cs="Arial"/>
                <w:b/>
                <w:bCs/>
                <w:szCs w:val="24"/>
              </w:rPr>
              <w:t>Asset turnover for year 2019</w:t>
            </w:r>
            <w:r w:rsidRPr="002A6DDF">
              <w:rPr>
                <w:rFonts w:ascii="Arial" w:eastAsiaTheme="minorEastAsia" w:hAnsi="Arial" w:cs="Arial"/>
                <w:szCs w:val="24"/>
              </w:rPr>
              <w:t xml:space="preserve"> = </w:t>
            </w:r>
            <m:oMath>
              <m:f>
                <m:fPr>
                  <m:ctrlPr>
                    <w:rPr>
                      <w:rFonts w:ascii="Cambria Math" w:hAnsi="Cambria Math" w:cs="Arial"/>
                      <w:i/>
                      <w:szCs w:val="24"/>
                    </w:rPr>
                  </m:ctrlPr>
                </m:fPr>
                <m:num>
                  <m:r>
                    <m:rPr>
                      <m:sty m:val="p"/>
                    </m:rPr>
                    <w:rPr>
                      <w:rFonts w:ascii="Cambria Math" w:hAnsi="Cambria Math" w:cs="Arial"/>
                      <w:szCs w:val="24"/>
                    </w:rPr>
                    <m:t>6,738</m:t>
                  </m:r>
                  <m:r>
                    <w:rPr>
                      <w:rFonts w:ascii="Cambria Math" w:hAnsi="Cambria Math" w:cs="Arial"/>
                      <w:szCs w:val="24"/>
                    </w:rPr>
                    <m:t xml:space="preserve">  </m:t>
                  </m:r>
                </m:num>
                <m:den>
                  <m:r>
                    <m:rPr>
                      <m:sty m:val="p"/>
                    </m:rPr>
                    <w:rPr>
                      <w:rFonts w:ascii="Cambria Math" w:hAnsi="Cambria Math" w:cs="Arial"/>
                      <w:szCs w:val="24"/>
                    </w:rPr>
                    <m:t xml:space="preserve">3,088 </m:t>
                  </m:r>
                  <m:r>
                    <w:rPr>
                      <w:rFonts w:ascii="Cambria Math" w:hAnsi="Cambria Math" w:cs="Arial"/>
                      <w:szCs w:val="24"/>
                    </w:rPr>
                    <m:t xml:space="preserve"> </m:t>
                  </m:r>
                </m:den>
              </m:f>
            </m:oMath>
            <w:r w:rsidRPr="002A6DDF">
              <w:rPr>
                <w:rFonts w:ascii="Arial" w:eastAsiaTheme="minorEastAsia" w:hAnsi="Arial" w:cs="Arial"/>
                <w:szCs w:val="24"/>
              </w:rPr>
              <w:t>= 2.18</w:t>
            </w:r>
          </w:p>
        </w:tc>
        <w:tc>
          <w:tcPr>
            <w:tcW w:w="4669" w:type="dxa"/>
          </w:tcPr>
          <w:p w14:paraId="6E20FA5E" w14:textId="0A61FF72" w:rsidR="00341D46" w:rsidRPr="002A6DDF" w:rsidRDefault="00341D46" w:rsidP="002C0A6B">
            <w:pPr>
              <w:rPr>
                <w:rFonts w:ascii="Arial" w:hAnsi="Arial" w:cs="Arial"/>
                <w:szCs w:val="24"/>
              </w:rPr>
            </w:pPr>
            <w:r w:rsidRPr="002A6DDF">
              <w:rPr>
                <w:rFonts w:ascii="Arial" w:eastAsiaTheme="minorEastAsia" w:hAnsi="Arial" w:cs="Arial"/>
                <w:b/>
                <w:bCs/>
                <w:szCs w:val="24"/>
              </w:rPr>
              <w:t>Asset turnover for year 2018</w:t>
            </w:r>
            <w:r w:rsidRPr="002A6DDF">
              <w:rPr>
                <w:rFonts w:ascii="Arial" w:eastAsiaTheme="minorEastAsia" w:hAnsi="Arial" w:cs="Arial"/>
                <w:szCs w:val="24"/>
              </w:rPr>
              <w:t xml:space="preserve"> = </w:t>
            </w:r>
            <m:oMath>
              <m:f>
                <m:fPr>
                  <m:ctrlPr>
                    <w:rPr>
                      <w:rFonts w:ascii="Cambria Math" w:hAnsi="Cambria Math" w:cs="Arial"/>
                      <w:i/>
                      <w:szCs w:val="24"/>
                    </w:rPr>
                  </m:ctrlPr>
                </m:fPr>
                <m:num>
                  <m:r>
                    <m:rPr>
                      <m:sty m:val="p"/>
                    </m:rPr>
                    <w:rPr>
                      <w:rFonts w:ascii="Cambria Math" w:hAnsi="Cambria Math" w:cs="Arial"/>
                      <w:szCs w:val="24"/>
                    </w:rPr>
                    <m:t>6,441</m:t>
                  </m:r>
                  <m:r>
                    <w:rPr>
                      <w:rFonts w:ascii="Cambria Math" w:hAnsi="Cambria Math" w:cs="Arial"/>
                      <w:szCs w:val="24"/>
                    </w:rPr>
                    <m:t xml:space="preserve">  </m:t>
                  </m:r>
                </m:num>
                <m:den>
                  <m:r>
                    <m:rPr>
                      <m:sty m:val="p"/>
                    </m:rPr>
                    <w:rPr>
                      <w:rFonts w:ascii="Cambria Math" w:hAnsi="Cambria Math" w:cs="Arial"/>
                      <w:szCs w:val="24"/>
                    </w:rPr>
                    <m:t>2,912</m:t>
                  </m:r>
                </m:den>
              </m:f>
            </m:oMath>
            <w:r w:rsidRPr="002A6DDF">
              <w:rPr>
                <w:rFonts w:ascii="Arial" w:eastAsiaTheme="minorEastAsia" w:hAnsi="Arial" w:cs="Arial"/>
                <w:szCs w:val="24"/>
              </w:rPr>
              <w:t>= 2.21</w:t>
            </w:r>
          </w:p>
        </w:tc>
      </w:tr>
    </w:tbl>
    <w:p w14:paraId="071C2560" w14:textId="51D2D371" w:rsidR="008960B5" w:rsidRPr="002A6DDF" w:rsidRDefault="008960B5" w:rsidP="007A37F6">
      <w:pPr>
        <w:rPr>
          <w:rFonts w:ascii="Arial" w:hAnsi="Arial" w:cs="Arial"/>
          <w:b/>
          <w:bCs/>
          <w:color w:val="0E101A"/>
          <w:szCs w:val="24"/>
        </w:rPr>
      </w:pPr>
    </w:p>
    <w:tbl>
      <w:tblPr>
        <w:tblStyle w:val="TableGrid"/>
        <w:tblW w:w="0" w:type="auto"/>
        <w:tblLook w:val="04A0" w:firstRow="1" w:lastRow="0" w:firstColumn="1" w:lastColumn="0" w:noHBand="0" w:noVBand="1"/>
      </w:tblPr>
      <w:tblGrid>
        <w:gridCol w:w="4675"/>
        <w:gridCol w:w="4669"/>
      </w:tblGrid>
      <w:tr w:rsidR="00341D46" w:rsidRPr="002A6DDF" w14:paraId="4A512260" w14:textId="77777777" w:rsidTr="002C0A6B">
        <w:tc>
          <w:tcPr>
            <w:tcW w:w="4675" w:type="dxa"/>
          </w:tcPr>
          <w:p w14:paraId="0888D404" w14:textId="50CDAE73" w:rsidR="00341D46" w:rsidRPr="002A6DDF" w:rsidRDefault="00341D46" w:rsidP="002C0A6B">
            <w:pPr>
              <w:rPr>
                <w:rFonts w:ascii="Arial" w:eastAsiaTheme="minorEastAsia" w:hAnsi="Arial" w:cs="Arial"/>
                <w:szCs w:val="24"/>
              </w:rPr>
            </w:pPr>
            <w:r w:rsidRPr="002A6DDF">
              <w:rPr>
                <w:rFonts w:ascii="Arial" w:hAnsi="Arial" w:cs="Arial"/>
                <w:b/>
                <w:bCs/>
                <w:szCs w:val="24"/>
              </w:rPr>
              <w:lastRenderedPageBreak/>
              <w:t>The stock holding period for year 2019</w:t>
            </w:r>
            <w:r w:rsidRPr="002A6DDF">
              <w:rPr>
                <w:rFonts w:ascii="Arial" w:hAnsi="Arial" w:cs="Arial"/>
                <w:szCs w:val="24"/>
              </w:rPr>
              <w:t xml:space="preserve">= </w:t>
            </w:r>
            <m:oMath>
              <m:f>
                <m:fPr>
                  <m:ctrlPr>
                    <w:rPr>
                      <w:rFonts w:ascii="Cambria Math" w:hAnsi="Cambria Math" w:cs="Arial"/>
                      <w:i/>
                      <w:szCs w:val="24"/>
                    </w:rPr>
                  </m:ctrlPr>
                </m:fPr>
                <m:num>
                  <m:r>
                    <m:rPr>
                      <m:sty m:val="p"/>
                    </m:rPr>
                    <w:rPr>
                      <w:rFonts w:ascii="Cambria Math" w:hAnsi="Cambria Math" w:cs="Arial"/>
                      <w:szCs w:val="24"/>
                    </w:rPr>
                    <m:t>708</m:t>
                  </m:r>
                </m:num>
                <m:den>
                  <m:r>
                    <m:rPr>
                      <m:sty m:val="p"/>
                    </m:rPr>
                    <w:rPr>
                      <w:rFonts w:ascii="Cambria Math" w:hAnsi="Cambria Math" w:cs="Arial"/>
                      <w:szCs w:val="24"/>
                    </w:rPr>
                    <m:t>3,235</m:t>
                  </m:r>
                </m:den>
              </m:f>
              <m:r>
                <w:rPr>
                  <w:rFonts w:ascii="Cambria Math" w:hAnsi="Cambria Math" w:cs="Arial"/>
                  <w:szCs w:val="24"/>
                </w:rPr>
                <m:t>*365</m:t>
              </m:r>
            </m:oMath>
            <w:r w:rsidRPr="002A6DDF">
              <w:rPr>
                <w:rFonts w:ascii="Arial" w:eastAsiaTheme="minorEastAsia" w:hAnsi="Arial" w:cs="Arial"/>
                <w:szCs w:val="24"/>
              </w:rPr>
              <w:t xml:space="preserve">= 80 days </w:t>
            </w:r>
          </w:p>
        </w:tc>
        <w:tc>
          <w:tcPr>
            <w:tcW w:w="4669" w:type="dxa"/>
          </w:tcPr>
          <w:p w14:paraId="043A440C" w14:textId="7DAA555B" w:rsidR="00341D46" w:rsidRPr="002A6DDF" w:rsidRDefault="00341D46" w:rsidP="002C0A6B">
            <w:pPr>
              <w:rPr>
                <w:rFonts w:ascii="Arial" w:eastAsiaTheme="minorEastAsia" w:hAnsi="Arial" w:cs="Arial"/>
                <w:szCs w:val="24"/>
              </w:rPr>
            </w:pPr>
            <w:r w:rsidRPr="002A6DDF">
              <w:rPr>
                <w:rFonts w:ascii="Arial" w:hAnsi="Arial" w:cs="Arial"/>
                <w:b/>
                <w:bCs/>
                <w:szCs w:val="24"/>
              </w:rPr>
              <w:t>The stock holding period for year 2018</w:t>
            </w:r>
            <w:r w:rsidRPr="002A6DDF">
              <w:rPr>
                <w:rFonts w:ascii="Arial" w:hAnsi="Arial" w:cs="Arial"/>
                <w:szCs w:val="24"/>
              </w:rPr>
              <w:t xml:space="preserve">= </w:t>
            </w:r>
            <m:oMath>
              <m:f>
                <m:fPr>
                  <m:ctrlPr>
                    <w:rPr>
                      <w:rFonts w:ascii="Cambria Math" w:hAnsi="Cambria Math" w:cs="Arial"/>
                      <w:i/>
                      <w:szCs w:val="24"/>
                    </w:rPr>
                  </m:ctrlPr>
                </m:fPr>
                <m:num>
                  <m:r>
                    <w:rPr>
                      <w:rFonts w:ascii="Cambria Math" w:hAnsi="Cambria Math" w:cs="Arial"/>
                      <w:szCs w:val="24"/>
                    </w:rPr>
                    <m:t>659</m:t>
                  </m:r>
                </m:num>
                <m:den>
                  <m:r>
                    <m:rPr>
                      <m:sty m:val="p"/>
                    </m:rPr>
                    <w:rPr>
                      <w:rFonts w:ascii="Cambria Math" w:hAnsi="Cambria Math" w:cs="Arial"/>
                      <w:szCs w:val="24"/>
                    </w:rPr>
                    <m:t>3,096</m:t>
                  </m:r>
                </m:den>
              </m:f>
              <m:r>
                <w:rPr>
                  <w:rFonts w:ascii="Cambria Math" w:hAnsi="Cambria Math" w:cs="Arial"/>
                  <w:szCs w:val="24"/>
                </w:rPr>
                <m:t>*365</m:t>
              </m:r>
            </m:oMath>
            <w:r w:rsidRPr="002A6DDF">
              <w:rPr>
                <w:rFonts w:ascii="Arial" w:eastAsiaTheme="minorEastAsia" w:hAnsi="Arial" w:cs="Arial"/>
                <w:szCs w:val="24"/>
              </w:rPr>
              <w:t xml:space="preserve">= 74 days </w:t>
            </w:r>
          </w:p>
        </w:tc>
      </w:tr>
    </w:tbl>
    <w:p w14:paraId="22C1399F" w14:textId="20067D3B" w:rsidR="007A37F6" w:rsidRPr="002A6DDF" w:rsidRDefault="007A37F6" w:rsidP="007A37F6">
      <w:pPr>
        <w:rPr>
          <w:rFonts w:ascii="Arial" w:hAnsi="Arial" w:cs="Arial"/>
          <w:szCs w:val="24"/>
        </w:rPr>
      </w:pPr>
    </w:p>
    <w:tbl>
      <w:tblPr>
        <w:tblStyle w:val="TableGrid"/>
        <w:tblW w:w="0" w:type="auto"/>
        <w:tblLook w:val="04A0" w:firstRow="1" w:lastRow="0" w:firstColumn="1" w:lastColumn="0" w:noHBand="0" w:noVBand="1"/>
      </w:tblPr>
      <w:tblGrid>
        <w:gridCol w:w="4675"/>
        <w:gridCol w:w="4669"/>
      </w:tblGrid>
      <w:tr w:rsidR="00341D46" w:rsidRPr="002A6DDF" w14:paraId="78FB3511" w14:textId="77777777" w:rsidTr="002C0A6B">
        <w:tc>
          <w:tcPr>
            <w:tcW w:w="4675" w:type="dxa"/>
          </w:tcPr>
          <w:p w14:paraId="7B2F6F88" w14:textId="4C8C075A" w:rsidR="00341D46" w:rsidRPr="002A6DDF" w:rsidRDefault="00341D46" w:rsidP="002C0A6B">
            <w:pPr>
              <w:rPr>
                <w:rFonts w:ascii="Arial" w:eastAsiaTheme="minorEastAsia" w:hAnsi="Arial" w:cs="Arial"/>
                <w:szCs w:val="24"/>
              </w:rPr>
            </w:pPr>
            <w:r w:rsidRPr="002A6DDF">
              <w:rPr>
                <w:rFonts w:ascii="Arial" w:hAnsi="Arial" w:cs="Arial"/>
                <w:b/>
                <w:bCs/>
                <w:szCs w:val="24"/>
              </w:rPr>
              <w:t>The debtor's collection period for year 2019</w:t>
            </w:r>
            <w:r w:rsidRPr="002A6DDF">
              <w:rPr>
                <w:rFonts w:ascii="Arial" w:hAnsi="Arial" w:cs="Arial"/>
                <w:szCs w:val="24"/>
              </w:rPr>
              <w:t xml:space="preserve">=  </w:t>
            </w:r>
            <m:oMath>
              <m:f>
                <m:fPr>
                  <m:ctrlPr>
                    <w:rPr>
                      <w:rFonts w:ascii="Cambria Math" w:hAnsi="Cambria Math" w:cs="Arial"/>
                      <w:i/>
                      <w:szCs w:val="24"/>
                    </w:rPr>
                  </m:ctrlPr>
                </m:fPr>
                <m:num>
                  <m:r>
                    <m:rPr>
                      <m:sty m:val="p"/>
                    </m:rPr>
                    <w:rPr>
                      <w:rFonts w:ascii="Cambria Math" w:hAnsi="Cambria Math" w:cs="Arial"/>
                      <w:szCs w:val="24"/>
                    </w:rPr>
                    <m:t>1,249</m:t>
                  </m:r>
                </m:num>
                <m:den>
                  <m:r>
                    <m:rPr>
                      <m:sty m:val="p"/>
                    </m:rPr>
                    <w:rPr>
                      <w:rFonts w:ascii="Cambria Math" w:hAnsi="Cambria Math" w:cs="Arial"/>
                      <w:szCs w:val="24"/>
                    </w:rPr>
                    <m:t>6,441</m:t>
                  </m:r>
                  <m:r>
                    <w:rPr>
                      <w:rFonts w:ascii="Cambria Math" w:hAnsi="Cambria Math" w:cs="Arial"/>
                      <w:szCs w:val="24"/>
                    </w:rPr>
                    <m:t xml:space="preserve"> </m:t>
                  </m:r>
                </m:den>
              </m:f>
              <m:r>
                <w:rPr>
                  <w:rFonts w:ascii="Cambria Math" w:hAnsi="Cambria Math" w:cs="Arial"/>
                  <w:szCs w:val="24"/>
                </w:rPr>
                <m:t>*365</m:t>
              </m:r>
            </m:oMath>
            <w:r w:rsidRPr="002A6DDF">
              <w:rPr>
                <w:rFonts w:ascii="Arial" w:eastAsiaTheme="minorEastAsia" w:hAnsi="Arial" w:cs="Arial"/>
                <w:szCs w:val="24"/>
              </w:rPr>
              <w:t xml:space="preserve">= 71 days </w:t>
            </w:r>
          </w:p>
        </w:tc>
        <w:tc>
          <w:tcPr>
            <w:tcW w:w="4669" w:type="dxa"/>
          </w:tcPr>
          <w:p w14:paraId="65D6B56E" w14:textId="3302DD0A" w:rsidR="00341D46" w:rsidRPr="002A6DDF" w:rsidRDefault="00341D46" w:rsidP="002C0A6B">
            <w:pPr>
              <w:rPr>
                <w:rFonts w:ascii="Arial" w:eastAsiaTheme="minorEastAsia" w:hAnsi="Arial" w:cs="Arial"/>
                <w:szCs w:val="24"/>
              </w:rPr>
            </w:pPr>
            <w:r w:rsidRPr="002A6DDF">
              <w:rPr>
                <w:rFonts w:ascii="Arial" w:hAnsi="Arial" w:cs="Arial"/>
                <w:b/>
                <w:bCs/>
                <w:szCs w:val="24"/>
              </w:rPr>
              <w:t>The debtor's collection period for year 2018</w:t>
            </w:r>
            <w:r w:rsidRPr="002A6DDF">
              <w:rPr>
                <w:rFonts w:ascii="Arial" w:hAnsi="Arial" w:cs="Arial"/>
                <w:szCs w:val="24"/>
              </w:rPr>
              <w:t xml:space="preserve">= </w:t>
            </w:r>
            <m:oMath>
              <m:f>
                <m:fPr>
                  <m:ctrlPr>
                    <w:rPr>
                      <w:rFonts w:ascii="Cambria Math" w:hAnsi="Cambria Math" w:cs="Arial"/>
                      <w:i/>
                      <w:szCs w:val="24"/>
                    </w:rPr>
                  </m:ctrlPr>
                </m:fPr>
                <m:num>
                  <m:r>
                    <m:rPr>
                      <m:sty m:val="p"/>
                    </m:rPr>
                    <w:rPr>
                      <w:rFonts w:ascii="Cambria Math" w:hAnsi="Cambria Math" w:cs="Arial"/>
                      <w:szCs w:val="24"/>
                    </w:rPr>
                    <m:t>1,287</m:t>
                  </m:r>
                </m:num>
                <m:den>
                  <m:r>
                    <m:rPr>
                      <m:sty m:val="p"/>
                    </m:rPr>
                    <w:rPr>
                      <w:rFonts w:ascii="Cambria Math" w:hAnsi="Cambria Math" w:cs="Arial"/>
                      <w:szCs w:val="24"/>
                    </w:rPr>
                    <m:t>6,441</m:t>
                  </m:r>
                </m:den>
              </m:f>
              <m:r>
                <w:rPr>
                  <w:rFonts w:ascii="Cambria Math" w:hAnsi="Cambria Math" w:cs="Arial"/>
                  <w:szCs w:val="24"/>
                </w:rPr>
                <m:t>*365</m:t>
              </m:r>
            </m:oMath>
            <w:r w:rsidRPr="002A6DDF">
              <w:rPr>
                <w:rFonts w:ascii="Arial" w:eastAsiaTheme="minorEastAsia" w:hAnsi="Arial" w:cs="Arial"/>
                <w:szCs w:val="24"/>
              </w:rPr>
              <w:t xml:space="preserve"> = 73 days </w:t>
            </w:r>
          </w:p>
        </w:tc>
      </w:tr>
    </w:tbl>
    <w:p w14:paraId="6C4A38A6" w14:textId="01325AC1" w:rsidR="00592552" w:rsidRPr="002A6DDF" w:rsidRDefault="00592552" w:rsidP="007A37F6">
      <w:pPr>
        <w:rPr>
          <w:rFonts w:ascii="Arial" w:hAnsi="Arial" w:cs="Arial"/>
          <w:szCs w:val="24"/>
        </w:rPr>
      </w:pPr>
    </w:p>
    <w:tbl>
      <w:tblPr>
        <w:tblStyle w:val="TableGrid"/>
        <w:tblW w:w="0" w:type="auto"/>
        <w:tblLook w:val="04A0" w:firstRow="1" w:lastRow="0" w:firstColumn="1" w:lastColumn="0" w:noHBand="0" w:noVBand="1"/>
      </w:tblPr>
      <w:tblGrid>
        <w:gridCol w:w="4675"/>
        <w:gridCol w:w="4669"/>
      </w:tblGrid>
      <w:tr w:rsidR="00341D46" w:rsidRPr="002A6DDF" w14:paraId="16DED37A" w14:textId="77777777" w:rsidTr="002C0A6B">
        <w:tc>
          <w:tcPr>
            <w:tcW w:w="4675" w:type="dxa"/>
          </w:tcPr>
          <w:p w14:paraId="78502743" w14:textId="1D4FF501" w:rsidR="00341D46" w:rsidRPr="002A6DDF" w:rsidRDefault="00341D46" w:rsidP="002C0A6B">
            <w:pPr>
              <w:rPr>
                <w:rFonts w:ascii="Arial" w:eastAsiaTheme="minorEastAsia" w:hAnsi="Arial" w:cs="Arial"/>
                <w:szCs w:val="24"/>
              </w:rPr>
            </w:pPr>
            <w:r w:rsidRPr="002A6DDF">
              <w:rPr>
                <w:rFonts w:ascii="Arial" w:eastAsiaTheme="minorEastAsia" w:hAnsi="Arial" w:cs="Arial"/>
                <w:b/>
                <w:bCs/>
                <w:szCs w:val="24"/>
              </w:rPr>
              <w:t>The current ratio for year 2019</w:t>
            </w:r>
            <w:r w:rsidRPr="002A6DDF">
              <w:rPr>
                <w:rFonts w:ascii="Arial" w:eastAsiaTheme="minorEastAsia" w:hAnsi="Arial" w:cs="Arial"/>
                <w:szCs w:val="24"/>
              </w:rPr>
              <w:t xml:space="preserve">= </w:t>
            </w:r>
            <m:oMath>
              <m:f>
                <m:fPr>
                  <m:ctrlPr>
                    <w:rPr>
                      <w:rFonts w:ascii="Cambria Math" w:hAnsi="Cambria Math" w:cs="Arial"/>
                      <w:i/>
                      <w:szCs w:val="24"/>
                    </w:rPr>
                  </m:ctrlPr>
                </m:fPr>
                <m:num>
                  <m:r>
                    <m:rPr>
                      <m:sty m:val="p"/>
                    </m:rPr>
                    <w:rPr>
                      <w:rFonts w:ascii="Cambria Math" w:hAnsi="Cambria Math" w:cs="Arial"/>
                      <w:szCs w:val="24"/>
                    </w:rPr>
                    <m:t>2,303</m:t>
                  </m:r>
                  <m:r>
                    <w:rPr>
                      <w:rFonts w:ascii="Cambria Math" w:hAnsi="Cambria Math" w:cs="Arial"/>
                      <w:szCs w:val="24"/>
                    </w:rPr>
                    <m:t xml:space="preserve"> </m:t>
                  </m:r>
                </m:num>
                <m:den>
                  <m:r>
                    <w:rPr>
                      <w:rFonts w:ascii="Cambria Math" w:hAnsi="Cambria Math" w:cs="Arial"/>
                      <w:szCs w:val="24"/>
                    </w:rPr>
                    <m:t xml:space="preserve"> 2511</m:t>
                  </m:r>
                </m:den>
              </m:f>
            </m:oMath>
            <w:r w:rsidRPr="002A6DDF">
              <w:rPr>
                <w:rFonts w:ascii="Arial" w:eastAsiaTheme="minorEastAsia" w:hAnsi="Arial" w:cs="Arial"/>
                <w:szCs w:val="24"/>
              </w:rPr>
              <w:t>= 0.917</w:t>
            </w:r>
          </w:p>
        </w:tc>
        <w:tc>
          <w:tcPr>
            <w:tcW w:w="4669" w:type="dxa"/>
          </w:tcPr>
          <w:p w14:paraId="35FF1BEB" w14:textId="1F76DF1D" w:rsidR="00341D46" w:rsidRPr="002A6DDF" w:rsidRDefault="00341D46" w:rsidP="002C0A6B">
            <w:pPr>
              <w:rPr>
                <w:rFonts w:ascii="Arial" w:hAnsi="Arial" w:cs="Arial"/>
                <w:szCs w:val="24"/>
              </w:rPr>
            </w:pPr>
            <w:r w:rsidRPr="002A6DDF">
              <w:rPr>
                <w:rFonts w:ascii="Arial" w:eastAsiaTheme="minorEastAsia" w:hAnsi="Arial" w:cs="Arial"/>
                <w:b/>
                <w:bCs/>
                <w:szCs w:val="24"/>
              </w:rPr>
              <w:t>The current ratio for year 2018</w:t>
            </w:r>
            <w:r w:rsidRPr="002A6DDF">
              <w:rPr>
                <w:rFonts w:ascii="Arial" w:eastAsiaTheme="minorEastAsia" w:hAnsi="Arial" w:cs="Arial"/>
                <w:szCs w:val="24"/>
              </w:rPr>
              <w:t xml:space="preserve">= </w:t>
            </w:r>
            <m:oMath>
              <m:f>
                <m:fPr>
                  <m:ctrlPr>
                    <w:rPr>
                      <w:rFonts w:ascii="Cambria Math" w:hAnsi="Cambria Math" w:cs="Arial"/>
                      <w:i/>
                      <w:szCs w:val="24"/>
                    </w:rPr>
                  </m:ctrlPr>
                </m:fPr>
                <m:num>
                  <m:r>
                    <m:rPr>
                      <m:sty m:val="p"/>
                    </m:rPr>
                    <w:rPr>
                      <w:rFonts w:ascii="Cambria Math" w:hAnsi="Cambria Math" w:cs="Arial"/>
                      <w:szCs w:val="24"/>
                    </w:rPr>
                    <m:t>2,355</m:t>
                  </m:r>
                </m:num>
                <m:den>
                  <m:r>
                    <w:rPr>
                      <w:rFonts w:ascii="Cambria Math" w:hAnsi="Cambria Math" w:cs="Arial"/>
                      <w:szCs w:val="24"/>
                    </w:rPr>
                    <m:t xml:space="preserve">3046 </m:t>
                  </m:r>
                </m:den>
              </m:f>
            </m:oMath>
            <w:r w:rsidRPr="002A6DDF">
              <w:rPr>
                <w:rFonts w:ascii="Arial" w:eastAsiaTheme="minorEastAsia" w:hAnsi="Arial" w:cs="Arial"/>
                <w:szCs w:val="24"/>
              </w:rPr>
              <w:t>= 0.773</w:t>
            </w:r>
          </w:p>
        </w:tc>
      </w:tr>
    </w:tbl>
    <w:p w14:paraId="06140C52" w14:textId="78376D2E" w:rsidR="007A37F6" w:rsidRPr="002A6DDF" w:rsidRDefault="007A37F6" w:rsidP="007A37F6">
      <w:pPr>
        <w:rPr>
          <w:rFonts w:ascii="Arial" w:hAnsi="Arial" w:cs="Arial"/>
          <w:szCs w:val="24"/>
        </w:rPr>
      </w:pPr>
    </w:p>
    <w:tbl>
      <w:tblPr>
        <w:tblStyle w:val="TableGrid"/>
        <w:tblW w:w="0" w:type="auto"/>
        <w:tblLook w:val="04A0" w:firstRow="1" w:lastRow="0" w:firstColumn="1" w:lastColumn="0" w:noHBand="0" w:noVBand="1"/>
      </w:tblPr>
      <w:tblGrid>
        <w:gridCol w:w="4675"/>
        <w:gridCol w:w="4669"/>
      </w:tblGrid>
      <w:tr w:rsidR="00341D46" w:rsidRPr="002A6DDF" w14:paraId="2B6E0AAA" w14:textId="77777777" w:rsidTr="002C0A6B">
        <w:tc>
          <w:tcPr>
            <w:tcW w:w="4675" w:type="dxa"/>
          </w:tcPr>
          <w:p w14:paraId="0B868A43" w14:textId="3D6B2BFF" w:rsidR="00341D46" w:rsidRPr="002A6DDF" w:rsidRDefault="00341D46" w:rsidP="002C0A6B">
            <w:pPr>
              <w:rPr>
                <w:rFonts w:ascii="Arial" w:hAnsi="Arial" w:cs="Arial"/>
                <w:szCs w:val="24"/>
              </w:rPr>
            </w:pPr>
            <w:r w:rsidRPr="002A6DDF">
              <w:rPr>
                <w:rFonts w:ascii="Arial" w:hAnsi="Arial" w:cs="Arial"/>
                <w:b/>
                <w:bCs/>
                <w:szCs w:val="24"/>
              </w:rPr>
              <w:t>Gearing ratio for year 2019</w:t>
            </w:r>
            <w:r w:rsidRPr="002A6DDF">
              <w:rPr>
                <w:rFonts w:ascii="Arial" w:hAnsi="Arial" w:cs="Arial"/>
                <w:szCs w:val="24"/>
              </w:rPr>
              <w:t xml:space="preserve">= </w:t>
            </w:r>
            <m:oMath>
              <m:f>
                <m:fPr>
                  <m:ctrlPr>
                    <w:rPr>
                      <w:rFonts w:ascii="Cambria Math" w:hAnsi="Cambria Math" w:cs="Arial"/>
                      <w:i/>
                      <w:szCs w:val="24"/>
                    </w:rPr>
                  </m:ctrlPr>
                </m:fPr>
                <m:num>
                  <m:r>
                    <w:rPr>
                      <w:rFonts w:ascii="Cambria Math" w:hAnsi="Cambria Math" w:cs="Arial"/>
                      <w:szCs w:val="24"/>
                    </w:rPr>
                    <m:t>6648</m:t>
                  </m:r>
                </m:num>
                <m:den>
                  <m:r>
                    <m:rPr>
                      <m:sty m:val="p"/>
                    </m:rPr>
                    <w:rPr>
                      <w:rFonts w:ascii="Cambria Math" w:hAnsi="Cambria Math" w:cs="Arial"/>
                      <w:szCs w:val="24"/>
                    </w:rPr>
                    <m:t>6648+3,088</m:t>
                  </m:r>
                </m:den>
              </m:f>
              <m:r>
                <w:rPr>
                  <w:rFonts w:ascii="Cambria Math" w:hAnsi="Cambria Math" w:cs="Arial"/>
                  <w:szCs w:val="24"/>
                </w:rPr>
                <m:t>*100%</m:t>
              </m:r>
            </m:oMath>
            <w:r w:rsidRPr="002A6DDF">
              <w:rPr>
                <w:rFonts w:ascii="Arial" w:eastAsiaTheme="minorEastAsia" w:hAnsi="Arial" w:cs="Arial"/>
                <w:szCs w:val="24"/>
              </w:rPr>
              <w:t>= 68.282%</w:t>
            </w:r>
          </w:p>
        </w:tc>
        <w:tc>
          <w:tcPr>
            <w:tcW w:w="4669" w:type="dxa"/>
          </w:tcPr>
          <w:p w14:paraId="4372F000" w14:textId="5383B2D9" w:rsidR="00341D46" w:rsidRPr="002A6DDF" w:rsidRDefault="00341D46" w:rsidP="002C0A6B">
            <w:pPr>
              <w:rPr>
                <w:rFonts w:ascii="Arial" w:hAnsi="Arial" w:cs="Arial"/>
                <w:szCs w:val="24"/>
              </w:rPr>
            </w:pPr>
            <w:r w:rsidRPr="002A6DDF">
              <w:rPr>
                <w:rFonts w:ascii="Arial" w:hAnsi="Arial" w:cs="Arial"/>
                <w:b/>
                <w:bCs/>
                <w:szCs w:val="24"/>
              </w:rPr>
              <w:t>Gearing ratio for year 2018</w:t>
            </w:r>
            <w:r w:rsidRPr="002A6DDF">
              <w:rPr>
                <w:rFonts w:ascii="Arial" w:hAnsi="Arial" w:cs="Arial"/>
                <w:szCs w:val="24"/>
              </w:rPr>
              <w:t xml:space="preserve">= </w:t>
            </w:r>
            <m:oMath>
              <m:f>
                <m:fPr>
                  <m:ctrlPr>
                    <w:rPr>
                      <w:rFonts w:ascii="Cambria Math" w:hAnsi="Cambria Math" w:cs="Arial"/>
                      <w:i/>
                      <w:szCs w:val="24"/>
                    </w:rPr>
                  </m:ctrlPr>
                </m:fPr>
                <m:num>
                  <m:r>
                    <w:rPr>
                      <w:rFonts w:ascii="Cambria Math" w:hAnsi="Cambria Math" w:cs="Arial"/>
                      <w:szCs w:val="24"/>
                    </w:rPr>
                    <m:t>7175</m:t>
                  </m:r>
                </m:num>
                <m:den>
                  <m:r>
                    <m:rPr>
                      <m:sty m:val="p"/>
                    </m:rPr>
                    <w:rPr>
                      <w:rFonts w:ascii="Cambria Math" w:hAnsi="Cambria Math" w:cs="Arial"/>
                      <w:szCs w:val="24"/>
                    </w:rPr>
                    <m:t>7175+2,912</m:t>
                  </m:r>
                  <m:r>
                    <w:rPr>
                      <w:rFonts w:ascii="Cambria Math" w:hAnsi="Cambria Math" w:cs="Arial"/>
                      <w:szCs w:val="24"/>
                    </w:rPr>
                    <m:t xml:space="preserve"> </m:t>
                  </m:r>
                </m:den>
              </m:f>
              <m:r>
                <w:rPr>
                  <w:rFonts w:ascii="Cambria Math" w:hAnsi="Cambria Math" w:cs="Arial"/>
                  <w:szCs w:val="24"/>
                </w:rPr>
                <m:t>*100%</m:t>
              </m:r>
            </m:oMath>
            <w:r w:rsidRPr="002A6DDF">
              <w:rPr>
                <w:rFonts w:ascii="Arial" w:eastAsiaTheme="minorEastAsia" w:hAnsi="Arial" w:cs="Arial"/>
                <w:szCs w:val="24"/>
              </w:rPr>
              <w:t xml:space="preserve"> = 71.131%</w:t>
            </w:r>
          </w:p>
        </w:tc>
      </w:tr>
    </w:tbl>
    <w:p w14:paraId="60408A14" w14:textId="01648303" w:rsidR="00AD271B" w:rsidRPr="002A6DDF" w:rsidRDefault="00AD271B" w:rsidP="007A37F6">
      <w:pPr>
        <w:rPr>
          <w:rFonts w:ascii="Arial" w:hAnsi="Arial" w:cs="Arial"/>
          <w:szCs w:val="24"/>
        </w:rPr>
      </w:pPr>
    </w:p>
    <w:tbl>
      <w:tblPr>
        <w:tblStyle w:val="TableGrid"/>
        <w:tblW w:w="0" w:type="auto"/>
        <w:tblLook w:val="04A0" w:firstRow="1" w:lastRow="0" w:firstColumn="1" w:lastColumn="0" w:noHBand="0" w:noVBand="1"/>
      </w:tblPr>
      <w:tblGrid>
        <w:gridCol w:w="4675"/>
        <w:gridCol w:w="4669"/>
      </w:tblGrid>
      <w:tr w:rsidR="00341D46" w:rsidRPr="002A6DDF" w14:paraId="44FEB4F7" w14:textId="77777777" w:rsidTr="002C0A6B">
        <w:tc>
          <w:tcPr>
            <w:tcW w:w="4675" w:type="dxa"/>
          </w:tcPr>
          <w:p w14:paraId="7B7FD707" w14:textId="774C9268" w:rsidR="00341D46" w:rsidRPr="002A6DDF" w:rsidRDefault="00341D46" w:rsidP="002C0A6B">
            <w:pPr>
              <w:rPr>
                <w:rFonts w:ascii="Arial" w:eastAsiaTheme="minorEastAsia" w:hAnsi="Arial" w:cs="Arial"/>
                <w:szCs w:val="24"/>
              </w:rPr>
            </w:pPr>
            <w:r w:rsidRPr="002A6DDF">
              <w:rPr>
                <w:rFonts w:ascii="Arial" w:eastAsiaTheme="minorEastAsia" w:hAnsi="Arial" w:cs="Arial"/>
                <w:b/>
                <w:bCs/>
                <w:szCs w:val="24"/>
              </w:rPr>
              <w:t>Interest cover for year 2019</w:t>
            </w:r>
            <w:r w:rsidRPr="002A6DDF">
              <w:rPr>
                <w:rFonts w:ascii="Arial" w:eastAsiaTheme="minorEastAsia" w:hAnsi="Arial" w:cs="Arial"/>
                <w:szCs w:val="24"/>
              </w:rPr>
              <w:t xml:space="preserve">= </w:t>
            </w:r>
            <m:oMath>
              <m:f>
                <m:fPr>
                  <m:ctrlPr>
                    <w:rPr>
                      <w:rFonts w:ascii="Cambria Math" w:hAnsi="Cambria Math" w:cs="Arial"/>
                      <w:i/>
                      <w:szCs w:val="24"/>
                    </w:rPr>
                  </m:ctrlPr>
                </m:fPr>
                <m:num>
                  <m:r>
                    <m:rPr>
                      <m:sty m:val="p"/>
                    </m:rPr>
                    <w:rPr>
                      <w:rFonts w:ascii="Cambria Math" w:hAnsi="Cambria Math" w:cs="Arial"/>
                      <w:szCs w:val="24"/>
                    </w:rPr>
                    <m:t>620</m:t>
                  </m:r>
                  <m:r>
                    <w:rPr>
                      <w:rFonts w:ascii="Cambria Math" w:hAnsi="Cambria Math" w:cs="Arial"/>
                      <w:szCs w:val="24"/>
                    </w:rPr>
                    <m:t xml:space="preserve"> </m:t>
                  </m:r>
                </m:num>
                <m:den>
                  <m:r>
                    <w:rPr>
                      <w:rFonts w:ascii="Cambria Math" w:hAnsi="Cambria Math" w:cs="Arial"/>
                      <w:szCs w:val="24"/>
                    </w:rPr>
                    <m:t xml:space="preserve"> 226</m:t>
                  </m:r>
                </m:den>
              </m:f>
            </m:oMath>
            <w:r w:rsidRPr="002A6DDF">
              <w:rPr>
                <w:rFonts w:ascii="Arial" w:eastAsiaTheme="minorEastAsia" w:hAnsi="Arial" w:cs="Arial"/>
                <w:szCs w:val="24"/>
              </w:rPr>
              <w:t>= 2.74</w:t>
            </w:r>
          </w:p>
        </w:tc>
        <w:tc>
          <w:tcPr>
            <w:tcW w:w="4669" w:type="dxa"/>
          </w:tcPr>
          <w:p w14:paraId="7269195B" w14:textId="4F998D53" w:rsidR="00341D46" w:rsidRPr="002A6DDF" w:rsidRDefault="00341D46" w:rsidP="002C0A6B">
            <w:pPr>
              <w:rPr>
                <w:rFonts w:ascii="Arial" w:eastAsiaTheme="minorEastAsia" w:hAnsi="Arial" w:cs="Arial"/>
                <w:szCs w:val="24"/>
              </w:rPr>
            </w:pPr>
            <w:r w:rsidRPr="002A6DDF">
              <w:rPr>
                <w:rFonts w:ascii="Arial" w:eastAsiaTheme="minorEastAsia" w:hAnsi="Arial" w:cs="Arial"/>
                <w:b/>
                <w:bCs/>
                <w:szCs w:val="24"/>
              </w:rPr>
              <w:t>Interest cover for year 2018</w:t>
            </w:r>
            <w:r w:rsidRPr="002A6DDF">
              <w:rPr>
                <w:rFonts w:ascii="Arial" w:eastAsiaTheme="minorEastAsia" w:hAnsi="Arial" w:cs="Arial"/>
                <w:szCs w:val="24"/>
              </w:rPr>
              <w:t xml:space="preserve">= </w:t>
            </w:r>
            <m:oMath>
              <m:f>
                <m:fPr>
                  <m:ctrlPr>
                    <w:rPr>
                      <w:rFonts w:ascii="Cambria Math" w:hAnsi="Cambria Math" w:cs="Arial"/>
                      <w:i/>
                      <w:szCs w:val="24"/>
                    </w:rPr>
                  </m:ctrlPr>
                </m:fPr>
                <m:num>
                  <m:r>
                    <m:rPr>
                      <m:sty m:val="p"/>
                    </m:rPr>
                    <w:rPr>
                      <w:rFonts w:ascii="Cambria Math" w:hAnsi="Cambria Math" w:cs="Arial"/>
                      <w:szCs w:val="24"/>
                    </w:rPr>
                    <m:t>539</m:t>
                  </m:r>
                  <m:r>
                    <w:rPr>
                      <w:rFonts w:ascii="Cambria Math" w:hAnsi="Cambria Math" w:cs="Arial"/>
                      <w:szCs w:val="24"/>
                    </w:rPr>
                    <m:t xml:space="preserve"> </m:t>
                  </m:r>
                </m:num>
                <m:den>
                  <m:r>
                    <w:rPr>
                      <w:rFonts w:ascii="Cambria Math" w:hAnsi="Cambria Math" w:cs="Arial"/>
                      <w:szCs w:val="24"/>
                    </w:rPr>
                    <m:t xml:space="preserve"> 181 </m:t>
                  </m:r>
                </m:den>
              </m:f>
            </m:oMath>
            <w:r w:rsidRPr="002A6DDF">
              <w:rPr>
                <w:rFonts w:ascii="Arial" w:eastAsiaTheme="minorEastAsia" w:hAnsi="Arial" w:cs="Arial"/>
                <w:szCs w:val="24"/>
              </w:rPr>
              <w:t xml:space="preserve"> = 2.97</w:t>
            </w:r>
          </w:p>
        </w:tc>
      </w:tr>
    </w:tbl>
    <w:p w14:paraId="7D2A6E0C" w14:textId="77777777" w:rsidR="002A6DDF" w:rsidRPr="002A6DDF" w:rsidRDefault="002A6DDF" w:rsidP="00126D54">
      <w:pPr>
        <w:pStyle w:val="Heading3"/>
        <w:rPr>
          <w:rFonts w:ascii="Arial" w:hAnsi="Arial" w:cs="Arial"/>
        </w:rPr>
      </w:pPr>
      <w:bookmarkStart w:id="7" w:name="_Toc55714987"/>
      <w:bookmarkStart w:id="8" w:name="_Toc55628764"/>
    </w:p>
    <w:bookmarkEnd w:id="7"/>
    <w:p w14:paraId="20EE0E41" w14:textId="5E7A8CA6" w:rsidR="000535BA" w:rsidRPr="002A6DDF" w:rsidRDefault="002A6DDF" w:rsidP="00126D54">
      <w:pPr>
        <w:pStyle w:val="Heading3"/>
        <w:rPr>
          <w:rFonts w:ascii="Arial" w:hAnsi="Arial" w:cs="Arial"/>
        </w:rPr>
      </w:pPr>
      <w:r w:rsidRPr="002A6DDF">
        <w:rPr>
          <w:rFonts w:ascii="Arial" w:hAnsi="Arial" w:cs="Arial"/>
        </w:rPr>
        <w:t>Evaluation of ratio results</w:t>
      </w:r>
    </w:p>
    <w:p w14:paraId="302028A5" w14:textId="77777777" w:rsidR="002A6DDF" w:rsidRPr="002A6DDF" w:rsidRDefault="002A6DDF" w:rsidP="002A6DDF">
      <w:pPr>
        <w:rPr>
          <w:rFonts w:ascii="Arial" w:hAnsi="Arial" w:cs="Arial"/>
        </w:rPr>
      </w:pPr>
      <w:r w:rsidRPr="002A6DDF">
        <w:rPr>
          <w:rFonts w:ascii="Arial" w:hAnsi="Arial" w:cs="Arial"/>
        </w:rPr>
        <w:t xml:space="preserve">Analyzing the extents assumes that the affiliation is essentially doing incredible. There is some extent that has been extended. The affiliation is advancing splendidly, anyway the interest cover isn't doing so well. Interest cover reduces so the affiliation will face some issue as the affiliation won't prepared to cover the commitment weight of the relationship as time goes on. Various extents are generally improving now. </w:t>
      </w:r>
    </w:p>
    <w:p w14:paraId="5CC40DB1" w14:textId="77777777" w:rsidR="002A6DDF" w:rsidRPr="002A6DDF" w:rsidRDefault="002A6DDF" w:rsidP="002A6DDF">
      <w:pPr>
        <w:rPr>
          <w:rFonts w:ascii="Arial" w:hAnsi="Arial" w:cs="Arial"/>
        </w:rPr>
      </w:pPr>
      <w:r w:rsidRPr="002A6DDF">
        <w:rPr>
          <w:rFonts w:ascii="Arial" w:hAnsi="Arial" w:cs="Arial"/>
        </w:rPr>
        <w:t xml:space="preserve">In the ROCE extent shows that the rate was 7.655% in 2018 and 8.581% in 2019, the balance has been extended from 2018 to 2019, and this exhibits that the legitimate profitability and adequacy is in a nice fulfill and the affiliation can make an advantage from its capital. </w:t>
      </w:r>
    </w:p>
    <w:p w14:paraId="684E31A4" w14:textId="77777777" w:rsidR="002A6DDF" w:rsidRPr="002A6DDF" w:rsidRDefault="002A6DDF" w:rsidP="002A6DDF">
      <w:pPr>
        <w:rPr>
          <w:rFonts w:ascii="Arial" w:hAnsi="Arial" w:cs="Arial"/>
        </w:rPr>
      </w:pPr>
      <w:r w:rsidRPr="002A6DDF">
        <w:rPr>
          <w:rFonts w:ascii="Arial" w:hAnsi="Arial" w:cs="Arial"/>
        </w:rPr>
        <w:t xml:space="preserve">In the year 2018 the ROE was 12.568%, and it extended in 2019 by 13.957%, so it might be said that the affiliation is gainful because the extent is rising. </w:t>
      </w:r>
    </w:p>
    <w:p w14:paraId="1AD34177" w14:textId="77777777" w:rsidR="002A6DDF" w:rsidRPr="002A6DDF" w:rsidRDefault="002A6DDF" w:rsidP="002A6DDF">
      <w:pPr>
        <w:rPr>
          <w:rFonts w:ascii="Arial" w:hAnsi="Arial" w:cs="Arial"/>
        </w:rPr>
      </w:pPr>
      <w:r w:rsidRPr="002A6DDF">
        <w:rPr>
          <w:rFonts w:ascii="Arial" w:hAnsi="Arial" w:cs="Arial"/>
        </w:rPr>
        <w:lastRenderedPageBreak/>
        <w:t xml:space="preserve">The obtaining per share is 2.48p in 2018, and it extended in 2019 to 3.52p with the objective that the affiliation can pay for the financial specialists. </w:t>
      </w:r>
    </w:p>
    <w:p w14:paraId="35832063" w14:textId="77777777" w:rsidR="002A6DDF" w:rsidRPr="002A6DDF" w:rsidRDefault="002A6DDF" w:rsidP="002A6DDF">
      <w:pPr>
        <w:rPr>
          <w:rFonts w:ascii="Arial" w:hAnsi="Arial" w:cs="Arial"/>
        </w:rPr>
      </w:pPr>
      <w:r w:rsidRPr="002A6DDF">
        <w:rPr>
          <w:rFonts w:ascii="Arial" w:hAnsi="Arial" w:cs="Arial"/>
        </w:rPr>
        <w:t xml:space="preserve">The gross advantage extent of 2019 is imperceptibly extended by 2018. Thusly, the affiliation is making advantage each year, and it is extending bit by bit. </w:t>
      </w:r>
    </w:p>
    <w:p w14:paraId="027E4B9D" w14:textId="77777777" w:rsidR="002A6DDF" w:rsidRPr="002A6DDF" w:rsidRDefault="002A6DDF" w:rsidP="002A6DDF">
      <w:pPr>
        <w:rPr>
          <w:rFonts w:ascii="Arial" w:hAnsi="Arial" w:cs="Arial"/>
        </w:rPr>
      </w:pPr>
      <w:r w:rsidRPr="002A6DDF">
        <w:rPr>
          <w:rFonts w:ascii="Arial" w:hAnsi="Arial" w:cs="Arial"/>
        </w:rPr>
        <w:t xml:space="preserve">The asset turnover was 2.21 in 2018, at this point it decreased in 2019 by 2.18. The affiliation needs to grow its asset turnover; regardless, the advantage from the assets will be less. </w:t>
      </w:r>
    </w:p>
    <w:p w14:paraId="42276AC0" w14:textId="77777777" w:rsidR="002A6DDF" w:rsidRPr="002A6DDF" w:rsidRDefault="002A6DDF" w:rsidP="002A6DDF">
      <w:pPr>
        <w:rPr>
          <w:rFonts w:ascii="Arial" w:hAnsi="Arial" w:cs="Arial"/>
        </w:rPr>
      </w:pPr>
      <w:r w:rsidRPr="002A6DDF">
        <w:rPr>
          <w:rFonts w:ascii="Arial" w:hAnsi="Arial" w:cs="Arial"/>
        </w:rPr>
        <w:t xml:space="preserve">The stock holding season of 2018 is 74 days, where the holding season of 2019 is 80 days. It increases from 2018 to 2019. </w:t>
      </w:r>
    </w:p>
    <w:p w14:paraId="7D3721BD" w14:textId="77777777" w:rsidR="002A6DDF" w:rsidRPr="002A6DDF" w:rsidRDefault="002A6DDF" w:rsidP="002A6DDF">
      <w:pPr>
        <w:rPr>
          <w:rFonts w:ascii="Arial" w:hAnsi="Arial" w:cs="Arial"/>
        </w:rPr>
      </w:pPr>
      <w:r w:rsidRPr="002A6DDF">
        <w:rPr>
          <w:rFonts w:ascii="Arial" w:hAnsi="Arial" w:cs="Arial"/>
        </w:rPr>
        <w:t xml:space="preserve">The current extent for the year 2018 is 0.773, and it extended in 2019 by 0.917. The affiliation is using its assets fittingly so the current rate is expanding. </w:t>
      </w:r>
    </w:p>
    <w:p w14:paraId="47164646" w14:textId="77777777" w:rsidR="002A6DDF" w:rsidRPr="002A6DDF" w:rsidRDefault="002A6DDF" w:rsidP="002A6DDF">
      <w:pPr>
        <w:rPr>
          <w:rFonts w:ascii="Arial" w:hAnsi="Arial" w:cs="Arial"/>
        </w:rPr>
      </w:pPr>
      <w:r w:rsidRPr="002A6DDF">
        <w:rPr>
          <w:rFonts w:ascii="Arial" w:hAnsi="Arial" w:cs="Arial"/>
        </w:rPr>
        <w:t xml:space="preserve">The planning extent for 2018 is 71.131% which is more than 2019, which is 68.282%. The impact of the affiliation is lessened from 2018 to 2019. </w:t>
      </w:r>
    </w:p>
    <w:p w14:paraId="767F3AF1" w14:textId="3C92B396" w:rsidR="000535BA" w:rsidRPr="002A6DDF" w:rsidRDefault="002A6DDF" w:rsidP="002A6DDF">
      <w:pPr>
        <w:rPr>
          <w:rFonts w:ascii="Arial" w:hAnsi="Arial" w:cs="Arial"/>
        </w:rPr>
      </w:pPr>
      <w:r w:rsidRPr="002A6DDF">
        <w:rPr>
          <w:rFonts w:ascii="Arial" w:hAnsi="Arial" w:cs="Arial"/>
        </w:rPr>
        <w:t>At last, the interest cover for 2018 is 2.97 and for 2019 is 2.74. The commitment inconvenience for the affiliation is developed the grounds that the interest cover lessens from 2018 to 2019.</w:t>
      </w:r>
    </w:p>
    <w:p w14:paraId="00E264F9" w14:textId="428AEDFC" w:rsidR="000535BA" w:rsidRPr="002A6DDF" w:rsidRDefault="00126D54" w:rsidP="00126D54">
      <w:pPr>
        <w:pStyle w:val="Heading1"/>
        <w:rPr>
          <w:rFonts w:ascii="Arial" w:hAnsi="Arial" w:cs="Arial"/>
        </w:rPr>
      </w:pPr>
      <w:r w:rsidRPr="002A6DDF">
        <w:rPr>
          <w:rFonts w:ascii="Arial" w:hAnsi="Arial" w:cs="Arial"/>
        </w:rPr>
        <w:br w:type="column"/>
      </w:r>
      <w:bookmarkStart w:id="9" w:name="_Toc55714988"/>
      <w:r w:rsidR="000535BA" w:rsidRPr="002A6DDF">
        <w:rPr>
          <w:rFonts w:ascii="Arial" w:hAnsi="Arial" w:cs="Arial"/>
        </w:rPr>
        <w:lastRenderedPageBreak/>
        <w:t>Conclusion</w:t>
      </w:r>
      <w:bookmarkEnd w:id="9"/>
    </w:p>
    <w:p w14:paraId="5AFA96A4" w14:textId="082DA71C" w:rsidR="000535BA" w:rsidRPr="002A6DDF" w:rsidRDefault="002A6DDF" w:rsidP="00126D54">
      <w:pPr>
        <w:rPr>
          <w:rFonts w:ascii="Arial" w:hAnsi="Arial" w:cs="Arial"/>
        </w:rPr>
      </w:pPr>
      <w:r w:rsidRPr="002A6DDF">
        <w:rPr>
          <w:rFonts w:ascii="Arial" w:hAnsi="Arial" w:cs="Arial"/>
        </w:rPr>
        <w:t>Accounting is crucial for every business affiliation. It allows the accomplices to know the internal situation of the affiliation. It helps the affiliation following the compensation and costs similarly as advantage and hardship. It engages the relationship to appreciate the internal financial situation so the affiliation can off the cuff their system. Monetary reports are basically for helping the social occasions with knowing the best relationship for contributing. It grants them to take the significant decision.</w:t>
      </w:r>
    </w:p>
    <w:p w14:paraId="5A7084BC" w14:textId="77777777" w:rsidR="002A6DDF" w:rsidRPr="002A6DDF" w:rsidRDefault="002A6DDF" w:rsidP="00126D54">
      <w:pPr>
        <w:rPr>
          <w:rFonts w:ascii="Arial" w:hAnsi="Arial" w:cs="Arial"/>
        </w:rPr>
      </w:pPr>
    </w:p>
    <w:p w14:paraId="5A72023B" w14:textId="77777777" w:rsidR="000535BA" w:rsidRPr="002A6DDF" w:rsidRDefault="000535BA" w:rsidP="00126D54">
      <w:pPr>
        <w:rPr>
          <w:rFonts w:ascii="Arial" w:hAnsi="Arial" w:cs="Arial"/>
        </w:rPr>
      </w:pPr>
      <w:r w:rsidRPr="002A6DDF">
        <w:rPr>
          <w:rFonts w:ascii="Arial" w:hAnsi="Arial" w:cs="Arial"/>
        </w:rPr>
        <w:t> </w:t>
      </w:r>
    </w:p>
    <w:p w14:paraId="731BF056" w14:textId="2D973B61" w:rsidR="007A37F6" w:rsidRPr="002A6DDF" w:rsidRDefault="00126D54" w:rsidP="00126D54">
      <w:pPr>
        <w:pStyle w:val="Heading1"/>
        <w:rPr>
          <w:rFonts w:ascii="Arial" w:hAnsi="Arial" w:cs="Arial"/>
        </w:rPr>
      </w:pPr>
      <w:r w:rsidRPr="002A6DDF">
        <w:rPr>
          <w:rFonts w:ascii="Arial" w:hAnsi="Arial" w:cs="Arial"/>
        </w:rPr>
        <w:br w:type="column"/>
      </w:r>
      <w:bookmarkStart w:id="10" w:name="_Toc55714989"/>
      <w:r w:rsidR="007A37F6" w:rsidRPr="002A6DDF">
        <w:rPr>
          <w:rFonts w:ascii="Arial" w:hAnsi="Arial" w:cs="Arial"/>
        </w:rPr>
        <w:lastRenderedPageBreak/>
        <w:t>References</w:t>
      </w:r>
      <w:bookmarkEnd w:id="8"/>
      <w:bookmarkEnd w:id="10"/>
    </w:p>
    <w:p w14:paraId="6EDB4B19" w14:textId="77777777" w:rsidR="00921DA3" w:rsidRPr="002A6DDF" w:rsidRDefault="00921DA3" w:rsidP="00126D54">
      <w:pPr>
        <w:rPr>
          <w:rFonts w:ascii="Arial" w:hAnsi="Arial" w:cs="Arial"/>
          <w:color w:val="000000"/>
        </w:rPr>
      </w:pPr>
      <w:r w:rsidRPr="002A6DDF">
        <w:rPr>
          <w:rFonts w:ascii="Arial" w:hAnsi="Arial" w:cs="Arial"/>
          <w:color w:val="000000"/>
        </w:rPr>
        <w:t>Britton, A., 2015. </w:t>
      </w:r>
      <w:r w:rsidRPr="002A6DDF">
        <w:rPr>
          <w:rFonts w:ascii="Arial" w:hAnsi="Arial" w:cs="Arial"/>
          <w:i/>
          <w:iCs/>
          <w:color w:val="000000"/>
        </w:rPr>
        <w:t>Financial Accounting</w:t>
      </w:r>
      <w:r w:rsidRPr="002A6DDF">
        <w:rPr>
          <w:rFonts w:ascii="Arial" w:hAnsi="Arial" w:cs="Arial"/>
          <w:color w:val="000000"/>
        </w:rPr>
        <w:t>. Harlow: Financial Times Prentice Hall.</w:t>
      </w:r>
    </w:p>
    <w:p w14:paraId="6DDCF7B0" w14:textId="77777777" w:rsidR="00921DA3" w:rsidRPr="002A6DDF" w:rsidRDefault="00921DA3" w:rsidP="00126D54">
      <w:pPr>
        <w:rPr>
          <w:rFonts w:ascii="Arial" w:hAnsi="Arial" w:cs="Arial"/>
          <w:color w:val="000000"/>
        </w:rPr>
      </w:pPr>
      <w:r w:rsidRPr="002A6DDF">
        <w:rPr>
          <w:rFonts w:ascii="Arial" w:hAnsi="Arial" w:cs="Arial"/>
          <w:color w:val="000000"/>
        </w:rPr>
        <w:t>Elliott, B., 2012. </w:t>
      </w:r>
      <w:r w:rsidRPr="002A6DDF">
        <w:rPr>
          <w:rFonts w:ascii="Arial" w:hAnsi="Arial" w:cs="Arial"/>
          <w:i/>
          <w:iCs/>
          <w:color w:val="000000"/>
        </w:rPr>
        <w:t>Financial Accounting And Reporting</w:t>
      </w:r>
      <w:r w:rsidRPr="002A6DDF">
        <w:rPr>
          <w:rFonts w:ascii="Arial" w:hAnsi="Arial" w:cs="Arial"/>
          <w:color w:val="000000"/>
        </w:rPr>
        <w:t>. Harlow, United Kingdom: Pearson Education Limited.</w:t>
      </w:r>
    </w:p>
    <w:p w14:paraId="511713A5" w14:textId="77777777" w:rsidR="00921DA3" w:rsidRPr="002A6DDF" w:rsidRDefault="00921DA3" w:rsidP="00126D54">
      <w:pPr>
        <w:rPr>
          <w:rFonts w:ascii="Arial" w:hAnsi="Arial" w:cs="Arial"/>
          <w:color w:val="000000"/>
        </w:rPr>
      </w:pPr>
      <w:r w:rsidRPr="002A6DDF">
        <w:rPr>
          <w:rFonts w:ascii="Arial" w:hAnsi="Arial" w:cs="Arial"/>
          <w:color w:val="000000"/>
        </w:rPr>
        <w:t>Finney, H., 2017. </w:t>
      </w:r>
      <w:r w:rsidRPr="002A6DDF">
        <w:rPr>
          <w:rFonts w:ascii="Arial" w:hAnsi="Arial" w:cs="Arial"/>
          <w:i/>
          <w:iCs/>
          <w:color w:val="000000"/>
        </w:rPr>
        <w:t>Principles Of Accounting</w:t>
      </w:r>
      <w:r w:rsidRPr="002A6DDF">
        <w:rPr>
          <w:rFonts w:ascii="Arial" w:hAnsi="Arial" w:cs="Arial"/>
          <w:color w:val="000000"/>
        </w:rPr>
        <w:t>. Tokyo: Charles E. Tuttle.</w:t>
      </w:r>
    </w:p>
    <w:p w14:paraId="2BF7F912" w14:textId="77777777" w:rsidR="00921DA3" w:rsidRPr="002A6DDF" w:rsidRDefault="00921DA3" w:rsidP="00126D54">
      <w:pPr>
        <w:rPr>
          <w:rFonts w:ascii="Arial" w:hAnsi="Arial" w:cs="Arial"/>
          <w:color w:val="000000"/>
        </w:rPr>
      </w:pPr>
      <w:r w:rsidRPr="002A6DDF">
        <w:rPr>
          <w:rFonts w:ascii="Arial" w:hAnsi="Arial" w:cs="Arial"/>
          <w:color w:val="000000"/>
        </w:rPr>
        <w:t>Irwin, J., 2018. </w:t>
      </w:r>
      <w:r w:rsidRPr="002A6DDF">
        <w:rPr>
          <w:rFonts w:ascii="Arial" w:hAnsi="Arial" w:cs="Arial"/>
          <w:i/>
          <w:iCs/>
          <w:color w:val="000000"/>
        </w:rPr>
        <w:t>Accounting Standards / Statements Of Financial Accounting Concepts</w:t>
      </w:r>
      <w:r w:rsidRPr="002A6DDF">
        <w:rPr>
          <w:rFonts w:ascii="Arial" w:hAnsi="Arial" w:cs="Arial"/>
          <w:color w:val="000000"/>
        </w:rPr>
        <w:t>. Homewood, Ill.: Irwin.</w:t>
      </w:r>
    </w:p>
    <w:p w14:paraId="631AE235" w14:textId="77777777" w:rsidR="00921DA3" w:rsidRPr="002A6DDF" w:rsidRDefault="00921DA3" w:rsidP="00126D54">
      <w:pPr>
        <w:rPr>
          <w:rFonts w:ascii="Arial" w:hAnsi="Arial" w:cs="Arial"/>
          <w:color w:val="000000"/>
        </w:rPr>
      </w:pPr>
      <w:r w:rsidRPr="002A6DDF">
        <w:rPr>
          <w:rFonts w:ascii="Arial" w:hAnsi="Arial" w:cs="Arial"/>
          <w:color w:val="000000"/>
        </w:rPr>
        <w:t>Needles, B., 2012. </w:t>
      </w:r>
      <w:r w:rsidRPr="002A6DDF">
        <w:rPr>
          <w:rFonts w:ascii="Arial" w:hAnsi="Arial" w:cs="Arial"/>
          <w:i/>
          <w:iCs/>
          <w:color w:val="000000"/>
        </w:rPr>
        <w:t>Principles Of Accounting</w:t>
      </w:r>
      <w:r w:rsidRPr="002A6DDF">
        <w:rPr>
          <w:rFonts w:ascii="Arial" w:hAnsi="Arial" w:cs="Arial"/>
          <w:color w:val="000000"/>
        </w:rPr>
        <w:t>. Boston: Houghton Mifflin Co.</w:t>
      </w:r>
    </w:p>
    <w:p w14:paraId="1964EDB6" w14:textId="77777777" w:rsidR="00921DA3" w:rsidRPr="002A6DDF" w:rsidRDefault="00921DA3" w:rsidP="00126D54">
      <w:pPr>
        <w:rPr>
          <w:rFonts w:ascii="Arial" w:hAnsi="Arial" w:cs="Arial"/>
          <w:color w:val="000000"/>
        </w:rPr>
      </w:pPr>
      <w:r w:rsidRPr="002A6DDF">
        <w:rPr>
          <w:rFonts w:ascii="Arial" w:hAnsi="Arial" w:cs="Arial"/>
          <w:color w:val="000000"/>
        </w:rPr>
        <w:t>Nikolai, L., 2014. </w:t>
      </w:r>
      <w:r w:rsidRPr="002A6DDF">
        <w:rPr>
          <w:rFonts w:ascii="Arial" w:hAnsi="Arial" w:cs="Arial"/>
          <w:i/>
          <w:iCs/>
          <w:color w:val="000000"/>
        </w:rPr>
        <w:t>Principles Of Accounting</w:t>
      </w:r>
      <w:r w:rsidRPr="002A6DDF">
        <w:rPr>
          <w:rFonts w:ascii="Arial" w:hAnsi="Arial" w:cs="Arial"/>
          <w:color w:val="000000"/>
        </w:rPr>
        <w:t>. Boston: PWS-Kent Pub. Co.</w:t>
      </w:r>
    </w:p>
    <w:p w14:paraId="31B8B625" w14:textId="77777777" w:rsidR="00921DA3" w:rsidRPr="002A6DDF" w:rsidRDefault="00921DA3" w:rsidP="00126D54">
      <w:pPr>
        <w:rPr>
          <w:rFonts w:ascii="Arial" w:hAnsi="Arial" w:cs="Arial"/>
          <w:color w:val="000000"/>
        </w:rPr>
      </w:pPr>
      <w:r w:rsidRPr="002A6DDF">
        <w:rPr>
          <w:rFonts w:ascii="Arial" w:hAnsi="Arial" w:cs="Arial"/>
          <w:color w:val="000000"/>
        </w:rPr>
        <w:t>Powers, M., 2014. </w:t>
      </w:r>
      <w:r w:rsidRPr="002A6DDF">
        <w:rPr>
          <w:rFonts w:ascii="Arial" w:hAnsi="Arial" w:cs="Arial"/>
          <w:i/>
          <w:iCs/>
          <w:color w:val="000000"/>
        </w:rPr>
        <w:t>Financial Accounting</w:t>
      </w:r>
      <w:r w:rsidRPr="002A6DDF">
        <w:rPr>
          <w:rFonts w:ascii="Arial" w:hAnsi="Arial" w:cs="Arial"/>
          <w:color w:val="000000"/>
        </w:rPr>
        <w:t>. Mason, OH: South-Western Cengage Learning.</w:t>
      </w:r>
    </w:p>
    <w:p w14:paraId="36092D16" w14:textId="0E8391C7" w:rsidR="007A37F6" w:rsidRPr="00126D54" w:rsidRDefault="007A37F6" w:rsidP="00126D54">
      <w:pPr>
        <w:rPr>
          <w:rFonts w:eastAsia="Times New Roman"/>
        </w:rPr>
      </w:pPr>
    </w:p>
    <w:p w14:paraId="140948FE" w14:textId="7C2CAA72" w:rsidR="000266FC" w:rsidRPr="00126D54" w:rsidRDefault="000266FC" w:rsidP="007A37F6">
      <w:pPr>
        <w:rPr>
          <w:rFonts w:cs="Times New Roman"/>
          <w:szCs w:val="24"/>
        </w:rPr>
      </w:pPr>
    </w:p>
    <w:sectPr w:rsidR="000266FC" w:rsidRPr="00126D54">
      <w:footerReference w:type="even" r:id="rId11"/>
      <w:footerReference w:type="defaul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02ED602" w14:textId="77777777" w:rsidR="009A3041" w:rsidRDefault="009A3041" w:rsidP="00215498">
      <w:pPr>
        <w:spacing w:after="0" w:line="240" w:lineRule="auto"/>
      </w:pPr>
      <w:r>
        <w:separator/>
      </w:r>
    </w:p>
  </w:endnote>
  <w:endnote w:type="continuationSeparator" w:id="0">
    <w:p w14:paraId="3914552D" w14:textId="77777777" w:rsidR="009A3041" w:rsidRDefault="009A3041" w:rsidP="0021549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altName w:val="Courier New"/>
    <w:panose1 w:val="00000400000000000000"/>
    <w:charset w:val="01"/>
    <w:family w:val="roman"/>
    <w:notTrueType/>
    <w:pitch w:val="variable"/>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rPr>
        <w:rStyle w:val="PageNumber"/>
      </w:rPr>
      <w:id w:val="678008360"/>
      <w:docPartObj>
        <w:docPartGallery w:val="Page Numbers (Bottom of Page)"/>
        <w:docPartUnique/>
      </w:docPartObj>
    </w:sdtPr>
    <w:sdtEndPr>
      <w:rPr>
        <w:rStyle w:val="PageNumber"/>
      </w:rPr>
    </w:sdtEndPr>
    <w:sdtContent>
      <w:p w14:paraId="3D089831" w14:textId="1BA496AB" w:rsidR="00215498" w:rsidRDefault="00215498" w:rsidP="00D526E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A522955" w14:textId="77777777" w:rsidR="00215498" w:rsidRDefault="00215498" w:rsidP="00215498">
    <w:pPr>
      <w:pStyle w:val="Footer"/>
      <w:ind w:right="360"/>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rPr>
        <w:rStyle w:val="PageNumber"/>
      </w:rPr>
      <w:id w:val="-2017295779"/>
      <w:docPartObj>
        <w:docPartGallery w:val="Page Numbers (Bottom of Page)"/>
        <w:docPartUnique/>
      </w:docPartObj>
    </w:sdtPr>
    <w:sdtEndPr>
      <w:rPr>
        <w:rStyle w:val="PageNumber"/>
      </w:rPr>
    </w:sdtEndPr>
    <w:sdtContent>
      <w:p w14:paraId="34298A6F" w14:textId="2FFD088A" w:rsidR="00215498" w:rsidRDefault="00215498" w:rsidP="00D526E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56166F">
          <w:rPr>
            <w:rStyle w:val="PageNumber"/>
            <w:noProof/>
          </w:rPr>
          <w:t>1</w:t>
        </w:r>
        <w:r>
          <w:rPr>
            <w:rStyle w:val="PageNumber"/>
          </w:rPr>
          <w:fldChar w:fldCharType="end"/>
        </w:r>
      </w:p>
    </w:sdtContent>
  </w:sdt>
  <w:p w14:paraId="67F81AD0" w14:textId="77777777" w:rsidR="00215498" w:rsidRDefault="00215498" w:rsidP="00215498">
    <w:pPr>
      <w:pStyle w:val="Footer"/>
      <w:ind w:right="360"/>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5681FF1" w14:textId="77777777" w:rsidR="009A3041" w:rsidRDefault="009A3041" w:rsidP="00215498">
      <w:pPr>
        <w:spacing w:after="0" w:line="240" w:lineRule="auto"/>
      </w:pPr>
      <w:r>
        <w:separator/>
      </w:r>
    </w:p>
  </w:footnote>
  <w:footnote w:type="continuationSeparator" w:id="0">
    <w:p w14:paraId="73C4CB83" w14:textId="77777777" w:rsidR="009A3041" w:rsidRDefault="009A3041" w:rsidP="00215498">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1DB6E46"/>
    <w:multiLevelType w:val="hybridMultilevel"/>
    <w:tmpl w:val="C3CE4D02"/>
    <w:lvl w:ilvl="0" w:tplc="F16655D8">
      <w:start w:val="3"/>
      <w:numFmt w:val="decimal"/>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2D00AE3"/>
    <w:multiLevelType w:val="hybridMultilevel"/>
    <w:tmpl w:val="D088AAF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05C16A24"/>
    <w:multiLevelType w:val="hybridMultilevel"/>
    <w:tmpl w:val="7DACB0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9D14BD6"/>
    <w:multiLevelType w:val="hybridMultilevel"/>
    <w:tmpl w:val="32122E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5462C8"/>
    <w:multiLevelType w:val="hybridMultilevel"/>
    <w:tmpl w:val="1D3032D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19201F1F"/>
    <w:multiLevelType w:val="hybridMultilevel"/>
    <w:tmpl w:val="6E368E4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1CC725E5"/>
    <w:multiLevelType w:val="hybridMultilevel"/>
    <w:tmpl w:val="70C6E39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2AEF4C71"/>
    <w:multiLevelType w:val="hybridMultilevel"/>
    <w:tmpl w:val="ED3EE1B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2F2021A8"/>
    <w:multiLevelType w:val="multilevel"/>
    <w:tmpl w:val="D72AE4B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34CB14E4"/>
    <w:multiLevelType w:val="multilevel"/>
    <w:tmpl w:val="589607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52C63C0B"/>
    <w:multiLevelType w:val="multilevel"/>
    <w:tmpl w:val="613812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5D27622E"/>
    <w:multiLevelType w:val="hybridMultilevel"/>
    <w:tmpl w:val="9412ED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F044E5B"/>
    <w:multiLevelType w:val="hybridMultilevel"/>
    <w:tmpl w:val="8ADA6F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1800B30"/>
    <w:multiLevelType w:val="hybridMultilevel"/>
    <w:tmpl w:val="B87E391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742870A6"/>
    <w:multiLevelType w:val="hybridMultilevel"/>
    <w:tmpl w:val="F0FA52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45F2F8C"/>
    <w:multiLevelType w:val="multilevel"/>
    <w:tmpl w:val="8B9A03F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7"/>
  </w:num>
  <w:num w:numId="2">
    <w:abstractNumId w:val="4"/>
  </w:num>
  <w:num w:numId="3">
    <w:abstractNumId w:val="1"/>
  </w:num>
  <w:num w:numId="4">
    <w:abstractNumId w:val="0"/>
  </w:num>
  <w:num w:numId="5">
    <w:abstractNumId w:val="14"/>
  </w:num>
  <w:num w:numId="6">
    <w:abstractNumId w:val="10"/>
  </w:num>
  <w:num w:numId="7">
    <w:abstractNumId w:val="8"/>
  </w:num>
  <w:num w:numId="8">
    <w:abstractNumId w:val="15"/>
  </w:num>
  <w:num w:numId="9">
    <w:abstractNumId w:val="9"/>
  </w:num>
  <w:num w:numId="10">
    <w:abstractNumId w:val="13"/>
  </w:num>
  <w:num w:numId="11">
    <w:abstractNumId w:val="5"/>
  </w:num>
  <w:num w:numId="12">
    <w:abstractNumId w:val="6"/>
  </w:num>
  <w:num w:numId="13">
    <w:abstractNumId w:val="11"/>
  </w:num>
  <w:num w:numId="14">
    <w:abstractNumId w:val="3"/>
  </w:num>
  <w:num w:numId="15">
    <w:abstractNumId w:val="12"/>
  </w:num>
  <w:num w:numId="1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oNotDisplayPageBoundarie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sTQyN7YwNTAwMzQ3MTJS0lEKTi0uzszPAykwrAUAiXWouiwAAAA="/>
  </w:docVars>
  <w:rsids>
    <w:rsidRoot w:val="00807B0A"/>
    <w:rsid w:val="00002D10"/>
    <w:rsid w:val="000108D1"/>
    <w:rsid w:val="000266FC"/>
    <w:rsid w:val="000535BA"/>
    <w:rsid w:val="00064332"/>
    <w:rsid w:val="00087ACD"/>
    <w:rsid w:val="00090D29"/>
    <w:rsid w:val="0009604A"/>
    <w:rsid w:val="000D2495"/>
    <w:rsid w:val="00126D54"/>
    <w:rsid w:val="00183477"/>
    <w:rsid w:val="001D2A14"/>
    <w:rsid w:val="001D4EA1"/>
    <w:rsid w:val="001D5033"/>
    <w:rsid w:val="001E44F5"/>
    <w:rsid w:val="001E6245"/>
    <w:rsid w:val="001F0657"/>
    <w:rsid w:val="00215498"/>
    <w:rsid w:val="002246D8"/>
    <w:rsid w:val="002270BE"/>
    <w:rsid w:val="002537F2"/>
    <w:rsid w:val="002919AA"/>
    <w:rsid w:val="00292937"/>
    <w:rsid w:val="002A6DDF"/>
    <w:rsid w:val="002C47A4"/>
    <w:rsid w:val="003301F8"/>
    <w:rsid w:val="00341D46"/>
    <w:rsid w:val="00380151"/>
    <w:rsid w:val="00407614"/>
    <w:rsid w:val="00413198"/>
    <w:rsid w:val="00455875"/>
    <w:rsid w:val="00474C10"/>
    <w:rsid w:val="00496C66"/>
    <w:rsid w:val="004C1955"/>
    <w:rsid w:val="00526210"/>
    <w:rsid w:val="00535251"/>
    <w:rsid w:val="005504BC"/>
    <w:rsid w:val="0056166F"/>
    <w:rsid w:val="00562328"/>
    <w:rsid w:val="00590D10"/>
    <w:rsid w:val="00592552"/>
    <w:rsid w:val="00694EA2"/>
    <w:rsid w:val="006E3F92"/>
    <w:rsid w:val="00705604"/>
    <w:rsid w:val="007070A6"/>
    <w:rsid w:val="00733364"/>
    <w:rsid w:val="00797A5C"/>
    <w:rsid w:val="007A37F6"/>
    <w:rsid w:val="00807B0A"/>
    <w:rsid w:val="00816128"/>
    <w:rsid w:val="00881F39"/>
    <w:rsid w:val="008960B5"/>
    <w:rsid w:val="008B48D4"/>
    <w:rsid w:val="00921DA3"/>
    <w:rsid w:val="00973B53"/>
    <w:rsid w:val="00984C92"/>
    <w:rsid w:val="00995563"/>
    <w:rsid w:val="009A3041"/>
    <w:rsid w:val="009D55CC"/>
    <w:rsid w:val="00A07326"/>
    <w:rsid w:val="00AC4C72"/>
    <w:rsid w:val="00AD271B"/>
    <w:rsid w:val="00AE6311"/>
    <w:rsid w:val="00AE74C4"/>
    <w:rsid w:val="00B401B0"/>
    <w:rsid w:val="00BB46A7"/>
    <w:rsid w:val="00BC3ADB"/>
    <w:rsid w:val="00BD06AD"/>
    <w:rsid w:val="00C14137"/>
    <w:rsid w:val="00C5188B"/>
    <w:rsid w:val="00C82A35"/>
    <w:rsid w:val="00CF03ED"/>
    <w:rsid w:val="00D1665D"/>
    <w:rsid w:val="00D8752F"/>
    <w:rsid w:val="00DA4183"/>
    <w:rsid w:val="00DD7068"/>
    <w:rsid w:val="00E767C0"/>
    <w:rsid w:val="00E86964"/>
    <w:rsid w:val="00E94F45"/>
    <w:rsid w:val="00EC171A"/>
    <w:rsid w:val="00F839AE"/>
    <w:rsid w:val="00F874F0"/>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645163"/>
  <w15:chartTrackingRefBased/>
  <w15:docId w15:val="{01FB305D-D261-458A-BCFB-C8D703ED4D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8"/>
        <w:lang w:val="en-US" w:eastAsia="en-US" w:bidi="bn-BD"/>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92937"/>
    <w:pPr>
      <w:spacing w:line="360" w:lineRule="auto"/>
      <w:jc w:val="both"/>
    </w:pPr>
    <w:rPr>
      <w:rFonts w:ascii="Times New Roman" w:hAnsi="Times New Roman"/>
      <w:color w:val="000000" w:themeColor="text1"/>
      <w:sz w:val="24"/>
      <w:lang w:val="en-GB"/>
    </w:rPr>
  </w:style>
  <w:style w:type="paragraph" w:styleId="Heading1">
    <w:name w:val="heading 1"/>
    <w:basedOn w:val="Normal"/>
    <w:next w:val="Normal"/>
    <w:link w:val="Heading1Char"/>
    <w:uiPriority w:val="9"/>
    <w:qFormat/>
    <w:rsid w:val="001E6245"/>
    <w:pPr>
      <w:keepNext/>
      <w:keepLines/>
      <w:spacing w:before="240" w:after="0"/>
      <w:outlineLvl w:val="0"/>
    </w:pPr>
    <w:rPr>
      <w:rFonts w:eastAsiaTheme="majorEastAsia" w:cstheme="majorBidi"/>
      <w:b/>
      <w:sz w:val="32"/>
      <w:szCs w:val="40"/>
    </w:rPr>
  </w:style>
  <w:style w:type="paragraph" w:styleId="Heading2">
    <w:name w:val="heading 2"/>
    <w:basedOn w:val="Normal"/>
    <w:next w:val="Normal"/>
    <w:link w:val="Heading2Char"/>
    <w:autoRedefine/>
    <w:uiPriority w:val="9"/>
    <w:unhideWhenUsed/>
    <w:qFormat/>
    <w:rsid w:val="00562328"/>
    <w:pPr>
      <w:keepNext/>
      <w:keepLines/>
      <w:spacing w:before="40" w:after="0"/>
      <w:outlineLvl w:val="1"/>
    </w:pPr>
    <w:rPr>
      <w:rFonts w:eastAsiaTheme="majorEastAsia" w:cstheme="majorBidi"/>
      <w:b/>
      <w:bCs/>
      <w:color w:val="auto"/>
      <w:sz w:val="28"/>
      <w:szCs w:val="32"/>
    </w:rPr>
  </w:style>
  <w:style w:type="paragraph" w:styleId="Heading3">
    <w:name w:val="heading 3"/>
    <w:basedOn w:val="Normal"/>
    <w:next w:val="Normal"/>
    <w:link w:val="Heading3Char"/>
    <w:uiPriority w:val="9"/>
    <w:unhideWhenUsed/>
    <w:qFormat/>
    <w:rsid w:val="000535BA"/>
    <w:pPr>
      <w:keepNext/>
      <w:keepLines/>
      <w:spacing w:before="40" w:after="0"/>
      <w:outlineLvl w:val="2"/>
    </w:pPr>
    <w:rPr>
      <w:rFonts w:eastAsiaTheme="majorEastAsia" w:cstheme="majorBidi"/>
      <w:b/>
      <w:szCs w:val="3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E6245"/>
    <w:rPr>
      <w:rFonts w:ascii="Times New Roman" w:eastAsiaTheme="majorEastAsia" w:hAnsi="Times New Roman" w:cstheme="majorBidi"/>
      <w:b/>
      <w:color w:val="000000" w:themeColor="text1"/>
      <w:sz w:val="32"/>
      <w:szCs w:val="40"/>
    </w:rPr>
  </w:style>
  <w:style w:type="character" w:customStyle="1" w:styleId="Heading2Char">
    <w:name w:val="Heading 2 Char"/>
    <w:basedOn w:val="DefaultParagraphFont"/>
    <w:link w:val="Heading2"/>
    <w:uiPriority w:val="9"/>
    <w:rsid w:val="00562328"/>
    <w:rPr>
      <w:rFonts w:ascii="Times New Roman" w:eastAsiaTheme="majorEastAsia" w:hAnsi="Times New Roman" w:cstheme="majorBidi"/>
      <w:b/>
      <w:bCs/>
      <w:sz w:val="28"/>
      <w:szCs w:val="32"/>
    </w:rPr>
  </w:style>
  <w:style w:type="table" w:styleId="TableGrid">
    <w:name w:val="Table Grid"/>
    <w:basedOn w:val="TableNormal"/>
    <w:uiPriority w:val="39"/>
    <w:rsid w:val="00807B0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496C66"/>
    <w:pPr>
      <w:ind w:left="720"/>
      <w:contextualSpacing/>
    </w:pPr>
  </w:style>
  <w:style w:type="paragraph" w:styleId="NormalWeb">
    <w:name w:val="Normal (Web)"/>
    <w:basedOn w:val="Normal"/>
    <w:uiPriority w:val="99"/>
    <w:semiHidden/>
    <w:unhideWhenUsed/>
    <w:rsid w:val="008960B5"/>
    <w:pPr>
      <w:spacing w:before="100" w:beforeAutospacing="1" w:after="100" w:afterAutospacing="1" w:line="240" w:lineRule="auto"/>
      <w:jc w:val="left"/>
    </w:pPr>
    <w:rPr>
      <w:rFonts w:eastAsia="Times New Roman" w:cs="Times New Roman"/>
      <w:color w:val="auto"/>
      <w:szCs w:val="24"/>
    </w:rPr>
  </w:style>
  <w:style w:type="character" w:styleId="Strong">
    <w:name w:val="Strong"/>
    <w:basedOn w:val="DefaultParagraphFont"/>
    <w:uiPriority w:val="22"/>
    <w:qFormat/>
    <w:rsid w:val="008960B5"/>
    <w:rPr>
      <w:b/>
      <w:bCs/>
    </w:rPr>
  </w:style>
  <w:style w:type="paragraph" w:styleId="TOCHeading">
    <w:name w:val="TOC Heading"/>
    <w:basedOn w:val="Heading1"/>
    <w:next w:val="Normal"/>
    <w:uiPriority w:val="39"/>
    <w:unhideWhenUsed/>
    <w:qFormat/>
    <w:rsid w:val="001E44F5"/>
    <w:pPr>
      <w:spacing w:line="259" w:lineRule="auto"/>
      <w:jc w:val="left"/>
      <w:outlineLvl w:val="9"/>
    </w:pPr>
    <w:rPr>
      <w:rFonts w:asciiTheme="majorHAnsi" w:hAnsiTheme="majorHAnsi"/>
      <w:b w:val="0"/>
      <w:color w:val="2F5496" w:themeColor="accent1" w:themeShade="BF"/>
      <w:szCs w:val="32"/>
      <w:lang w:bidi="ar-SA"/>
    </w:rPr>
  </w:style>
  <w:style w:type="paragraph" w:styleId="TOC1">
    <w:name w:val="toc 1"/>
    <w:basedOn w:val="Normal"/>
    <w:next w:val="Normal"/>
    <w:autoRedefine/>
    <w:uiPriority w:val="39"/>
    <w:unhideWhenUsed/>
    <w:rsid w:val="001E44F5"/>
    <w:pPr>
      <w:spacing w:after="100"/>
    </w:pPr>
  </w:style>
  <w:style w:type="paragraph" w:styleId="TOC2">
    <w:name w:val="toc 2"/>
    <w:basedOn w:val="Normal"/>
    <w:next w:val="Normal"/>
    <w:autoRedefine/>
    <w:uiPriority w:val="39"/>
    <w:unhideWhenUsed/>
    <w:rsid w:val="001E44F5"/>
    <w:pPr>
      <w:spacing w:after="100"/>
      <w:ind w:left="240"/>
    </w:pPr>
  </w:style>
  <w:style w:type="character" w:styleId="Hyperlink">
    <w:name w:val="Hyperlink"/>
    <w:basedOn w:val="DefaultParagraphFont"/>
    <w:uiPriority w:val="99"/>
    <w:unhideWhenUsed/>
    <w:rsid w:val="001E44F5"/>
    <w:rPr>
      <w:color w:val="0563C1" w:themeColor="hyperlink"/>
      <w:u w:val="single"/>
    </w:rPr>
  </w:style>
  <w:style w:type="character" w:customStyle="1" w:styleId="Heading3Char">
    <w:name w:val="Heading 3 Char"/>
    <w:basedOn w:val="DefaultParagraphFont"/>
    <w:link w:val="Heading3"/>
    <w:uiPriority w:val="9"/>
    <w:rsid w:val="000535BA"/>
    <w:rPr>
      <w:rFonts w:ascii="Times New Roman" w:eastAsiaTheme="majorEastAsia" w:hAnsi="Times New Roman" w:cstheme="majorBidi"/>
      <w:b/>
      <w:color w:val="000000" w:themeColor="text1"/>
      <w:sz w:val="24"/>
      <w:szCs w:val="30"/>
    </w:rPr>
  </w:style>
  <w:style w:type="paragraph" w:styleId="TOC3">
    <w:name w:val="toc 3"/>
    <w:basedOn w:val="Normal"/>
    <w:next w:val="Normal"/>
    <w:autoRedefine/>
    <w:uiPriority w:val="39"/>
    <w:unhideWhenUsed/>
    <w:rsid w:val="00126D54"/>
    <w:pPr>
      <w:spacing w:after="100"/>
      <w:ind w:left="480"/>
    </w:pPr>
  </w:style>
  <w:style w:type="paragraph" w:styleId="Footer">
    <w:name w:val="footer"/>
    <w:basedOn w:val="Normal"/>
    <w:link w:val="FooterChar"/>
    <w:uiPriority w:val="99"/>
    <w:unhideWhenUsed/>
    <w:rsid w:val="00215498"/>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5498"/>
    <w:rPr>
      <w:rFonts w:ascii="Times New Roman" w:hAnsi="Times New Roman"/>
      <w:color w:val="000000" w:themeColor="text1"/>
      <w:sz w:val="24"/>
      <w:lang w:val="en-GB"/>
    </w:rPr>
  </w:style>
  <w:style w:type="character" w:styleId="PageNumber">
    <w:name w:val="page number"/>
    <w:basedOn w:val="DefaultParagraphFont"/>
    <w:uiPriority w:val="99"/>
    <w:semiHidden/>
    <w:unhideWhenUsed/>
    <w:rsid w:val="0021549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08790222">
      <w:bodyDiv w:val="1"/>
      <w:marLeft w:val="0"/>
      <w:marRight w:val="0"/>
      <w:marTop w:val="0"/>
      <w:marBottom w:val="0"/>
      <w:divBdr>
        <w:top w:val="none" w:sz="0" w:space="0" w:color="auto"/>
        <w:left w:val="none" w:sz="0" w:space="0" w:color="auto"/>
        <w:bottom w:val="none" w:sz="0" w:space="0" w:color="auto"/>
        <w:right w:val="none" w:sz="0" w:space="0" w:color="auto"/>
      </w:divBdr>
    </w:div>
    <w:div w:id="140657003">
      <w:bodyDiv w:val="1"/>
      <w:marLeft w:val="0"/>
      <w:marRight w:val="0"/>
      <w:marTop w:val="0"/>
      <w:marBottom w:val="0"/>
      <w:divBdr>
        <w:top w:val="none" w:sz="0" w:space="0" w:color="auto"/>
        <w:left w:val="none" w:sz="0" w:space="0" w:color="auto"/>
        <w:bottom w:val="none" w:sz="0" w:space="0" w:color="auto"/>
        <w:right w:val="none" w:sz="0" w:space="0" w:color="auto"/>
      </w:divBdr>
    </w:div>
    <w:div w:id="174075306">
      <w:bodyDiv w:val="1"/>
      <w:marLeft w:val="0"/>
      <w:marRight w:val="0"/>
      <w:marTop w:val="0"/>
      <w:marBottom w:val="0"/>
      <w:divBdr>
        <w:top w:val="none" w:sz="0" w:space="0" w:color="auto"/>
        <w:left w:val="none" w:sz="0" w:space="0" w:color="auto"/>
        <w:bottom w:val="none" w:sz="0" w:space="0" w:color="auto"/>
        <w:right w:val="none" w:sz="0" w:space="0" w:color="auto"/>
      </w:divBdr>
    </w:div>
    <w:div w:id="295375481">
      <w:bodyDiv w:val="1"/>
      <w:marLeft w:val="0"/>
      <w:marRight w:val="0"/>
      <w:marTop w:val="0"/>
      <w:marBottom w:val="0"/>
      <w:divBdr>
        <w:top w:val="none" w:sz="0" w:space="0" w:color="auto"/>
        <w:left w:val="none" w:sz="0" w:space="0" w:color="auto"/>
        <w:bottom w:val="none" w:sz="0" w:space="0" w:color="auto"/>
        <w:right w:val="none" w:sz="0" w:space="0" w:color="auto"/>
      </w:divBdr>
    </w:div>
    <w:div w:id="344134181">
      <w:bodyDiv w:val="1"/>
      <w:marLeft w:val="0"/>
      <w:marRight w:val="0"/>
      <w:marTop w:val="0"/>
      <w:marBottom w:val="0"/>
      <w:divBdr>
        <w:top w:val="none" w:sz="0" w:space="0" w:color="auto"/>
        <w:left w:val="none" w:sz="0" w:space="0" w:color="auto"/>
        <w:bottom w:val="none" w:sz="0" w:space="0" w:color="auto"/>
        <w:right w:val="none" w:sz="0" w:space="0" w:color="auto"/>
      </w:divBdr>
    </w:div>
    <w:div w:id="479883950">
      <w:bodyDiv w:val="1"/>
      <w:marLeft w:val="0"/>
      <w:marRight w:val="0"/>
      <w:marTop w:val="0"/>
      <w:marBottom w:val="0"/>
      <w:divBdr>
        <w:top w:val="none" w:sz="0" w:space="0" w:color="auto"/>
        <w:left w:val="none" w:sz="0" w:space="0" w:color="auto"/>
        <w:bottom w:val="none" w:sz="0" w:space="0" w:color="auto"/>
        <w:right w:val="none" w:sz="0" w:space="0" w:color="auto"/>
      </w:divBdr>
    </w:div>
    <w:div w:id="545487756">
      <w:bodyDiv w:val="1"/>
      <w:marLeft w:val="0"/>
      <w:marRight w:val="0"/>
      <w:marTop w:val="0"/>
      <w:marBottom w:val="0"/>
      <w:divBdr>
        <w:top w:val="none" w:sz="0" w:space="0" w:color="auto"/>
        <w:left w:val="none" w:sz="0" w:space="0" w:color="auto"/>
        <w:bottom w:val="none" w:sz="0" w:space="0" w:color="auto"/>
        <w:right w:val="none" w:sz="0" w:space="0" w:color="auto"/>
      </w:divBdr>
    </w:div>
    <w:div w:id="783111612">
      <w:bodyDiv w:val="1"/>
      <w:marLeft w:val="0"/>
      <w:marRight w:val="0"/>
      <w:marTop w:val="0"/>
      <w:marBottom w:val="0"/>
      <w:divBdr>
        <w:top w:val="none" w:sz="0" w:space="0" w:color="auto"/>
        <w:left w:val="none" w:sz="0" w:space="0" w:color="auto"/>
        <w:bottom w:val="none" w:sz="0" w:space="0" w:color="auto"/>
        <w:right w:val="none" w:sz="0" w:space="0" w:color="auto"/>
      </w:divBdr>
    </w:div>
    <w:div w:id="793059951">
      <w:bodyDiv w:val="1"/>
      <w:marLeft w:val="0"/>
      <w:marRight w:val="0"/>
      <w:marTop w:val="0"/>
      <w:marBottom w:val="0"/>
      <w:divBdr>
        <w:top w:val="none" w:sz="0" w:space="0" w:color="auto"/>
        <w:left w:val="none" w:sz="0" w:space="0" w:color="auto"/>
        <w:bottom w:val="none" w:sz="0" w:space="0" w:color="auto"/>
        <w:right w:val="none" w:sz="0" w:space="0" w:color="auto"/>
      </w:divBdr>
    </w:div>
    <w:div w:id="1023088681">
      <w:bodyDiv w:val="1"/>
      <w:marLeft w:val="0"/>
      <w:marRight w:val="0"/>
      <w:marTop w:val="0"/>
      <w:marBottom w:val="0"/>
      <w:divBdr>
        <w:top w:val="none" w:sz="0" w:space="0" w:color="auto"/>
        <w:left w:val="none" w:sz="0" w:space="0" w:color="auto"/>
        <w:bottom w:val="none" w:sz="0" w:space="0" w:color="auto"/>
        <w:right w:val="none" w:sz="0" w:space="0" w:color="auto"/>
      </w:divBdr>
    </w:div>
    <w:div w:id="1026784527">
      <w:bodyDiv w:val="1"/>
      <w:marLeft w:val="0"/>
      <w:marRight w:val="0"/>
      <w:marTop w:val="0"/>
      <w:marBottom w:val="0"/>
      <w:divBdr>
        <w:top w:val="none" w:sz="0" w:space="0" w:color="auto"/>
        <w:left w:val="none" w:sz="0" w:space="0" w:color="auto"/>
        <w:bottom w:val="none" w:sz="0" w:space="0" w:color="auto"/>
        <w:right w:val="none" w:sz="0" w:space="0" w:color="auto"/>
      </w:divBdr>
    </w:div>
    <w:div w:id="1084187793">
      <w:bodyDiv w:val="1"/>
      <w:marLeft w:val="0"/>
      <w:marRight w:val="0"/>
      <w:marTop w:val="0"/>
      <w:marBottom w:val="0"/>
      <w:divBdr>
        <w:top w:val="none" w:sz="0" w:space="0" w:color="auto"/>
        <w:left w:val="none" w:sz="0" w:space="0" w:color="auto"/>
        <w:bottom w:val="none" w:sz="0" w:space="0" w:color="auto"/>
        <w:right w:val="none" w:sz="0" w:space="0" w:color="auto"/>
      </w:divBdr>
    </w:div>
    <w:div w:id="1180049474">
      <w:bodyDiv w:val="1"/>
      <w:marLeft w:val="0"/>
      <w:marRight w:val="0"/>
      <w:marTop w:val="0"/>
      <w:marBottom w:val="0"/>
      <w:divBdr>
        <w:top w:val="none" w:sz="0" w:space="0" w:color="auto"/>
        <w:left w:val="none" w:sz="0" w:space="0" w:color="auto"/>
        <w:bottom w:val="none" w:sz="0" w:space="0" w:color="auto"/>
        <w:right w:val="none" w:sz="0" w:space="0" w:color="auto"/>
      </w:divBdr>
    </w:div>
    <w:div w:id="1244409755">
      <w:bodyDiv w:val="1"/>
      <w:marLeft w:val="0"/>
      <w:marRight w:val="0"/>
      <w:marTop w:val="0"/>
      <w:marBottom w:val="0"/>
      <w:divBdr>
        <w:top w:val="none" w:sz="0" w:space="0" w:color="auto"/>
        <w:left w:val="none" w:sz="0" w:space="0" w:color="auto"/>
        <w:bottom w:val="none" w:sz="0" w:space="0" w:color="auto"/>
        <w:right w:val="none" w:sz="0" w:space="0" w:color="auto"/>
      </w:divBdr>
    </w:div>
    <w:div w:id="1761363638">
      <w:bodyDiv w:val="1"/>
      <w:marLeft w:val="0"/>
      <w:marRight w:val="0"/>
      <w:marTop w:val="0"/>
      <w:marBottom w:val="0"/>
      <w:divBdr>
        <w:top w:val="none" w:sz="0" w:space="0" w:color="auto"/>
        <w:left w:val="none" w:sz="0" w:space="0" w:color="auto"/>
        <w:bottom w:val="none" w:sz="0" w:space="0" w:color="auto"/>
        <w:right w:val="none" w:sz="0" w:space="0" w:color="auto"/>
      </w:divBdr>
    </w:div>
    <w:div w:id="1819301725">
      <w:bodyDiv w:val="1"/>
      <w:marLeft w:val="0"/>
      <w:marRight w:val="0"/>
      <w:marTop w:val="0"/>
      <w:marBottom w:val="0"/>
      <w:divBdr>
        <w:top w:val="none" w:sz="0" w:space="0" w:color="auto"/>
        <w:left w:val="none" w:sz="0" w:space="0" w:color="auto"/>
        <w:bottom w:val="none" w:sz="0" w:space="0" w:color="auto"/>
        <w:right w:val="none" w:sz="0" w:space="0" w:color="auto"/>
      </w:divBdr>
    </w:div>
    <w:div w:id="1839613201">
      <w:bodyDiv w:val="1"/>
      <w:marLeft w:val="0"/>
      <w:marRight w:val="0"/>
      <w:marTop w:val="0"/>
      <w:marBottom w:val="0"/>
      <w:divBdr>
        <w:top w:val="none" w:sz="0" w:space="0" w:color="auto"/>
        <w:left w:val="none" w:sz="0" w:space="0" w:color="auto"/>
        <w:bottom w:val="none" w:sz="0" w:space="0" w:color="auto"/>
        <w:right w:val="none" w:sz="0" w:space="0" w:color="auto"/>
      </w:divBdr>
    </w:div>
    <w:div w:id="1948350466">
      <w:bodyDiv w:val="1"/>
      <w:marLeft w:val="0"/>
      <w:marRight w:val="0"/>
      <w:marTop w:val="0"/>
      <w:marBottom w:val="0"/>
      <w:divBdr>
        <w:top w:val="none" w:sz="0" w:space="0" w:color="auto"/>
        <w:left w:val="none" w:sz="0" w:space="0" w:color="auto"/>
        <w:bottom w:val="none" w:sz="0" w:space="0" w:color="auto"/>
        <w:right w:val="none" w:sz="0" w:space="0" w:color="auto"/>
      </w:divBdr>
      <w:divsChild>
        <w:div w:id="1622297788">
          <w:marLeft w:val="0"/>
          <w:marRight w:val="0"/>
          <w:marTop w:val="0"/>
          <w:marBottom w:val="0"/>
          <w:divBdr>
            <w:top w:val="none" w:sz="0" w:space="0" w:color="auto"/>
            <w:left w:val="none" w:sz="0" w:space="0" w:color="auto"/>
            <w:bottom w:val="none" w:sz="0" w:space="0" w:color="auto"/>
            <w:right w:val="none" w:sz="0" w:space="0" w:color="auto"/>
          </w:divBdr>
          <w:divsChild>
            <w:div w:id="527570194">
              <w:marLeft w:val="0"/>
              <w:marRight w:val="0"/>
              <w:marTop w:val="0"/>
              <w:marBottom w:val="0"/>
              <w:divBdr>
                <w:top w:val="none" w:sz="0" w:space="0" w:color="auto"/>
                <w:left w:val="none" w:sz="0" w:space="0" w:color="auto"/>
                <w:bottom w:val="none" w:sz="0" w:space="0" w:color="auto"/>
                <w:right w:val="none" w:sz="0" w:space="0" w:color="auto"/>
              </w:divBdr>
              <w:divsChild>
                <w:div w:id="1729954360">
                  <w:marLeft w:val="-240"/>
                  <w:marRight w:val="-240"/>
                  <w:marTop w:val="0"/>
                  <w:marBottom w:val="0"/>
                  <w:divBdr>
                    <w:top w:val="none" w:sz="0" w:space="0" w:color="auto"/>
                    <w:left w:val="none" w:sz="0" w:space="0" w:color="auto"/>
                    <w:bottom w:val="none" w:sz="0" w:space="0" w:color="auto"/>
                    <w:right w:val="none" w:sz="0" w:space="0" w:color="auto"/>
                  </w:divBdr>
                  <w:divsChild>
                    <w:div w:id="884367489">
                      <w:marLeft w:val="0"/>
                      <w:marRight w:val="0"/>
                      <w:marTop w:val="0"/>
                      <w:marBottom w:val="0"/>
                      <w:divBdr>
                        <w:top w:val="none" w:sz="0" w:space="0" w:color="auto"/>
                        <w:left w:val="none" w:sz="0" w:space="0" w:color="auto"/>
                        <w:bottom w:val="none" w:sz="0" w:space="0" w:color="auto"/>
                        <w:right w:val="none" w:sz="0" w:space="0" w:color="auto"/>
                      </w:divBdr>
                      <w:divsChild>
                        <w:div w:id="405999559">
                          <w:marLeft w:val="0"/>
                          <w:marRight w:val="0"/>
                          <w:marTop w:val="0"/>
                          <w:marBottom w:val="0"/>
                          <w:divBdr>
                            <w:top w:val="none" w:sz="0" w:space="0" w:color="auto"/>
                            <w:left w:val="none" w:sz="0" w:space="0" w:color="auto"/>
                            <w:bottom w:val="none" w:sz="0" w:space="0" w:color="auto"/>
                            <w:right w:val="none" w:sz="0" w:space="0" w:color="auto"/>
                          </w:divBdr>
                        </w:div>
                        <w:div w:id="1484853741">
                          <w:marLeft w:val="0"/>
                          <w:marRight w:val="0"/>
                          <w:marTop w:val="0"/>
                          <w:marBottom w:val="0"/>
                          <w:divBdr>
                            <w:top w:val="none" w:sz="0" w:space="0" w:color="auto"/>
                            <w:left w:val="none" w:sz="0" w:space="0" w:color="auto"/>
                            <w:bottom w:val="none" w:sz="0" w:space="0" w:color="auto"/>
                            <w:right w:val="none" w:sz="0" w:space="0" w:color="auto"/>
                          </w:divBdr>
                          <w:divsChild>
                            <w:div w:id="910039671">
                              <w:marLeft w:val="165"/>
                              <w:marRight w:val="165"/>
                              <w:marTop w:val="0"/>
                              <w:marBottom w:val="0"/>
                              <w:divBdr>
                                <w:top w:val="none" w:sz="0" w:space="0" w:color="auto"/>
                                <w:left w:val="none" w:sz="0" w:space="0" w:color="auto"/>
                                <w:bottom w:val="none" w:sz="0" w:space="0" w:color="auto"/>
                                <w:right w:val="none" w:sz="0" w:space="0" w:color="auto"/>
                              </w:divBdr>
                              <w:divsChild>
                                <w:div w:id="1700810709">
                                  <w:marLeft w:val="0"/>
                                  <w:marRight w:val="0"/>
                                  <w:marTop w:val="0"/>
                                  <w:marBottom w:val="0"/>
                                  <w:divBdr>
                                    <w:top w:val="none" w:sz="0" w:space="0" w:color="auto"/>
                                    <w:left w:val="none" w:sz="0" w:space="0" w:color="auto"/>
                                    <w:bottom w:val="none" w:sz="0" w:space="0" w:color="auto"/>
                                    <w:right w:val="none" w:sz="0" w:space="0" w:color="auto"/>
                                  </w:divBdr>
                                  <w:divsChild>
                                    <w:div w:id="1562521562">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610493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emf"/><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17C80CD-D53F-421D-8132-3A1B536DD43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2701</Words>
  <Characters>15399</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18064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X1 Yoga G1</dc:creator>
  <cp:keywords/>
  <dc:description/>
  <cp:lastModifiedBy>X1 Yoga G1</cp:lastModifiedBy>
  <cp:revision>2</cp:revision>
  <dcterms:created xsi:type="dcterms:W3CDTF">2021-01-05T22:06:00Z</dcterms:created>
  <dcterms:modified xsi:type="dcterms:W3CDTF">2021-01-05T22:06:00Z</dcterms:modified>
</cp:coreProperties>
</file>