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D0D400" w14:textId="537A571D" w:rsidR="002C1DA6" w:rsidRPr="00432B9D" w:rsidRDefault="002C1DA6" w:rsidP="002C1DA6">
      <w:pPr>
        <w:rPr>
          <w:rFonts w:ascii="Arial" w:hAnsi="Arial" w:cs="Arial"/>
          <w:b/>
          <w:bCs/>
          <w:color w:val="7030A0"/>
          <w:sz w:val="28"/>
          <w:szCs w:val="28"/>
        </w:rPr>
      </w:pPr>
      <w:r w:rsidRPr="00432B9D">
        <w:rPr>
          <w:rFonts w:ascii="Arial" w:hAnsi="Arial" w:cs="Arial"/>
          <w:b/>
          <w:bCs/>
          <w:color w:val="7030A0"/>
          <w:sz w:val="28"/>
          <w:szCs w:val="28"/>
        </w:rPr>
        <w:t>Social Capital in Communities: Bonding, Bridging, and Linkin</w:t>
      </w:r>
      <w:r w:rsidR="00432B9D" w:rsidRPr="00432B9D">
        <w:rPr>
          <w:rFonts w:ascii="Arial" w:hAnsi="Arial" w:cs="Arial"/>
          <w:b/>
          <w:bCs/>
          <w:color w:val="7030A0"/>
          <w:sz w:val="28"/>
          <w:szCs w:val="28"/>
        </w:rPr>
        <w:t>g</w:t>
      </w:r>
    </w:p>
    <w:p w14:paraId="5D3A6A23" w14:textId="5292AFDB" w:rsidR="009235F9" w:rsidRDefault="009235F9" w:rsidP="002C1DA6">
      <w:pPr>
        <w:rPr>
          <w:rFonts w:ascii="Arial" w:hAnsi="Arial" w:cs="Arial"/>
        </w:rPr>
      </w:pPr>
      <w:r w:rsidRPr="009235F9">
        <w:rPr>
          <w:rFonts w:ascii="Arial" w:hAnsi="Arial" w:cs="Arial"/>
        </w:rPr>
        <w:t>"Social capital refers to the collective value of social networks, relationships, and trust within a community, facilitating cooperation and collaboration among its members to achieve common goals (Putnam</w:t>
      </w:r>
      <w:r>
        <w:rPr>
          <w:rFonts w:ascii="Arial" w:hAnsi="Arial" w:cs="Arial"/>
        </w:rPr>
        <w:t xml:space="preserve">, </w:t>
      </w:r>
      <w:r w:rsidRPr="009235F9">
        <w:rPr>
          <w:rFonts w:ascii="Arial" w:hAnsi="Arial" w:cs="Arial"/>
        </w:rPr>
        <w:t xml:space="preserve">2000). </w:t>
      </w:r>
    </w:p>
    <w:p w14:paraId="6C4BF57E" w14:textId="64960E0B" w:rsidR="002C1DA6" w:rsidRPr="002C1DA6" w:rsidRDefault="009235F9" w:rsidP="002C1DA6">
      <w:pPr>
        <w:rPr>
          <w:rFonts w:ascii="Arial" w:hAnsi="Arial" w:cs="Arial"/>
        </w:rPr>
      </w:pPr>
      <w:r>
        <w:rPr>
          <w:rFonts w:ascii="Arial" w:hAnsi="Arial" w:cs="Arial"/>
        </w:rPr>
        <w:t xml:space="preserve">It is </w:t>
      </w:r>
      <w:r w:rsidR="002C1DA6" w:rsidRPr="002C1DA6">
        <w:rPr>
          <w:rFonts w:ascii="Arial" w:hAnsi="Arial" w:cs="Arial"/>
        </w:rPr>
        <w:t>the resources embedded within social networks, which can be harnessed to achieve common goals and mutual benefits within communities. It plays a vital role in fostering trust, cooperation, and collective action. There are three main types of social capital: bonding, bridging, and linking, each with its unique characteristics and contributions to community development.</w:t>
      </w:r>
    </w:p>
    <w:p w14:paraId="3915C5FB" w14:textId="62C912C4" w:rsidR="002C1DA6" w:rsidRPr="002C1DA6" w:rsidRDefault="002C1DA6" w:rsidP="002C1DA6">
      <w:pPr>
        <w:rPr>
          <w:rFonts w:ascii="Arial" w:hAnsi="Arial" w:cs="Arial"/>
          <w:b/>
          <w:bCs/>
        </w:rPr>
      </w:pPr>
      <w:r w:rsidRPr="002C1DA6">
        <w:rPr>
          <w:rFonts w:ascii="Arial" w:hAnsi="Arial" w:cs="Arial"/>
          <w:b/>
          <w:bCs/>
        </w:rPr>
        <w:t xml:space="preserve">1. </w:t>
      </w:r>
      <w:r w:rsidRPr="00E300D7">
        <w:rPr>
          <w:rFonts w:ascii="Arial" w:hAnsi="Arial" w:cs="Arial"/>
          <w:b/>
          <w:bCs/>
          <w:color w:val="0070C0"/>
        </w:rPr>
        <w:t>Bonding</w:t>
      </w:r>
      <w:r w:rsidRPr="002C1DA6">
        <w:rPr>
          <w:rFonts w:ascii="Arial" w:hAnsi="Arial" w:cs="Arial"/>
          <w:b/>
          <w:bCs/>
        </w:rPr>
        <w:t xml:space="preserve"> Social Capital:</w:t>
      </w:r>
      <w:r w:rsidR="00E82D48">
        <w:rPr>
          <w:rFonts w:ascii="Arial" w:hAnsi="Arial" w:cs="Arial"/>
          <w:b/>
          <w:bCs/>
        </w:rPr>
        <w:t xml:space="preserve"> </w:t>
      </w:r>
      <w:r w:rsidR="00E82D48" w:rsidRPr="00E82D48">
        <w:rPr>
          <w:rFonts w:ascii="Arial" w:hAnsi="Arial" w:cs="Arial"/>
          <w:b/>
          <w:bCs/>
          <w:color w:val="7030A0"/>
        </w:rPr>
        <w:t>Getting by day to day</w:t>
      </w:r>
    </w:p>
    <w:p w14:paraId="56AA417A" w14:textId="6BA5B0E2" w:rsidR="002C1DA6" w:rsidRPr="002C1DA6" w:rsidRDefault="002C1DA6" w:rsidP="002C1DA6">
      <w:pPr>
        <w:rPr>
          <w:rFonts w:ascii="Arial" w:hAnsi="Arial" w:cs="Arial"/>
        </w:rPr>
      </w:pPr>
      <w:r w:rsidRPr="002C1DA6">
        <w:rPr>
          <w:rFonts w:ascii="Arial" w:hAnsi="Arial" w:cs="Arial"/>
        </w:rPr>
        <w:t xml:space="preserve">Bonding social capital emphasizes strong ties among individuals within close-knit groups, such as family, friends, and </w:t>
      </w:r>
      <w:r w:rsidR="009235F9" w:rsidRPr="002C1DA6">
        <w:rPr>
          <w:rFonts w:ascii="Arial" w:hAnsi="Arial" w:cs="Arial"/>
        </w:rPr>
        <w:t>neighbours</w:t>
      </w:r>
      <w:r w:rsidRPr="002C1DA6">
        <w:rPr>
          <w:rFonts w:ascii="Arial" w:hAnsi="Arial" w:cs="Arial"/>
        </w:rPr>
        <w:t>. It promotes a sense of belonging and mutual support, enhancing social cohesion within these groups (Putnam, 2000). In times of need, bonding social capital allows for the exchange of resources and emotional support among its members, creating a safety net for individuals (Kawachi et al., 1997).</w:t>
      </w:r>
    </w:p>
    <w:p w14:paraId="5C9EBC03" w14:textId="60CE0F0C" w:rsidR="002C1DA6" w:rsidRPr="002C1DA6" w:rsidRDefault="002C1DA6" w:rsidP="002C1DA6">
      <w:pPr>
        <w:rPr>
          <w:rFonts w:ascii="Arial" w:hAnsi="Arial" w:cs="Arial"/>
          <w:b/>
          <w:bCs/>
        </w:rPr>
      </w:pPr>
      <w:r w:rsidRPr="002C1DA6">
        <w:rPr>
          <w:rFonts w:ascii="Arial" w:hAnsi="Arial" w:cs="Arial"/>
          <w:b/>
          <w:bCs/>
        </w:rPr>
        <w:t xml:space="preserve">2. </w:t>
      </w:r>
      <w:r w:rsidRPr="00E300D7">
        <w:rPr>
          <w:rFonts w:ascii="Arial" w:hAnsi="Arial" w:cs="Arial"/>
          <w:b/>
          <w:bCs/>
          <w:color w:val="00B050"/>
        </w:rPr>
        <w:t>Bridging</w:t>
      </w:r>
      <w:r w:rsidRPr="002C1DA6">
        <w:rPr>
          <w:rFonts w:ascii="Arial" w:hAnsi="Arial" w:cs="Arial"/>
          <w:b/>
          <w:bCs/>
        </w:rPr>
        <w:t xml:space="preserve"> Social Capital:</w:t>
      </w:r>
      <w:r w:rsidR="00E82D48" w:rsidRPr="00E82D48">
        <w:rPr>
          <w:rFonts w:ascii="Arial" w:hAnsi="Arial" w:cs="Arial"/>
          <w:b/>
          <w:bCs/>
          <w:color w:val="7030A0"/>
        </w:rPr>
        <w:t xml:space="preserve"> Getting Ahead</w:t>
      </w:r>
    </w:p>
    <w:p w14:paraId="16A389A9" w14:textId="4E7FB5BA" w:rsidR="002C1DA6" w:rsidRPr="002C1DA6" w:rsidRDefault="002C1DA6" w:rsidP="002C1DA6">
      <w:pPr>
        <w:rPr>
          <w:rFonts w:ascii="Arial" w:hAnsi="Arial" w:cs="Arial"/>
        </w:rPr>
      </w:pPr>
      <w:r w:rsidRPr="002C1DA6">
        <w:rPr>
          <w:rFonts w:ascii="Arial" w:hAnsi="Arial" w:cs="Arial"/>
        </w:rPr>
        <w:t>Bridging social capital focuses on the connections between diverse individuals and groups, fostering interactions between people from different backgrounds, cultures, and communities (Kawachi et al., 1999). It encourages the exchange of ideas, information, and resources beyond the confines of immediate networks. Bridging social capital helps in promoting tolerance, diversity, and a broader sense of community identity.</w:t>
      </w:r>
    </w:p>
    <w:p w14:paraId="1AE4D6E3" w14:textId="0009BF00" w:rsidR="002C1DA6" w:rsidRPr="002C1DA6" w:rsidRDefault="002C1DA6" w:rsidP="002C1DA6">
      <w:pPr>
        <w:rPr>
          <w:rFonts w:ascii="Arial" w:hAnsi="Arial" w:cs="Arial"/>
          <w:b/>
          <w:bCs/>
        </w:rPr>
      </w:pPr>
      <w:r w:rsidRPr="002C1DA6">
        <w:rPr>
          <w:rFonts w:ascii="Arial" w:hAnsi="Arial" w:cs="Arial"/>
          <w:b/>
          <w:bCs/>
        </w:rPr>
        <w:t xml:space="preserve">3. </w:t>
      </w:r>
      <w:r w:rsidRPr="00E300D7">
        <w:rPr>
          <w:rFonts w:ascii="Arial" w:hAnsi="Arial" w:cs="Arial"/>
          <w:b/>
          <w:bCs/>
          <w:color w:val="FF0000"/>
        </w:rPr>
        <w:t>Linking</w:t>
      </w:r>
      <w:r w:rsidRPr="002C1DA6">
        <w:rPr>
          <w:rFonts w:ascii="Arial" w:hAnsi="Arial" w:cs="Arial"/>
          <w:b/>
          <w:bCs/>
        </w:rPr>
        <w:t xml:space="preserve"> Social Capital:</w:t>
      </w:r>
      <w:r w:rsidR="00E82D48">
        <w:rPr>
          <w:rFonts w:ascii="Arial" w:hAnsi="Arial" w:cs="Arial"/>
          <w:b/>
          <w:bCs/>
        </w:rPr>
        <w:t xml:space="preserve"> </w:t>
      </w:r>
      <w:r w:rsidR="00E82D48" w:rsidRPr="00E82D48">
        <w:rPr>
          <w:rFonts w:ascii="Arial" w:hAnsi="Arial" w:cs="Arial"/>
          <w:b/>
          <w:bCs/>
          <w:color w:val="7030A0"/>
        </w:rPr>
        <w:t>Climbing the ladder!</w:t>
      </w:r>
    </w:p>
    <w:p w14:paraId="581488AC" w14:textId="77777777" w:rsidR="002C1DA6" w:rsidRPr="002C1DA6" w:rsidRDefault="002C1DA6" w:rsidP="002C1DA6">
      <w:pPr>
        <w:rPr>
          <w:rFonts w:ascii="Arial" w:hAnsi="Arial" w:cs="Arial"/>
        </w:rPr>
      </w:pPr>
      <w:r w:rsidRPr="002C1DA6">
        <w:rPr>
          <w:rFonts w:ascii="Arial" w:hAnsi="Arial" w:cs="Arial"/>
        </w:rPr>
        <w:t>Linking social capital involves the relationships between individuals or groups and formal institutions or organizations (</w:t>
      </w:r>
      <w:proofErr w:type="spellStart"/>
      <w:r w:rsidRPr="002C1DA6">
        <w:rPr>
          <w:rFonts w:ascii="Arial" w:hAnsi="Arial" w:cs="Arial"/>
        </w:rPr>
        <w:t>Szreter</w:t>
      </w:r>
      <w:proofErr w:type="spellEnd"/>
      <w:r w:rsidRPr="002C1DA6">
        <w:rPr>
          <w:rFonts w:ascii="Arial" w:hAnsi="Arial" w:cs="Arial"/>
        </w:rPr>
        <w:t xml:space="preserve"> &amp; Woolcock, 2004). It enables community members to access resources and support from external entities such as government agencies, non-profit organizations, and educational institutions. Linking social capital empowers communities by providing access to services, funding, and opportunities for growth and development.</w:t>
      </w:r>
    </w:p>
    <w:p w14:paraId="26CC0FE5" w14:textId="77777777" w:rsidR="002C1DA6" w:rsidRPr="002C1DA6" w:rsidRDefault="002C1DA6" w:rsidP="002C1DA6">
      <w:pPr>
        <w:rPr>
          <w:rFonts w:ascii="Arial" w:hAnsi="Arial" w:cs="Arial"/>
        </w:rPr>
      </w:pPr>
    </w:p>
    <w:p w14:paraId="7D8A7CC2" w14:textId="77777777" w:rsidR="002C1DA6" w:rsidRPr="00D00889" w:rsidRDefault="002C1DA6" w:rsidP="002C1DA6">
      <w:pPr>
        <w:rPr>
          <w:rFonts w:ascii="Arial" w:hAnsi="Arial" w:cs="Arial"/>
          <w:b/>
          <w:bCs/>
          <w:color w:val="7030A0"/>
        </w:rPr>
      </w:pPr>
      <w:r w:rsidRPr="00D00889">
        <w:rPr>
          <w:rFonts w:ascii="Arial" w:hAnsi="Arial" w:cs="Arial"/>
          <w:b/>
          <w:bCs/>
          <w:color w:val="7030A0"/>
        </w:rPr>
        <w:t>Importance of Social Capital in Communities:</w:t>
      </w:r>
    </w:p>
    <w:p w14:paraId="0C2EE1DB" w14:textId="77777777" w:rsidR="002C1DA6" w:rsidRPr="002C1DA6" w:rsidRDefault="002C1DA6" w:rsidP="002C1DA6">
      <w:pPr>
        <w:pStyle w:val="ListParagraph"/>
        <w:numPr>
          <w:ilvl w:val="0"/>
          <w:numId w:val="1"/>
        </w:numPr>
        <w:rPr>
          <w:rFonts w:ascii="Arial" w:hAnsi="Arial" w:cs="Arial"/>
        </w:rPr>
      </w:pPr>
      <w:r w:rsidRPr="002C1DA6">
        <w:rPr>
          <w:rFonts w:ascii="Arial" w:hAnsi="Arial" w:cs="Arial"/>
        </w:rPr>
        <w:t>Community Resilience: Social capital enables communities to respond effectively to challenges and crises by mobilizing resources, sharing information, and coordinating efforts (Pretty &amp; Ward, 2001).</w:t>
      </w:r>
    </w:p>
    <w:p w14:paraId="7D9B3777" w14:textId="77777777" w:rsidR="002C1DA6" w:rsidRPr="002C1DA6" w:rsidRDefault="002C1DA6" w:rsidP="002C1DA6">
      <w:pPr>
        <w:pStyle w:val="ListParagraph"/>
        <w:numPr>
          <w:ilvl w:val="0"/>
          <w:numId w:val="1"/>
        </w:numPr>
        <w:rPr>
          <w:rFonts w:ascii="Arial" w:hAnsi="Arial" w:cs="Arial"/>
        </w:rPr>
      </w:pPr>
      <w:r w:rsidRPr="002C1DA6">
        <w:rPr>
          <w:rFonts w:ascii="Arial" w:hAnsi="Arial" w:cs="Arial"/>
        </w:rPr>
        <w:t>Economic Development: Networks established through social capital can lead to economic opportunities, entrepreneurship, and job creation within communities (Cohen &amp; Prusak, 2001).</w:t>
      </w:r>
    </w:p>
    <w:p w14:paraId="46ABD72D" w14:textId="77777777" w:rsidR="002C1DA6" w:rsidRPr="002C1DA6" w:rsidRDefault="002C1DA6" w:rsidP="002C1DA6">
      <w:pPr>
        <w:pStyle w:val="ListParagraph"/>
        <w:numPr>
          <w:ilvl w:val="0"/>
          <w:numId w:val="1"/>
        </w:numPr>
        <w:rPr>
          <w:rFonts w:ascii="Arial" w:hAnsi="Arial" w:cs="Arial"/>
        </w:rPr>
      </w:pPr>
      <w:r w:rsidRPr="002C1DA6">
        <w:rPr>
          <w:rFonts w:ascii="Arial" w:hAnsi="Arial" w:cs="Arial"/>
        </w:rPr>
        <w:t>Health and Well-being: Social capital has been linked to improved mental and physical health outcomes due to increased social support and reduced isolation (Berkman et al., 2000).</w:t>
      </w:r>
    </w:p>
    <w:p w14:paraId="496AB86E" w14:textId="77777777" w:rsidR="002C1DA6" w:rsidRPr="002C1DA6" w:rsidRDefault="002C1DA6" w:rsidP="002C1DA6">
      <w:pPr>
        <w:pStyle w:val="ListParagraph"/>
        <w:numPr>
          <w:ilvl w:val="0"/>
          <w:numId w:val="1"/>
        </w:numPr>
        <w:rPr>
          <w:rFonts w:ascii="Arial" w:hAnsi="Arial" w:cs="Arial"/>
        </w:rPr>
      </w:pPr>
      <w:r w:rsidRPr="002C1DA6">
        <w:rPr>
          <w:rFonts w:ascii="Arial" w:hAnsi="Arial" w:cs="Arial"/>
        </w:rPr>
        <w:t>Civic Engagement: Strong social capital encourages active citizen participation, leading to community-driven initiatives and democratic involvement (Putnam, 1993).</w:t>
      </w:r>
    </w:p>
    <w:p w14:paraId="1E32410F" w14:textId="77777777" w:rsidR="002C1DA6" w:rsidRPr="002C1DA6" w:rsidRDefault="002C1DA6" w:rsidP="002C1DA6">
      <w:pPr>
        <w:rPr>
          <w:rFonts w:ascii="Arial" w:hAnsi="Arial" w:cs="Arial"/>
          <w:b/>
          <w:bCs/>
        </w:rPr>
      </w:pPr>
      <w:r w:rsidRPr="002C1DA6">
        <w:rPr>
          <w:rFonts w:ascii="Arial" w:hAnsi="Arial" w:cs="Arial"/>
          <w:b/>
          <w:bCs/>
        </w:rPr>
        <w:t>Conclusion:</w:t>
      </w:r>
    </w:p>
    <w:p w14:paraId="08F6A1E9" w14:textId="77777777" w:rsidR="002C1DA6" w:rsidRDefault="002C1DA6" w:rsidP="002C1DA6">
      <w:pPr>
        <w:rPr>
          <w:rFonts w:ascii="Arial" w:hAnsi="Arial" w:cs="Arial"/>
        </w:rPr>
      </w:pPr>
      <w:r w:rsidRPr="002C1DA6">
        <w:rPr>
          <w:rFonts w:ascii="Arial" w:hAnsi="Arial" w:cs="Arial"/>
        </w:rPr>
        <w:t>Social capital is a critical factor in building strong, resilient, and cohesive communities. Bonding, bridging, and linking social capital work together to create a robust network of relationships that contribute to community well-being, economic development, and civic engagement. Understanding and nurturing these types of social capital can foster positive community dynamics and enhance the quality of life for all members.</w:t>
      </w:r>
    </w:p>
    <w:p w14:paraId="730F7BE0" w14:textId="4D1F8ED8" w:rsidR="009235F9" w:rsidRPr="00D00889" w:rsidRDefault="009235F9" w:rsidP="002C1DA6">
      <w:pPr>
        <w:rPr>
          <w:rFonts w:ascii="Arial" w:hAnsi="Arial" w:cs="Arial"/>
          <w:b/>
          <w:bCs/>
          <w:color w:val="7030A0"/>
        </w:rPr>
      </w:pPr>
      <w:r w:rsidRPr="00D00889">
        <w:rPr>
          <w:rFonts w:ascii="Arial" w:hAnsi="Arial" w:cs="Arial"/>
          <w:b/>
          <w:bCs/>
          <w:color w:val="7030A0"/>
        </w:rPr>
        <w:t>Reciprocity</w:t>
      </w:r>
      <w:r w:rsidR="00E82D48">
        <w:rPr>
          <w:rFonts w:ascii="Arial" w:hAnsi="Arial" w:cs="Arial"/>
          <w:b/>
          <w:bCs/>
          <w:color w:val="7030A0"/>
        </w:rPr>
        <w:t xml:space="preserve">- </w:t>
      </w:r>
      <w:r w:rsidR="00E82D48" w:rsidRPr="00432B9D">
        <w:rPr>
          <w:rFonts w:ascii="Arial" w:hAnsi="Arial" w:cs="Arial"/>
          <w:b/>
          <w:bCs/>
          <w:color w:val="0070C0"/>
        </w:rPr>
        <w:t xml:space="preserve">You </w:t>
      </w:r>
      <w:r w:rsidR="00432B9D" w:rsidRPr="00432B9D">
        <w:rPr>
          <w:rFonts w:ascii="Arial" w:hAnsi="Arial" w:cs="Arial"/>
          <w:b/>
          <w:bCs/>
          <w:color w:val="0070C0"/>
        </w:rPr>
        <w:t>s</w:t>
      </w:r>
      <w:r w:rsidR="00E82D48" w:rsidRPr="00432B9D">
        <w:rPr>
          <w:rFonts w:ascii="Arial" w:hAnsi="Arial" w:cs="Arial"/>
          <w:b/>
          <w:bCs/>
          <w:color w:val="0070C0"/>
        </w:rPr>
        <w:t>cratch my back and I’ll scratch yours!</w:t>
      </w:r>
    </w:p>
    <w:p w14:paraId="220E1BFE" w14:textId="6C7B301C" w:rsidR="009235F9" w:rsidRDefault="009235F9" w:rsidP="002C1DA6">
      <w:pPr>
        <w:rPr>
          <w:rFonts w:ascii="Arial" w:hAnsi="Arial" w:cs="Arial"/>
        </w:rPr>
      </w:pPr>
      <w:r w:rsidRPr="009235F9">
        <w:rPr>
          <w:rFonts w:ascii="Arial" w:hAnsi="Arial" w:cs="Arial"/>
        </w:rPr>
        <w:t xml:space="preserve">In communities, reciprocity plays a crucial role in fostering social cohesion and cooperation. </w:t>
      </w:r>
      <w:r w:rsidRPr="00432B9D">
        <w:rPr>
          <w:rFonts w:ascii="Arial" w:hAnsi="Arial" w:cs="Arial"/>
          <w:color w:val="00B050"/>
        </w:rPr>
        <w:t xml:space="preserve">Specific reciprocity </w:t>
      </w:r>
      <w:r w:rsidRPr="009235F9">
        <w:rPr>
          <w:rFonts w:ascii="Arial" w:hAnsi="Arial" w:cs="Arial"/>
        </w:rPr>
        <w:t>refers to direct and explicit exchanges of goods, services, or favours between individuals, creating a sense of obligation for reciprocation. This type of reciprocity is commonly observed in small, closely-knit communities where individuals engage in mutually beneficial interactions, reinforcing trust and solidarity</w:t>
      </w:r>
      <w:r>
        <w:rPr>
          <w:rFonts w:ascii="Arial" w:hAnsi="Arial" w:cs="Arial"/>
        </w:rPr>
        <w:t xml:space="preserve"> (Yamagishi and Cook, 1993).</w:t>
      </w:r>
    </w:p>
    <w:p w14:paraId="6D39CB42" w14:textId="724CD747" w:rsidR="009235F9" w:rsidRDefault="009235F9" w:rsidP="002C1DA6">
      <w:pPr>
        <w:rPr>
          <w:rFonts w:ascii="Arial" w:hAnsi="Arial" w:cs="Arial"/>
        </w:rPr>
      </w:pPr>
      <w:r w:rsidRPr="009235F9">
        <w:rPr>
          <w:rFonts w:ascii="Arial" w:hAnsi="Arial" w:cs="Arial"/>
        </w:rPr>
        <w:t xml:space="preserve">On the other hand, </w:t>
      </w:r>
      <w:r w:rsidRPr="00432B9D">
        <w:rPr>
          <w:rFonts w:ascii="Arial" w:hAnsi="Arial" w:cs="Arial"/>
          <w:color w:val="FF0000"/>
        </w:rPr>
        <w:t>generalized reciprocity</w:t>
      </w:r>
      <w:r w:rsidRPr="009235F9">
        <w:rPr>
          <w:rFonts w:ascii="Arial" w:hAnsi="Arial" w:cs="Arial"/>
        </w:rPr>
        <w:t xml:space="preserve"> entails giving without any immediate expectation of receiving something in return. This form of reciprocity is rooted in a sense of communal responsibility and is often observed in larger communities where trust is developed over time through repeated interactions. Individuals engage in acts of kindness and support, knowing that others within the community will reciprocate when needed, leading to the cultivation of a supportive and cohesive social environment</w:t>
      </w:r>
      <w:r>
        <w:rPr>
          <w:rFonts w:ascii="Arial" w:hAnsi="Arial" w:cs="Arial"/>
        </w:rPr>
        <w:t xml:space="preserve"> </w:t>
      </w:r>
      <w:r w:rsidRPr="009235F9">
        <w:rPr>
          <w:rFonts w:ascii="Arial" w:hAnsi="Arial" w:cs="Arial"/>
        </w:rPr>
        <w:t>(Fehr</w:t>
      </w:r>
      <w:r>
        <w:rPr>
          <w:rFonts w:ascii="Arial" w:hAnsi="Arial" w:cs="Arial"/>
        </w:rPr>
        <w:t xml:space="preserve"> and </w:t>
      </w:r>
      <w:r w:rsidRPr="009235F9">
        <w:rPr>
          <w:rFonts w:ascii="Arial" w:hAnsi="Arial" w:cs="Arial"/>
        </w:rPr>
        <w:t>Gächter,</w:t>
      </w:r>
      <w:r>
        <w:rPr>
          <w:rFonts w:ascii="Arial" w:hAnsi="Arial" w:cs="Arial"/>
        </w:rPr>
        <w:t xml:space="preserve"> </w:t>
      </w:r>
      <w:r w:rsidRPr="009235F9">
        <w:rPr>
          <w:rFonts w:ascii="Arial" w:hAnsi="Arial" w:cs="Arial"/>
        </w:rPr>
        <w:t>2000).</w:t>
      </w:r>
    </w:p>
    <w:p w14:paraId="78AE29BA" w14:textId="0E8E9434" w:rsidR="002C1DA6" w:rsidRDefault="009235F9" w:rsidP="002C1DA6">
      <w:pPr>
        <w:rPr>
          <w:rFonts w:ascii="Arial" w:hAnsi="Arial" w:cs="Arial"/>
        </w:rPr>
      </w:pPr>
      <w:r w:rsidRPr="009235F9">
        <w:rPr>
          <w:rFonts w:ascii="Arial" w:hAnsi="Arial" w:cs="Arial"/>
        </w:rPr>
        <w:t xml:space="preserve">Both specific and generalized reciprocity contribute significantly to the overall social capital of a community, as they create networks of interdependence and mutual trust among members. These reciprocal exchanges enhance the community's resilience, foster a sense of belonging, and promote a cooperative spirit, ultimately leading to the well-being and prosperity of the community as a </w:t>
      </w:r>
      <w:proofErr w:type="gramStart"/>
      <w:r w:rsidRPr="009235F9">
        <w:rPr>
          <w:rFonts w:ascii="Arial" w:hAnsi="Arial" w:cs="Arial"/>
        </w:rPr>
        <w:t>whole</w:t>
      </w:r>
      <w:proofErr w:type="gramEnd"/>
    </w:p>
    <w:p w14:paraId="57B95360" w14:textId="77777777" w:rsidR="00CA312B" w:rsidRPr="002C1DA6" w:rsidRDefault="00CA312B" w:rsidP="002C1DA6">
      <w:pPr>
        <w:rPr>
          <w:rFonts w:ascii="Arial" w:hAnsi="Arial" w:cs="Arial"/>
        </w:rPr>
      </w:pPr>
    </w:p>
    <w:p w14:paraId="775163F7" w14:textId="0BE322D8" w:rsidR="002C1DA6" w:rsidRPr="00CA312B" w:rsidRDefault="002C1DA6" w:rsidP="00CA312B">
      <w:pPr>
        <w:rPr>
          <w:rFonts w:ascii="Arial" w:hAnsi="Arial" w:cs="Arial"/>
          <w:b/>
          <w:bCs/>
        </w:rPr>
      </w:pPr>
      <w:r w:rsidRPr="002C1DA6">
        <w:rPr>
          <w:rFonts w:ascii="Arial" w:hAnsi="Arial" w:cs="Arial"/>
          <w:b/>
          <w:bCs/>
        </w:rPr>
        <w:t>References:</w:t>
      </w:r>
    </w:p>
    <w:p w14:paraId="098C62DB" w14:textId="1A9D9E26" w:rsidR="002C1DA6" w:rsidRPr="006452A6" w:rsidRDefault="002C1DA6" w:rsidP="00CA312B">
      <w:pPr>
        <w:spacing w:line="240" w:lineRule="auto"/>
        <w:rPr>
          <w:rFonts w:ascii="Arial" w:hAnsi="Arial" w:cs="Arial"/>
          <w:szCs w:val="24"/>
        </w:rPr>
      </w:pPr>
      <w:r w:rsidRPr="006452A6">
        <w:rPr>
          <w:rFonts w:ascii="Arial" w:hAnsi="Arial" w:cs="Arial"/>
          <w:szCs w:val="24"/>
        </w:rPr>
        <w:t xml:space="preserve">Berkman, L. F., Glass, T., Brissette, I., &amp; Seeman, T. E. (2000). From social integration to health: Durkheim in the new millennium. </w:t>
      </w:r>
      <w:r w:rsidRPr="006452A6">
        <w:rPr>
          <w:rFonts w:ascii="Arial" w:hAnsi="Arial" w:cs="Arial"/>
          <w:i/>
          <w:iCs/>
          <w:szCs w:val="24"/>
        </w:rPr>
        <w:t xml:space="preserve">Social Science &amp; Medicine </w:t>
      </w:r>
      <w:r w:rsidRPr="006452A6">
        <w:rPr>
          <w:rFonts w:ascii="Arial" w:hAnsi="Arial" w:cs="Arial"/>
          <w:szCs w:val="24"/>
        </w:rPr>
        <w:t>51(6) pp.843-857.</w:t>
      </w:r>
    </w:p>
    <w:p w14:paraId="3258E643" w14:textId="2BC8EA9A" w:rsidR="00D205C5" w:rsidRPr="006452A6" w:rsidRDefault="002C1DA6" w:rsidP="00CA312B">
      <w:pPr>
        <w:spacing w:line="240" w:lineRule="auto"/>
        <w:rPr>
          <w:rFonts w:ascii="Arial" w:hAnsi="Arial" w:cs="Arial"/>
          <w:szCs w:val="24"/>
        </w:rPr>
      </w:pPr>
      <w:r w:rsidRPr="006452A6">
        <w:rPr>
          <w:rFonts w:ascii="Arial" w:hAnsi="Arial" w:cs="Arial"/>
          <w:szCs w:val="24"/>
        </w:rPr>
        <w:t xml:space="preserve">Cohen, D., &amp; Prusak, L. (2001). </w:t>
      </w:r>
      <w:r w:rsidRPr="006452A6">
        <w:rPr>
          <w:rFonts w:ascii="Arial" w:hAnsi="Arial" w:cs="Arial"/>
          <w:i/>
          <w:iCs/>
          <w:szCs w:val="24"/>
        </w:rPr>
        <w:t>In Good Company: How Social Capital Makes Organizations Work</w:t>
      </w:r>
      <w:r w:rsidRPr="006452A6">
        <w:rPr>
          <w:rFonts w:ascii="Arial" w:hAnsi="Arial" w:cs="Arial"/>
          <w:szCs w:val="24"/>
        </w:rPr>
        <w:t>. Harvard: Harvard Business Review Press.</w:t>
      </w:r>
    </w:p>
    <w:p w14:paraId="7D6713C2" w14:textId="55DCE4C5" w:rsidR="002C1DA6" w:rsidRPr="006452A6" w:rsidRDefault="00D205C5" w:rsidP="00CA312B">
      <w:pPr>
        <w:spacing w:line="240" w:lineRule="auto"/>
        <w:rPr>
          <w:rFonts w:ascii="Arial" w:hAnsi="Arial" w:cs="Arial"/>
          <w:szCs w:val="24"/>
        </w:rPr>
      </w:pPr>
      <w:r w:rsidRPr="006452A6">
        <w:rPr>
          <w:rFonts w:ascii="Arial" w:hAnsi="Arial" w:cs="Arial"/>
          <w:szCs w:val="24"/>
        </w:rPr>
        <w:t xml:space="preserve">Fehr, E., &amp; Gächter, S. (2000). Cooperation and punishment in public goods experiments. </w:t>
      </w:r>
      <w:r w:rsidRPr="006452A6">
        <w:rPr>
          <w:rFonts w:ascii="Arial" w:hAnsi="Arial" w:cs="Arial"/>
          <w:i/>
          <w:iCs/>
          <w:szCs w:val="24"/>
        </w:rPr>
        <w:t>American Economic Review</w:t>
      </w:r>
      <w:r w:rsidRPr="006452A6">
        <w:rPr>
          <w:rFonts w:ascii="Arial" w:hAnsi="Arial" w:cs="Arial"/>
          <w:szCs w:val="24"/>
        </w:rPr>
        <w:t xml:space="preserve">  90(4) pp.980-994</w:t>
      </w:r>
    </w:p>
    <w:p w14:paraId="730AC5A6" w14:textId="164136B5" w:rsidR="002C1DA6" w:rsidRPr="006452A6" w:rsidRDefault="002C1DA6" w:rsidP="00CA312B">
      <w:pPr>
        <w:spacing w:line="240" w:lineRule="auto"/>
        <w:rPr>
          <w:rFonts w:ascii="Arial" w:hAnsi="Arial" w:cs="Arial"/>
          <w:szCs w:val="24"/>
        </w:rPr>
      </w:pPr>
      <w:r w:rsidRPr="006452A6">
        <w:rPr>
          <w:rFonts w:ascii="Arial" w:hAnsi="Arial" w:cs="Arial"/>
          <w:szCs w:val="24"/>
        </w:rPr>
        <w:t xml:space="preserve">Kawachi, I., Kennedy, B. P., &amp; Glass, R. (1997). Social capital and self-rated health: A contextual analysis. </w:t>
      </w:r>
      <w:r w:rsidRPr="006452A6">
        <w:rPr>
          <w:rFonts w:ascii="Arial" w:hAnsi="Arial" w:cs="Arial"/>
          <w:i/>
          <w:iCs/>
          <w:szCs w:val="24"/>
        </w:rPr>
        <w:t>American Journal of Public Health</w:t>
      </w:r>
      <w:r w:rsidRPr="006452A6">
        <w:rPr>
          <w:rFonts w:ascii="Arial" w:hAnsi="Arial" w:cs="Arial"/>
          <w:szCs w:val="24"/>
        </w:rPr>
        <w:t xml:space="preserve"> 89(8) pp.1187-1193.</w:t>
      </w:r>
    </w:p>
    <w:p w14:paraId="57AF697E" w14:textId="5EDC68C3" w:rsidR="002C1DA6" w:rsidRPr="006452A6" w:rsidRDefault="002C1DA6" w:rsidP="00CA312B">
      <w:pPr>
        <w:spacing w:line="240" w:lineRule="auto"/>
        <w:rPr>
          <w:rFonts w:ascii="Arial" w:hAnsi="Arial" w:cs="Arial"/>
          <w:szCs w:val="24"/>
        </w:rPr>
      </w:pPr>
      <w:r w:rsidRPr="006452A6">
        <w:rPr>
          <w:rFonts w:ascii="Arial" w:hAnsi="Arial" w:cs="Arial"/>
          <w:szCs w:val="24"/>
        </w:rPr>
        <w:t xml:space="preserve">Kawachi, I., Kim, D., Coutts, A., &amp; Subramanian, S. V. (2004). Commentary: Reconciling the three accounts of social capital. </w:t>
      </w:r>
      <w:r w:rsidRPr="006452A6">
        <w:rPr>
          <w:rFonts w:ascii="Arial" w:hAnsi="Arial" w:cs="Arial"/>
          <w:i/>
          <w:iCs/>
          <w:szCs w:val="24"/>
        </w:rPr>
        <w:t xml:space="preserve">International Journal of Epidemiology </w:t>
      </w:r>
      <w:r w:rsidRPr="006452A6">
        <w:rPr>
          <w:rFonts w:ascii="Arial" w:hAnsi="Arial" w:cs="Arial"/>
          <w:szCs w:val="24"/>
        </w:rPr>
        <w:t xml:space="preserve"> 33(4) pp. 682-690.</w:t>
      </w:r>
    </w:p>
    <w:p w14:paraId="5C07B491" w14:textId="48ABE4B8" w:rsidR="002C1DA6" w:rsidRPr="006452A6" w:rsidRDefault="002C1DA6" w:rsidP="00CA312B">
      <w:pPr>
        <w:spacing w:line="240" w:lineRule="auto"/>
        <w:rPr>
          <w:rFonts w:ascii="Arial" w:hAnsi="Arial" w:cs="Arial"/>
          <w:szCs w:val="24"/>
        </w:rPr>
      </w:pPr>
      <w:r w:rsidRPr="006452A6">
        <w:rPr>
          <w:rFonts w:ascii="Arial" w:hAnsi="Arial" w:cs="Arial"/>
          <w:szCs w:val="24"/>
        </w:rPr>
        <w:t>Pretty, J., &amp; Ward, H. (2001). Social capital and the environment.</w:t>
      </w:r>
      <w:r w:rsidRPr="006452A6">
        <w:rPr>
          <w:rFonts w:ascii="Arial" w:hAnsi="Arial" w:cs="Arial"/>
          <w:i/>
          <w:iCs/>
          <w:szCs w:val="24"/>
        </w:rPr>
        <w:t xml:space="preserve"> World Development </w:t>
      </w:r>
      <w:r w:rsidRPr="006452A6">
        <w:rPr>
          <w:rFonts w:ascii="Arial" w:hAnsi="Arial" w:cs="Arial"/>
          <w:szCs w:val="24"/>
        </w:rPr>
        <w:t xml:space="preserve"> 29(2) pp.209-227.</w:t>
      </w:r>
    </w:p>
    <w:p w14:paraId="59C90CE5" w14:textId="0572458F" w:rsidR="002C1DA6" w:rsidRPr="006452A6" w:rsidRDefault="002C1DA6" w:rsidP="00CA312B">
      <w:pPr>
        <w:spacing w:line="240" w:lineRule="auto"/>
        <w:rPr>
          <w:rFonts w:ascii="Arial" w:hAnsi="Arial" w:cs="Arial"/>
          <w:szCs w:val="24"/>
        </w:rPr>
      </w:pPr>
      <w:r w:rsidRPr="006452A6">
        <w:rPr>
          <w:rFonts w:ascii="Arial" w:hAnsi="Arial" w:cs="Arial"/>
          <w:szCs w:val="24"/>
        </w:rPr>
        <w:t xml:space="preserve">Putnam, R. D. (1993). </w:t>
      </w:r>
      <w:r w:rsidRPr="006452A6">
        <w:rPr>
          <w:rFonts w:ascii="Arial" w:hAnsi="Arial" w:cs="Arial"/>
          <w:i/>
          <w:iCs/>
          <w:szCs w:val="24"/>
        </w:rPr>
        <w:t>Making Democracy Work: Civic Traditions in Modern Italy</w:t>
      </w:r>
      <w:r w:rsidRPr="006452A6">
        <w:rPr>
          <w:rFonts w:ascii="Arial" w:hAnsi="Arial" w:cs="Arial"/>
          <w:szCs w:val="24"/>
        </w:rPr>
        <w:t>. Princeton: University Press.</w:t>
      </w:r>
    </w:p>
    <w:p w14:paraId="5F0C2FC3" w14:textId="23BC6C2C" w:rsidR="002C1DA6" w:rsidRPr="006452A6" w:rsidRDefault="002C1DA6" w:rsidP="00CA312B">
      <w:pPr>
        <w:spacing w:line="240" w:lineRule="auto"/>
        <w:rPr>
          <w:rFonts w:ascii="Arial" w:hAnsi="Arial" w:cs="Arial"/>
          <w:szCs w:val="24"/>
        </w:rPr>
      </w:pPr>
      <w:r w:rsidRPr="006452A6">
        <w:rPr>
          <w:rFonts w:ascii="Arial" w:hAnsi="Arial" w:cs="Arial"/>
          <w:szCs w:val="24"/>
        </w:rPr>
        <w:t xml:space="preserve">Putnam, R. D. (2000). </w:t>
      </w:r>
      <w:r w:rsidRPr="006452A6">
        <w:rPr>
          <w:rFonts w:ascii="Arial" w:hAnsi="Arial" w:cs="Arial"/>
          <w:i/>
          <w:iCs/>
          <w:szCs w:val="24"/>
        </w:rPr>
        <w:t>Bowling Alone: The Collapse and Revival of American Community</w:t>
      </w:r>
      <w:r w:rsidRPr="006452A6">
        <w:rPr>
          <w:rFonts w:ascii="Arial" w:hAnsi="Arial" w:cs="Arial"/>
          <w:szCs w:val="24"/>
        </w:rPr>
        <w:t>. New York: Simon &amp; Schuster.</w:t>
      </w:r>
    </w:p>
    <w:p w14:paraId="64F51E0A" w14:textId="0ED8358F" w:rsidR="00D205C5" w:rsidRPr="006452A6" w:rsidRDefault="002C1DA6" w:rsidP="00CA312B">
      <w:pPr>
        <w:spacing w:line="240" w:lineRule="auto"/>
        <w:rPr>
          <w:rFonts w:ascii="Arial" w:hAnsi="Arial" w:cs="Arial"/>
          <w:szCs w:val="24"/>
        </w:rPr>
      </w:pPr>
      <w:proofErr w:type="spellStart"/>
      <w:r w:rsidRPr="006452A6">
        <w:rPr>
          <w:rFonts w:ascii="Arial" w:hAnsi="Arial" w:cs="Arial"/>
          <w:szCs w:val="24"/>
        </w:rPr>
        <w:t>Szreter</w:t>
      </w:r>
      <w:proofErr w:type="spellEnd"/>
      <w:r w:rsidRPr="006452A6">
        <w:rPr>
          <w:rFonts w:ascii="Arial" w:hAnsi="Arial" w:cs="Arial"/>
          <w:szCs w:val="24"/>
        </w:rPr>
        <w:t xml:space="preserve">, S., &amp; Woolcock, M. (2004). Health by association? Social capital, social theory, and the political economy of public health. </w:t>
      </w:r>
      <w:r w:rsidRPr="006452A6">
        <w:rPr>
          <w:rFonts w:ascii="Arial" w:hAnsi="Arial" w:cs="Arial"/>
          <w:i/>
          <w:iCs/>
          <w:szCs w:val="24"/>
        </w:rPr>
        <w:t>International Journal of Epidemiology</w:t>
      </w:r>
      <w:r w:rsidRPr="006452A6">
        <w:rPr>
          <w:rFonts w:ascii="Arial" w:hAnsi="Arial" w:cs="Arial"/>
          <w:szCs w:val="24"/>
        </w:rPr>
        <w:t xml:space="preserve">  33(4) pp.650-667.</w:t>
      </w:r>
    </w:p>
    <w:p w14:paraId="011B13CF" w14:textId="01349829" w:rsidR="009235F9" w:rsidRPr="006452A6" w:rsidRDefault="009235F9" w:rsidP="00CA312B">
      <w:pPr>
        <w:spacing w:line="240" w:lineRule="auto"/>
        <w:rPr>
          <w:rFonts w:ascii="Arial" w:hAnsi="Arial" w:cs="Arial"/>
          <w:szCs w:val="24"/>
        </w:rPr>
      </w:pPr>
      <w:r w:rsidRPr="006452A6">
        <w:rPr>
          <w:rFonts w:ascii="Arial" w:hAnsi="Arial" w:cs="Arial"/>
          <w:szCs w:val="24"/>
        </w:rPr>
        <w:t xml:space="preserve">Yamagishi, T., &amp; Cook, K. S. (1993). Generalized exchange and social dilemmas. </w:t>
      </w:r>
      <w:r w:rsidRPr="006452A6">
        <w:rPr>
          <w:rFonts w:ascii="Arial" w:hAnsi="Arial" w:cs="Arial"/>
          <w:i/>
          <w:iCs/>
          <w:szCs w:val="24"/>
        </w:rPr>
        <w:t>Social Psychology Quarterly</w:t>
      </w:r>
      <w:r w:rsidRPr="006452A6">
        <w:rPr>
          <w:rFonts w:ascii="Arial" w:hAnsi="Arial" w:cs="Arial"/>
          <w:szCs w:val="24"/>
        </w:rPr>
        <w:t xml:space="preserve"> 56(4) pp.235-248).</w:t>
      </w:r>
    </w:p>
    <w:sectPr w:rsidR="009235F9" w:rsidRPr="006452A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2EB9F6" w14:textId="77777777" w:rsidR="006452A6" w:rsidRDefault="006452A6" w:rsidP="006452A6">
      <w:pPr>
        <w:spacing w:after="0" w:line="240" w:lineRule="auto"/>
      </w:pPr>
      <w:r>
        <w:separator/>
      </w:r>
    </w:p>
  </w:endnote>
  <w:endnote w:type="continuationSeparator" w:id="0">
    <w:p w14:paraId="45DE8D85" w14:textId="77777777" w:rsidR="006452A6" w:rsidRDefault="006452A6" w:rsidP="006452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4539BF" w14:textId="77777777" w:rsidR="006452A6" w:rsidRDefault="006452A6" w:rsidP="006452A6">
      <w:pPr>
        <w:spacing w:after="0" w:line="240" w:lineRule="auto"/>
      </w:pPr>
      <w:r>
        <w:separator/>
      </w:r>
    </w:p>
  </w:footnote>
  <w:footnote w:type="continuationSeparator" w:id="0">
    <w:p w14:paraId="3D3DC8AC" w14:textId="77777777" w:rsidR="006452A6" w:rsidRDefault="006452A6" w:rsidP="006452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95109B"/>
    <w:multiLevelType w:val="hybridMultilevel"/>
    <w:tmpl w:val="88604C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81163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1DA6"/>
    <w:rsid w:val="000114AF"/>
    <w:rsid w:val="000208B6"/>
    <w:rsid w:val="00034BB2"/>
    <w:rsid w:val="00055A99"/>
    <w:rsid w:val="000607A9"/>
    <w:rsid w:val="0007793B"/>
    <w:rsid w:val="001027FD"/>
    <w:rsid w:val="00125CAA"/>
    <w:rsid w:val="00127DF7"/>
    <w:rsid w:val="00141D74"/>
    <w:rsid w:val="00156A5D"/>
    <w:rsid w:val="00173567"/>
    <w:rsid w:val="00176919"/>
    <w:rsid w:val="001A7799"/>
    <w:rsid w:val="001A78DF"/>
    <w:rsid w:val="001B467D"/>
    <w:rsid w:val="001D5C1A"/>
    <w:rsid w:val="001F0517"/>
    <w:rsid w:val="00220FF9"/>
    <w:rsid w:val="002400B3"/>
    <w:rsid w:val="002B15B5"/>
    <w:rsid w:val="002C1DA6"/>
    <w:rsid w:val="00366CC8"/>
    <w:rsid w:val="003F410C"/>
    <w:rsid w:val="0040533D"/>
    <w:rsid w:val="00414F1F"/>
    <w:rsid w:val="00432B9D"/>
    <w:rsid w:val="00456289"/>
    <w:rsid w:val="00466FAD"/>
    <w:rsid w:val="0047793A"/>
    <w:rsid w:val="00494FD7"/>
    <w:rsid w:val="004B781C"/>
    <w:rsid w:val="004F7D39"/>
    <w:rsid w:val="005C3438"/>
    <w:rsid w:val="005D21F3"/>
    <w:rsid w:val="005E0A86"/>
    <w:rsid w:val="005E3241"/>
    <w:rsid w:val="005F0F6A"/>
    <w:rsid w:val="00634DAC"/>
    <w:rsid w:val="006452A6"/>
    <w:rsid w:val="0065629A"/>
    <w:rsid w:val="00673B8E"/>
    <w:rsid w:val="006920F3"/>
    <w:rsid w:val="00697930"/>
    <w:rsid w:val="006D0368"/>
    <w:rsid w:val="006E53A2"/>
    <w:rsid w:val="006F0013"/>
    <w:rsid w:val="007059E6"/>
    <w:rsid w:val="0073495F"/>
    <w:rsid w:val="00751806"/>
    <w:rsid w:val="007A7DB7"/>
    <w:rsid w:val="007F68FB"/>
    <w:rsid w:val="0082701A"/>
    <w:rsid w:val="00844DF8"/>
    <w:rsid w:val="00861535"/>
    <w:rsid w:val="00863478"/>
    <w:rsid w:val="00880B59"/>
    <w:rsid w:val="008B29C5"/>
    <w:rsid w:val="00906ED3"/>
    <w:rsid w:val="00911437"/>
    <w:rsid w:val="009156F4"/>
    <w:rsid w:val="009235F9"/>
    <w:rsid w:val="009344D7"/>
    <w:rsid w:val="00944527"/>
    <w:rsid w:val="00952CC5"/>
    <w:rsid w:val="00966E2F"/>
    <w:rsid w:val="00966E81"/>
    <w:rsid w:val="0098179C"/>
    <w:rsid w:val="009838CA"/>
    <w:rsid w:val="009878D3"/>
    <w:rsid w:val="009B181D"/>
    <w:rsid w:val="009B1CA4"/>
    <w:rsid w:val="009E096E"/>
    <w:rsid w:val="009E1263"/>
    <w:rsid w:val="009E1FFC"/>
    <w:rsid w:val="009E4CFB"/>
    <w:rsid w:val="00A01C27"/>
    <w:rsid w:val="00A10EBC"/>
    <w:rsid w:val="00A125FF"/>
    <w:rsid w:val="00A40CB5"/>
    <w:rsid w:val="00AE3065"/>
    <w:rsid w:val="00B05A40"/>
    <w:rsid w:val="00B1054E"/>
    <w:rsid w:val="00B2337F"/>
    <w:rsid w:val="00B66A4D"/>
    <w:rsid w:val="00B66D80"/>
    <w:rsid w:val="00B818CE"/>
    <w:rsid w:val="00B95E92"/>
    <w:rsid w:val="00BB2D4A"/>
    <w:rsid w:val="00BD5D89"/>
    <w:rsid w:val="00BE243F"/>
    <w:rsid w:val="00BF7357"/>
    <w:rsid w:val="00C21A36"/>
    <w:rsid w:val="00C44761"/>
    <w:rsid w:val="00CA312B"/>
    <w:rsid w:val="00CA37AA"/>
    <w:rsid w:val="00CA771C"/>
    <w:rsid w:val="00CD476B"/>
    <w:rsid w:val="00CF181E"/>
    <w:rsid w:val="00D00889"/>
    <w:rsid w:val="00D00BD3"/>
    <w:rsid w:val="00D05411"/>
    <w:rsid w:val="00D205C5"/>
    <w:rsid w:val="00D64A76"/>
    <w:rsid w:val="00DD4005"/>
    <w:rsid w:val="00DF04A9"/>
    <w:rsid w:val="00E0389F"/>
    <w:rsid w:val="00E239EE"/>
    <w:rsid w:val="00E300D7"/>
    <w:rsid w:val="00E7764E"/>
    <w:rsid w:val="00E82D48"/>
    <w:rsid w:val="00EA1173"/>
    <w:rsid w:val="00EA2F6A"/>
    <w:rsid w:val="00EE3193"/>
    <w:rsid w:val="00F2555A"/>
    <w:rsid w:val="00F36A69"/>
    <w:rsid w:val="00F7714E"/>
    <w:rsid w:val="00F929D4"/>
    <w:rsid w:val="00F940C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7BFC2CF"/>
  <w15:chartTrackingRefBased/>
  <w15:docId w15:val="{167C61BE-EF19-4933-8A18-BA6615776C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heme="minorBidi"/>
        <w:kern w:val="2"/>
        <w:sz w:val="24"/>
        <w:szCs w:val="22"/>
        <w:lang w:val="en-GB" w:eastAsia="zh-CN"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C1DA6"/>
    <w:pPr>
      <w:ind w:left="720"/>
      <w:contextualSpacing/>
    </w:pPr>
  </w:style>
  <w:style w:type="paragraph" w:styleId="Header">
    <w:name w:val="header"/>
    <w:basedOn w:val="Normal"/>
    <w:link w:val="HeaderChar"/>
    <w:uiPriority w:val="99"/>
    <w:unhideWhenUsed/>
    <w:rsid w:val="006452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52A6"/>
  </w:style>
  <w:style w:type="paragraph" w:styleId="Footer">
    <w:name w:val="footer"/>
    <w:basedOn w:val="Normal"/>
    <w:link w:val="FooterChar"/>
    <w:uiPriority w:val="99"/>
    <w:unhideWhenUsed/>
    <w:rsid w:val="006452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52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697</TotalTime>
  <Pages>3</Pages>
  <Words>923</Words>
  <Characters>5267</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Davies (Yr Athrofa)</dc:creator>
  <cp:keywords/>
  <dc:description/>
  <cp:lastModifiedBy>Joanne Davies (Yr Athrofa)</cp:lastModifiedBy>
  <cp:revision>5</cp:revision>
  <dcterms:created xsi:type="dcterms:W3CDTF">2023-07-25T20:34:00Z</dcterms:created>
  <dcterms:modified xsi:type="dcterms:W3CDTF">2023-10-08T16:41:00Z</dcterms:modified>
</cp:coreProperties>
</file>