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BEA278" w14:textId="7304826F" w:rsidR="008547A4" w:rsidRDefault="00D119EB">
      <w:bookmarkStart w:id="0" w:name="_GoBack"/>
      <w:bookmarkEnd w:id="0"/>
      <w:r>
        <w:rPr>
          <w:noProof/>
        </w:rPr>
        <w:drawing>
          <wp:anchor distT="0" distB="0" distL="114300" distR="114300" simplePos="0" relativeHeight="251658240" behindDoc="1" locked="0" layoutInCell="1" allowOverlap="1" wp14:anchorId="0F0CC17B" wp14:editId="5D16CB50">
            <wp:simplePos x="0" y="0"/>
            <wp:positionH relativeFrom="page">
              <wp:posOffset>658585</wp:posOffset>
            </wp:positionH>
            <wp:positionV relativeFrom="paragraph">
              <wp:posOffset>920751</wp:posOffset>
            </wp:positionV>
            <wp:extent cx="6528459" cy="5914736"/>
            <wp:effectExtent l="381000" t="781050" r="386715" b="772160"/>
            <wp:wrapNone/>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 r:lo="rId5" r:qs="rId6" r:cs="rId7"/>
              </a:graphicData>
            </a:graphic>
            <wp14:sizeRelH relativeFrom="margin">
              <wp14:pctWidth>0</wp14:pctWidth>
            </wp14:sizeRelH>
            <wp14:sizeRelV relativeFrom="margin">
              <wp14:pctHeight>0</wp14:pctHeight>
            </wp14:sizeRelV>
          </wp:anchor>
        </w:drawing>
      </w:r>
    </w:p>
    <w:sectPr w:rsidR="008547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9EB"/>
    <w:rsid w:val="003D0105"/>
    <w:rsid w:val="003F0202"/>
    <w:rsid w:val="0043166C"/>
    <w:rsid w:val="004452BD"/>
    <w:rsid w:val="0047652C"/>
    <w:rsid w:val="006A589D"/>
    <w:rsid w:val="00954468"/>
    <w:rsid w:val="00A969DF"/>
    <w:rsid w:val="00D119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86015"/>
  <w15:chartTrackingRefBased/>
  <w15:docId w15:val="{1C9A6860-5261-4E8A-8F8E-99F52A9A1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119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19E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microsoft.com/office/2007/relationships/diagramDrawing" Target="diagrams/drawing1.xml"/><Relationship Id="rId3" Type="http://schemas.openxmlformats.org/officeDocument/2006/relationships/webSettings" Target="webSettings.xml"/><Relationship Id="rId7" Type="http://schemas.openxmlformats.org/officeDocument/2006/relationships/diagramColors" Target="diagrams/colors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diagramQuickStyle" Target="diagrams/quickStyle1.xml"/><Relationship Id="rId5" Type="http://schemas.openxmlformats.org/officeDocument/2006/relationships/diagramLayout" Target="diagrams/layout1.xml"/><Relationship Id="rId10" Type="http://schemas.openxmlformats.org/officeDocument/2006/relationships/theme" Target="theme/theme1.xml"/><Relationship Id="rId4" Type="http://schemas.openxmlformats.org/officeDocument/2006/relationships/diagramData" Target="diagrams/data1.xml"/><Relationship Id="rId9"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A81D913-30BE-42F4-977F-2CAE6AFE1BF3}" type="doc">
      <dgm:prSet loTypeId="urn:microsoft.com/office/officeart/2005/8/layout/radial6" loCatId="cycle" qsTypeId="urn:microsoft.com/office/officeart/2005/8/quickstyle/3d1" qsCatId="3D" csTypeId="urn:microsoft.com/office/officeart/2005/8/colors/colorful4" csCatId="colorful" phldr="1"/>
      <dgm:spPr/>
      <dgm:t>
        <a:bodyPr/>
        <a:lstStyle/>
        <a:p>
          <a:endParaRPr lang="en-GB"/>
        </a:p>
      </dgm:t>
    </dgm:pt>
    <dgm:pt modelId="{51680CEF-0760-4255-B514-9D015E99FC34}">
      <dgm:prSet phldrT="[Text]" custT="1"/>
      <dgm:spPr/>
      <dgm:t>
        <a:bodyPr/>
        <a:lstStyle/>
        <a:p>
          <a:r>
            <a:rPr lang="en-GB" sz="2400">
              <a:latin typeface="Bahnschrift SemiBold Condensed" panose="020B0502040204020203" pitchFamily="34" charset="0"/>
            </a:rPr>
            <a:t>FIVE FORCES</a:t>
          </a:r>
        </a:p>
      </dgm:t>
    </dgm:pt>
    <dgm:pt modelId="{FC834231-1BAF-4EE3-BEDD-51FA0C0C3740}" type="parTrans" cxnId="{E6F6A423-7CC2-4250-B7BC-061E3580614C}">
      <dgm:prSet/>
      <dgm:spPr/>
      <dgm:t>
        <a:bodyPr/>
        <a:lstStyle/>
        <a:p>
          <a:endParaRPr lang="en-GB"/>
        </a:p>
      </dgm:t>
    </dgm:pt>
    <dgm:pt modelId="{42B83E97-0A3F-4CD1-8DA0-4EF60E842352}" type="sibTrans" cxnId="{E6F6A423-7CC2-4250-B7BC-061E3580614C}">
      <dgm:prSet/>
      <dgm:spPr/>
      <dgm:t>
        <a:bodyPr/>
        <a:lstStyle/>
        <a:p>
          <a:endParaRPr lang="en-GB"/>
        </a:p>
      </dgm:t>
    </dgm:pt>
    <dgm:pt modelId="{15EDAAB3-3076-4116-9FA1-BE1CA6444DC6}">
      <dgm:prSet phldrT="[Text]" custT="1"/>
      <dgm:spPr/>
      <dgm:t>
        <a:bodyPr/>
        <a:lstStyle/>
        <a:p>
          <a:r>
            <a:rPr lang="en-GB" sz="1200" b="1" i="1" u="sng"/>
            <a:t>Competitive Rivalry</a:t>
          </a:r>
        </a:p>
        <a:p>
          <a:r>
            <a:rPr lang="en-GB" sz="1200" b="0" i="1" u="none"/>
            <a:t>There are 3 main competitive rivalries: Carla- First Tutors.com</a:t>
          </a:r>
        </a:p>
        <a:p>
          <a:r>
            <a:rPr lang="en-GB" sz="1200" b="0" i="1" u="none"/>
            <a:t>Carla V- Tutorful.co.uk</a:t>
          </a:r>
        </a:p>
        <a:p>
          <a:r>
            <a:rPr lang="en-GB" sz="1200" b="0" i="1" u="none"/>
            <a:t>Arwen March- Musicteachers.co.uk.</a:t>
          </a:r>
        </a:p>
        <a:p>
          <a:r>
            <a:rPr lang="en-GB" sz="1200" b="0" i="1" u="none"/>
            <a:t>These three competitors lack in profile presentation and Bilingualism. </a:t>
          </a:r>
        </a:p>
        <a:p>
          <a:endParaRPr lang="en-GB" sz="1400" b="0" i="1" u="sng"/>
        </a:p>
      </dgm:t>
    </dgm:pt>
    <dgm:pt modelId="{927D8F8E-F9DE-4C75-9C63-6AE30500DA79}" type="parTrans" cxnId="{B9BED9F8-9AAD-4859-81BA-F4D51940EA85}">
      <dgm:prSet/>
      <dgm:spPr/>
      <dgm:t>
        <a:bodyPr/>
        <a:lstStyle/>
        <a:p>
          <a:endParaRPr lang="en-GB"/>
        </a:p>
      </dgm:t>
    </dgm:pt>
    <dgm:pt modelId="{F9B39D09-0301-4EE4-9BE5-C95A4741C910}" type="sibTrans" cxnId="{B9BED9F8-9AAD-4859-81BA-F4D51940EA85}">
      <dgm:prSet/>
      <dgm:spPr/>
      <dgm:t>
        <a:bodyPr/>
        <a:lstStyle/>
        <a:p>
          <a:endParaRPr lang="en-GB"/>
        </a:p>
      </dgm:t>
    </dgm:pt>
    <dgm:pt modelId="{5FECBA9A-ECE5-4644-8034-A6897C19ADC5}">
      <dgm:prSet phldrT="[Text]" custT="1"/>
      <dgm:spPr/>
      <dgm:t>
        <a:bodyPr/>
        <a:lstStyle/>
        <a:p>
          <a:endParaRPr lang="en-GB" sz="1200" b="1" i="1" u="sng"/>
        </a:p>
        <a:p>
          <a:endParaRPr lang="en-GB" sz="1200" b="1" i="1" u="sng"/>
        </a:p>
        <a:p>
          <a:endParaRPr lang="en-GB" sz="1200" b="1" i="1" u="sng"/>
        </a:p>
        <a:p>
          <a:r>
            <a:rPr lang="en-GB" sz="1200" b="1" i="1" u="sng"/>
            <a:t>Threat of new Entry</a:t>
          </a:r>
        </a:p>
        <a:p>
          <a:r>
            <a:rPr lang="en-GB" sz="1200" b="0" i="1" u="none"/>
            <a:t>Businesses are competitive with pricing but with my tutoring being £15.00 for half an hour and £25.00hr, this elimenates any highly priced tutors and immediately increases my chances of getting new customers. With 24hr customer service included, there is a very low chance of people complaining about cutomer service.  </a:t>
          </a:r>
          <a:endParaRPr lang="en-GB" sz="1200" b="0" i="1" u="sng"/>
        </a:p>
        <a:p>
          <a:endParaRPr lang="en-GB" sz="1200" b="0" i="1" u="sng"/>
        </a:p>
        <a:p>
          <a:r>
            <a:rPr lang="en-GB" sz="5100" b="1" i="1" u="sng"/>
            <a:t> </a:t>
          </a:r>
        </a:p>
      </dgm:t>
    </dgm:pt>
    <dgm:pt modelId="{59B52C18-33F0-44F2-A18D-167BC2AEF931}" type="parTrans" cxnId="{3A3955DC-986A-4836-986E-14CC9D699B5D}">
      <dgm:prSet/>
      <dgm:spPr/>
      <dgm:t>
        <a:bodyPr/>
        <a:lstStyle/>
        <a:p>
          <a:endParaRPr lang="en-GB"/>
        </a:p>
      </dgm:t>
    </dgm:pt>
    <dgm:pt modelId="{BB3CD69E-460C-4E41-940C-C44AEB9B86BE}" type="sibTrans" cxnId="{3A3955DC-986A-4836-986E-14CC9D699B5D}">
      <dgm:prSet/>
      <dgm:spPr/>
      <dgm:t>
        <a:bodyPr/>
        <a:lstStyle/>
        <a:p>
          <a:endParaRPr lang="en-GB"/>
        </a:p>
      </dgm:t>
    </dgm:pt>
    <dgm:pt modelId="{5C4CD20B-F6FA-42EA-AF99-649073B6ACA7}">
      <dgm:prSet phldrT="[Text]" custT="1"/>
      <dgm:spPr/>
      <dgm:t>
        <a:bodyPr/>
        <a:lstStyle/>
        <a:p>
          <a:r>
            <a:rPr lang="en-GB" sz="1200" b="1" i="1" u="sng"/>
            <a:t>Threat of Substitution</a:t>
          </a:r>
        </a:p>
        <a:p>
          <a:r>
            <a:rPr lang="en-GB" sz="1200" b="0" i="1" u="none"/>
            <a:t>Teaching quality effects the amount of pupils you lose and the amount you gain. This is why teaching at the highest standard possible is important along with flexibility in lessons. Dependent on the student, there could be unexpected turns within lessons where a pupil is taking longer or quicker than expected to learn something resulting in a change within the lesson. If done correctly, this could effect the feedback from customers resulting in positive word of mouth. Later resulting in more pupils.  </a:t>
          </a:r>
        </a:p>
      </dgm:t>
    </dgm:pt>
    <dgm:pt modelId="{C92C5407-9499-4BA4-9613-B219DF172878}" type="parTrans" cxnId="{D8E58058-B2CA-4F75-8F20-78E227B6298A}">
      <dgm:prSet/>
      <dgm:spPr/>
      <dgm:t>
        <a:bodyPr/>
        <a:lstStyle/>
        <a:p>
          <a:endParaRPr lang="en-GB"/>
        </a:p>
      </dgm:t>
    </dgm:pt>
    <dgm:pt modelId="{677F4CE1-C12C-48BB-87A7-86E84CDA7635}" type="sibTrans" cxnId="{D8E58058-B2CA-4F75-8F20-78E227B6298A}">
      <dgm:prSet/>
      <dgm:spPr/>
      <dgm:t>
        <a:bodyPr/>
        <a:lstStyle/>
        <a:p>
          <a:endParaRPr lang="en-GB"/>
        </a:p>
      </dgm:t>
    </dgm:pt>
    <dgm:pt modelId="{F7E74AD6-7F1B-4F41-8CB8-780D99BCA5D4}">
      <dgm:prSet phldrT="[Text]" custT="1"/>
      <dgm:spPr/>
      <dgm:t>
        <a:bodyPr/>
        <a:lstStyle/>
        <a:p>
          <a:r>
            <a:rPr lang="en-GB" sz="1200" b="1" i="1" u="sng"/>
            <a:t>Buyer Power</a:t>
          </a:r>
        </a:p>
        <a:p>
          <a:r>
            <a:rPr lang="en-GB" sz="1200" b="0" i="1" u="none"/>
            <a:t>With one to one tuition in music, demand is high due it being hard to find nowadays. But, its hard for the customer to find exactly what they are looking for. With it being in high demand, to be able to retain cutomers most tutors offer block bookings at a dicounted rate due to the market being so high.   </a:t>
          </a:r>
        </a:p>
      </dgm:t>
    </dgm:pt>
    <dgm:pt modelId="{09CCD5F4-F34B-435C-A250-BC4B2F414B0A}" type="parTrans" cxnId="{FF7E6381-D21B-47CE-AE26-76083827F8D9}">
      <dgm:prSet/>
      <dgm:spPr/>
      <dgm:t>
        <a:bodyPr/>
        <a:lstStyle/>
        <a:p>
          <a:endParaRPr lang="en-GB"/>
        </a:p>
      </dgm:t>
    </dgm:pt>
    <dgm:pt modelId="{707BB283-B8C2-4D43-9E0B-F1E5AF4A39A5}" type="sibTrans" cxnId="{FF7E6381-D21B-47CE-AE26-76083827F8D9}">
      <dgm:prSet/>
      <dgm:spPr/>
      <dgm:t>
        <a:bodyPr/>
        <a:lstStyle/>
        <a:p>
          <a:endParaRPr lang="en-GB"/>
        </a:p>
      </dgm:t>
    </dgm:pt>
    <dgm:pt modelId="{16C90ABB-0A6C-47E0-B7AE-64F3CDCB8BE4}">
      <dgm:prSet custT="1"/>
      <dgm:spPr/>
      <dgm:t>
        <a:bodyPr/>
        <a:lstStyle/>
        <a:p>
          <a:r>
            <a:rPr lang="en-GB" sz="1200" b="1" i="1" u="sng"/>
            <a:t>Supplier Power</a:t>
          </a:r>
        </a:p>
        <a:p>
          <a:r>
            <a:rPr lang="en-GB" sz="1200" b="0" i="1" u="none"/>
            <a:t>The uinquness of this business is being able to offer music theory tuition in the medium of welsh or english. The aim is to ensure the customers know that they have that option available. </a:t>
          </a:r>
        </a:p>
        <a:p>
          <a:r>
            <a:rPr lang="en-GB" sz="1200" b="0" i="1" u="none"/>
            <a:t>As well as being able to offer tuition in bilingual, tuition is mobile. We are swansea based but we dont have a home office. Therefore, we are able to travel to the pupils homes.   </a:t>
          </a:r>
        </a:p>
      </dgm:t>
    </dgm:pt>
    <dgm:pt modelId="{A154EB1F-F7B6-4DA0-80E9-90BFB01B266C}" type="parTrans" cxnId="{826D3CC3-8700-4C79-8A8C-D3784CE85A3A}">
      <dgm:prSet/>
      <dgm:spPr/>
      <dgm:t>
        <a:bodyPr/>
        <a:lstStyle/>
        <a:p>
          <a:endParaRPr lang="en-GB"/>
        </a:p>
      </dgm:t>
    </dgm:pt>
    <dgm:pt modelId="{F20CCF08-6ED5-4816-9F5E-97280582F11E}" type="sibTrans" cxnId="{826D3CC3-8700-4C79-8A8C-D3784CE85A3A}">
      <dgm:prSet/>
      <dgm:spPr/>
      <dgm:t>
        <a:bodyPr/>
        <a:lstStyle/>
        <a:p>
          <a:endParaRPr lang="en-GB"/>
        </a:p>
      </dgm:t>
    </dgm:pt>
    <dgm:pt modelId="{4BD47410-9491-4A64-B436-7AB770A97521}" type="pres">
      <dgm:prSet presAssocID="{2A81D913-30BE-42F4-977F-2CAE6AFE1BF3}" presName="Name0" presStyleCnt="0">
        <dgm:presLayoutVars>
          <dgm:chMax val="1"/>
          <dgm:dir/>
          <dgm:animLvl val="ctr"/>
          <dgm:resizeHandles val="exact"/>
        </dgm:presLayoutVars>
      </dgm:prSet>
      <dgm:spPr/>
    </dgm:pt>
    <dgm:pt modelId="{D074635A-2782-4C99-92C2-B15D2178F22C}" type="pres">
      <dgm:prSet presAssocID="{51680CEF-0760-4255-B514-9D015E99FC34}" presName="centerShape" presStyleLbl="node0" presStyleIdx="0" presStyleCnt="1"/>
      <dgm:spPr/>
    </dgm:pt>
    <dgm:pt modelId="{58601B74-8D99-471C-B271-0A5F5EFF7BB2}" type="pres">
      <dgm:prSet presAssocID="{15EDAAB3-3076-4116-9FA1-BE1CA6444DC6}" presName="node" presStyleLbl="node1" presStyleIdx="0" presStyleCnt="5" custScaleX="209849" custScaleY="177370" custRadScaleRad="136647" custRadScaleInc="-10487">
        <dgm:presLayoutVars>
          <dgm:bulletEnabled val="1"/>
        </dgm:presLayoutVars>
      </dgm:prSet>
      <dgm:spPr/>
    </dgm:pt>
    <dgm:pt modelId="{B6455F0E-D849-441A-978D-D7C75B19DFD1}" type="pres">
      <dgm:prSet presAssocID="{15EDAAB3-3076-4116-9FA1-BE1CA6444DC6}" presName="dummy" presStyleCnt="0"/>
      <dgm:spPr/>
    </dgm:pt>
    <dgm:pt modelId="{68EC6B5A-0557-454A-85C2-56E1DB8DB4EB}" type="pres">
      <dgm:prSet presAssocID="{F9B39D09-0301-4EE4-9BE5-C95A4741C910}" presName="sibTrans" presStyleLbl="sibTrans2D1" presStyleIdx="0" presStyleCnt="5"/>
      <dgm:spPr/>
    </dgm:pt>
    <dgm:pt modelId="{236FD765-39FC-4A13-9D2A-4FB091849A98}" type="pres">
      <dgm:prSet presAssocID="{5FECBA9A-ECE5-4644-8034-A6897C19ADC5}" presName="node" presStyleLbl="node1" presStyleIdx="1" presStyleCnt="5" custScaleX="175505" custScaleY="197188" custRadScaleRad="108177" custRadScaleInc="4725">
        <dgm:presLayoutVars>
          <dgm:bulletEnabled val="1"/>
        </dgm:presLayoutVars>
      </dgm:prSet>
      <dgm:spPr/>
    </dgm:pt>
    <dgm:pt modelId="{59741128-FCFF-4458-8881-DFB2F5AC74FF}" type="pres">
      <dgm:prSet presAssocID="{5FECBA9A-ECE5-4644-8034-A6897C19ADC5}" presName="dummy" presStyleCnt="0"/>
      <dgm:spPr/>
    </dgm:pt>
    <dgm:pt modelId="{B7C0AA96-37EE-4F21-9527-4C445977A50B}" type="pres">
      <dgm:prSet presAssocID="{BB3CD69E-460C-4E41-940C-C44AEB9B86BE}" presName="sibTrans" presStyleLbl="sibTrans2D1" presStyleIdx="1" presStyleCnt="5"/>
      <dgm:spPr/>
    </dgm:pt>
    <dgm:pt modelId="{4EEEA83B-3BA6-4012-B6C6-624F07B816FD}" type="pres">
      <dgm:prSet presAssocID="{5C4CD20B-F6FA-42EA-AF99-649073B6ACA7}" presName="node" presStyleLbl="node1" presStyleIdx="2" presStyleCnt="5" custScaleX="209161" custScaleY="214549" custRadScaleRad="102254" custRadScaleInc="4883">
        <dgm:presLayoutVars>
          <dgm:bulletEnabled val="1"/>
        </dgm:presLayoutVars>
      </dgm:prSet>
      <dgm:spPr/>
    </dgm:pt>
    <dgm:pt modelId="{DC6B2A92-453C-4FF0-8021-643D7ED7D1AA}" type="pres">
      <dgm:prSet presAssocID="{5C4CD20B-F6FA-42EA-AF99-649073B6ACA7}" presName="dummy" presStyleCnt="0"/>
      <dgm:spPr/>
    </dgm:pt>
    <dgm:pt modelId="{56319EE5-E8C1-497D-A3BF-634D4EA35A1C}" type="pres">
      <dgm:prSet presAssocID="{677F4CE1-C12C-48BB-87A7-86E84CDA7635}" presName="sibTrans" presStyleLbl="sibTrans2D1" presStyleIdx="2" presStyleCnt="5"/>
      <dgm:spPr/>
    </dgm:pt>
    <dgm:pt modelId="{95162F5D-4345-46AE-9133-81279DBAD4B8}" type="pres">
      <dgm:prSet presAssocID="{F7E74AD6-7F1B-4F41-8CB8-780D99BCA5D4}" presName="node" presStyleLbl="node1" presStyleIdx="3" presStyleCnt="5" custScaleX="213402" custScaleY="202816">
        <dgm:presLayoutVars>
          <dgm:bulletEnabled val="1"/>
        </dgm:presLayoutVars>
      </dgm:prSet>
      <dgm:spPr/>
    </dgm:pt>
    <dgm:pt modelId="{A21EEE2B-E5D2-4E6B-A92A-2938632EC200}" type="pres">
      <dgm:prSet presAssocID="{F7E74AD6-7F1B-4F41-8CB8-780D99BCA5D4}" presName="dummy" presStyleCnt="0"/>
      <dgm:spPr/>
    </dgm:pt>
    <dgm:pt modelId="{318E78DF-E07D-4247-A272-278045388CF6}" type="pres">
      <dgm:prSet presAssocID="{707BB283-B8C2-4D43-9E0B-F1E5AF4A39A5}" presName="sibTrans" presStyleLbl="sibTrans2D1" presStyleIdx="3" presStyleCnt="5"/>
      <dgm:spPr/>
    </dgm:pt>
    <dgm:pt modelId="{77317636-4B7F-426B-820E-705E300C0D45}" type="pres">
      <dgm:prSet presAssocID="{16C90ABB-0A6C-47E0-B7AE-64F3CDCB8BE4}" presName="node" presStyleLbl="node1" presStyleIdx="4" presStyleCnt="5" custScaleX="169531" custScaleY="194580" custRadScaleRad="98634" custRadScaleInc="-7578">
        <dgm:presLayoutVars>
          <dgm:bulletEnabled val="1"/>
        </dgm:presLayoutVars>
      </dgm:prSet>
      <dgm:spPr/>
    </dgm:pt>
    <dgm:pt modelId="{7DC7CAFB-3E85-4881-BC6E-AF9E834A1791}" type="pres">
      <dgm:prSet presAssocID="{16C90ABB-0A6C-47E0-B7AE-64F3CDCB8BE4}" presName="dummy" presStyleCnt="0"/>
      <dgm:spPr/>
    </dgm:pt>
    <dgm:pt modelId="{E10A209F-18BB-40FA-AE7E-10CD1CB0ABBF}" type="pres">
      <dgm:prSet presAssocID="{F20CCF08-6ED5-4816-9F5E-97280582F11E}" presName="sibTrans" presStyleLbl="sibTrans2D1" presStyleIdx="4" presStyleCnt="5"/>
      <dgm:spPr/>
    </dgm:pt>
  </dgm:ptLst>
  <dgm:cxnLst>
    <dgm:cxn modelId="{7950DF17-3376-49E8-8E89-4C7DA192FBB1}" type="presOf" srcId="{F7E74AD6-7F1B-4F41-8CB8-780D99BCA5D4}" destId="{95162F5D-4345-46AE-9133-81279DBAD4B8}" srcOrd="0" destOrd="0" presId="urn:microsoft.com/office/officeart/2005/8/layout/radial6"/>
    <dgm:cxn modelId="{E6F6A423-7CC2-4250-B7BC-061E3580614C}" srcId="{2A81D913-30BE-42F4-977F-2CAE6AFE1BF3}" destId="{51680CEF-0760-4255-B514-9D015E99FC34}" srcOrd="0" destOrd="0" parTransId="{FC834231-1BAF-4EE3-BEDD-51FA0C0C3740}" sibTransId="{42B83E97-0A3F-4CD1-8DA0-4EF60E842352}"/>
    <dgm:cxn modelId="{D4975E5F-69F0-40BE-85CE-ACF9CD8F4EB6}" type="presOf" srcId="{677F4CE1-C12C-48BB-87A7-86E84CDA7635}" destId="{56319EE5-E8C1-497D-A3BF-634D4EA35A1C}" srcOrd="0" destOrd="0" presId="urn:microsoft.com/office/officeart/2005/8/layout/radial6"/>
    <dgm:cxn modelId="{D53DB160-7B40-47C1-A4BF-3373C32BFAC6}" type="presOf" srcId="{F9B39D09-0301-4EE4-9BE5-C95A4741C910}" destId="{68EC6B5A-0557-454A-85C2-56E1DB8DB4EB}" srcOrd="0" destOrd="0" presId="urn:microsoft.com/office/officeart/2005/8/layout/radial6"/>
    <dgm:cxn modelId="{705CF766-286C-4F46-9D52-F648FED3FD0A}" type="presOf" srcId="{707BB283-B8C2-4D43-9E0B-F1E5AF4A39A5}" destId="{318E78DF-E07D-4247-A272-278045388CF6}" srcOrd="0" destOrd="0" presId="urn:microsoft.com/office/officeart/2005/8/layout/radial6"/>
    <dgm:cxn modelId="{18D86249-6F4A-43C2-B4FC-98A0CA85B448}" type="presOf" srcId="{15EDAAB3-3076-4116-9FA1-BE1CA6444DC6}" destId="{58601B74-8D99-471C-B271-0A5F5EFF7BB2}" srcOrd="0" destOrd="0" presId="urn:microsoft.com/office/officeart/2005/8/layout/radial6"/>
    <dgm:cxn modelId="{5BC78F76-E592-440D-949B-40F607236E1B}" type="presOf" srcId="{5FECBA9A-ECE5-4644-8034-A6897C19ADC5}" destId="{236FD765-39FC-4A13-9D2A-4FB091849A98}" srcOrd="0" destOrd="0" presId="urn:microsoft.com/office/officeart/2005/8/layout/radial6"/>
    <dgm:cxn modelId="{D8E58058-B2CA-4F75-8F20-78E227B6298A}" srcId="{51680CEF-0760-4255-B514-9D015E99FC34}" destId="{5C4CD20B-F6FA-42EA-AF99-649073B6ACA7}" srcOrd="2" destOrd="0" parTransId="{C92C5407-9499-4BA4-9613-B219DF172878}" sibTransId="{677F4CE1-C12C-48BB-87A7-86E84CDA7635}"/>
    <dgm:cxn modelId="{FF7E6381-D21B-47CE-AE26-76083827F8D9}" srcId="{51680CEF-0760-4255-B514-9D015E99FC34}" destId="{F7E74AD6-7F1B-4F41-8CB8-780D99BCA5D4}" srcOrd="3" destOrd="0" parTransId="{09CCD5F4-F34B-435C-A250-BC4B2F414B0A}" sibTransId="{707BB283-B8C2-4D43-9E0B-F1E5AF4A39A5}"/>
    <dgm:cxn modelId="{8C15AE82-3751-424B-96A9-8BEB640039E9}" type="presOf" srcId="{BB3CD69E-460C-4E41-940C-C44AEB9B86BE}" destId="{B7C0AA96-37EE-4F21-9527-4C445977A50B}" srcOrd="0" destOrd="0" presId="urn:microsoft.com/office/officeart/2005/8/layout/radial6"/>
    <dgm:cxn modelId="{20F7668C-D9AE-4A32-AC23-CBB501240096}" type="presOf" srcId="{51680CEF-0760-4255-B514-9D015E99FC34}" destId="{D074635A-2782-4C99-92C2-B15D2178F22C}" srcOrd="0" destOrd="0" presId="urn:microsoft.com/office/officeart/2005/8/layout/radial6"/>
    <dgm:cxn modelId="{1853C194-11C9-4999-B778-96926C03E098}" type="presOf" srcId="{F20CCF08-6ED5-4816-9F5E-97280582F11E}" destId="{E10A209F-18BB-40FA-AE7E-10CD1CB0ABBF}" srcOrd="0" destOrd="0" presId="urn:microsoft.com/office/officeart/2005/8/layout/radial6"/>
    <dgm:cxn modelId="{826D3CC3-8700-4C79-8A8C-D3784CE85A3A}" srcId="{51680CEF-0760-4255-B514-9D015E99FC34}" destId="{16C90ABB-0A6C-47E0-B7AE-64F3CDCB8BE4}" srcOrd="4" destOrd="0" parTransId="{A154EB1F-F7B6-4DA0-80E9-90BFB01B266C}" sibTransId="{F20CCF08-6ED5-4816-9F5E-97280582F11E}"/>
    <dgm:cxn modelId="{15CBE1CE-A999-4922-BA3B-8EDCF5D76D7C}" type="presOf" srcId="{16C90ABB-0A6C-47E0-B7AE-64F3CDCB8BE4}" destId="{77317636-4B7F-426B-820E-705E300C0D45}" srcOrd="0" destOrd="0" presId="urn:microsoft.com/office/officeart/2005/8/layout/radial6"/>
    <dgm:cxn modelId="{292966D9-CB09-4D34-9F21-62FD1CD79F49}" type="presOf" srcId="{2A81D913-30BE-42F4-977F-2CAE6AFE1BF3}" destId="{4BD47410-9491-4A64-B436-7AB770A97521}" srcOrd="0" destOrd="0" presId="urn:microsoft.com/office/officeart/2005/8/layout/radial6"/>
    <dgm:cxn modelId="{38AA8EDB-DCE8-41D1-BBFC-C24A72892E26}" type="presOf" srcId="{5C4CD20B-F6FA-42EA-AF99-649073B6ACA7}" destId="{4EEEA83B-3BA6-4012-B6C6-624F07B816FD}" srcOrd="0" destOrd="0" presId="urn:microsoft.com/office/officeart/2005/8/layout/radial6"/>
    <dgm:cxn modelId="{3A3955DC-986A-4836-986E-14CC9D699B5D}" srcId="{51680CEF-0760-4255-B514-9D015E99FC34}" destId="{5FECBA9A-ECE5-4644-8034-A6897C19ADC5}" srcOrd="1" destOrd="0" parTransId="{59B52C18-33F0-44F2-A18D-167BC2AEF931}" sibTransId="{BB3CD69E-460C-4E41-940C-C44AEB9B86BE}"/>
    <dgm:cxn modelId="{B9BED9F8-9AAD-4859-81BA-F4D51940EA85}" srcId="{51680CEF-0760-4255-B514-9D015E99FC34}" destId="{15EDAAB3-3076-4116-9FA1-BE1CA6444DC6}" srcOrd="0" destOrd="0" parTransId="{927D8F8E-F9DE-4C75-9C63-6AE30500DA79}" sibTransId="{F9B39D09-0301-4EE4-9BE5-C95A4741C910}"/>
    <dgm:cxn modelId="{218087BB-3901-45C8-A66F-8E2BA3070196}" type="presParOf" srcId="{4BD47410-9491-4A64-B436-7AB770A97521}" destId="{D074635A-2782-4C99-92C2-B15D2178F22C}" srcOrd="0" destOrd="0" presId="urn:microsoft.com/office/officeart/2005/8/layout/radial6"/>
    <dgm:cxn modelId="{AE37D87E-4B9A-464C-A211-5805FCD97458}" type="presParOf" srcId="{4BD47410-9491-4A64-B436-7AB770A97521}" destId="{58601B74-8D99-471C-B271-0A5F5EFF7BB2}" srcOrd="1" destOrd="0" presId="urn:microsoft.com/office/officeart/2005/8/layout/radial6"/>
    <dgm:cxn modelId="{8FDF6F41-CB58-4820-9A7C-F7BDAF6A2BD1}" type="presParOf" srcId="{4BD47410-9491-4A64-B436-7AB770A97521}" destId="{B6455F0E-D849-441A-978D-D7C75B19DFD1}" srcOrd="2" destOrd="0" presId="urn:microsoft.com/office/officeart/2005/8/layout/radial6"/>
    <dgm:cxn modelId="{A3203040-1202-4C25-92A0-71CFC70BD595}" type="presParOf" srcId="{4BD47410-9491-4A64-B436-7AB770A97521}" destId="{68EC6B5A-0557-454A-85C2-56E1DB8DB4EB}" srcOrd="3" destOrd="0" presId="urn:microsoft.com/office/officeart/2005/8/layout/radial6"/>
    <dgm:cxn modelId="{D1C85B3E-2D2A-4174-BF92-762BCC0DDC0F}" type="presParOf" srcId="{4BD47410-9491-4A64-B436-7AB770A97521}" destId="{236FD765-39FC-4A13-9D2A-4FB091849A98}" srcOrd="4" destOrd="0" presId="urn:microsoft.com/office/officeart/2005/8/layout/radial6"/>
    <dgm:cxn modelId="{76180814-5874-4AE9-AB02-0D774EA39F25}" type="presParOf" srcId="{4BD47410-9491-4A64-B436-7AB770A97521}" destId="{59741128-FCFF-4458-8881-DFB2F5AC74FF}" srcOrd="5" destOrd="0" presId="urn:microsoft.com/office/officeart/2005/8/layout/radial6"/>
    <dgm:cxn modelId="{35F244B4-67E8-48C3-871F-30D1030FE6B2}" type="presParOf" srcId="{4BD47410-9491-4A64-B436-7AB770A97521}" destId="{B7C0AA96-37EE-4F21-9527-4C445977A50B}" srcOrd="6" destOrd="0" presId="urn:microsoft.com/office/officeart/2005/8/layout/radial6"/>
    <dgm:cxn modelId="{8097412A-23A2-4F9F-9D60-56D844167CCB}" type="presParOf" srcId="{4BD47410-9491-4A64-B436-7AB770A97521}" destId="{4EEEA83B-3BA6-4012-B6C6-624F07B816FD}" srcOrd="7" destOrd="0" presId="urn:microsoft.com/office/officeart/2005/8/layout/radial6"/>
    <dgm:cxn modelId="{BC9BDCBE-5A9C-4E1C-9A78-4F1F22065F89}" type="presParOf" srcId="{4BD47410-9491-4A64-B436-7AB770A97521}" destId="{DC6B2A92-453C-4FF0-8021-643D7ED7D1AA}" srcOrd="8" destOrd="0" presId="urn:microsoft.com/office/officeart/2005/8/layout/radial6"/>
    <dgm:cxn modelId="{153A2B34-F52A-451D-B350-2FB3E2AFAF44}" type="presParOf" srcId="{4BD47410-9491-4A64-B436-7AB770A97521}" destId="{56319EE5-E8C1-497D-A3BF-634D4EA35A1C}" srcOrd="9" destOrd="0" presId="urn:microsoft.com/office/officeart/2005/8/layout/radial6"/>
    <dgm:cxn modelId="{BCE6F1DD-6D13-4053-B4D3-51CC63418B4E}" type="presParOf" srcId="{4BD47410-9491-4A64-B436-7AB770A97521}" destId="{95162F5D-4345-46AE-9133-81279DBAD4B8}" srcOrd="10" destOrd="0" presId="urn:microsoft.com/office/officeart/2005/8/layout/radial6"/>
    <dgm:cxn modelId="{E7782B47-C1A9-4E97-AD28-F7C0D1187154}" type="presParOf" srcId="{4BD47410-9491-4A64-B436-7AB770A97521}" destId="{A21EEE2B-E5D2-4E6B-A92A-2938632EC200}" srcOrd="11" destOrd="0" presId="urn:microsoft.com/office/officeart/2005/8/layout/radial6"/>
    <dgm:cxn modelId="{1108E0C4-0AB7-44A0-89BB-52129CD063B1}" type="presParOf" srcId="{4BD47410-9491-4A64-B436-7AB770A97521}" destId="{318E78DF-E07D-4247-A272-278045388CF6}" srcOrd="12" destOrd="0" presId="urn:microsoft.com/office/officeart/2005/8/layout/radial6"/>
    <dgm:cxn modelId="{7106387A-FE73-4349-9F81-F0C8F1710EB0}" type="presParOf" srcId="{4BD47410-9491-4A64-B436-7AB770A97521}" destId="{77317636-4B7F-426B-820E-705E300C0D45}" srcOrd="13" destOrd="0" presId="urn:microsoft.com/office/officeart/2005/8/layout/radial6"/>
    <dgm:cxn modelId="{F02E2682-35E0-4F95-B809-E28D99FF24A6}" type="presParOf" srcId="{4BD47410-9491-4A64-B436-7AB770A97521}" destId="{7DC7CAFB-3E85-4881-BC6E-AF9E834A1791}" srcOrd="14" destOrd="0" presId="urn:microsoft.com/office/officeart/2005/8/layout/radial6"/>
    <dgm:cxn modelId="{24F718D3-3094-421D-A543-3B8D518438A2}" type="presParOf" srcId="{4BD47410-9491-4A64-B436-7AB770A97521}" destId="{E10A209F-18BB-40FA-AE7E-10CD1CB0ABBF}" srcOrd="15" destOrd="0" presId="urn:microsoft.com/office/officeart/2005/8/layout/radial6"/>
  </dgm:cxnLst>
  <dgm:bg/>
  <dgm:whole/>
  <dgm:extLst>
    <a:ext uri="http://schemas.microsoft.com/office/drawing/2008/diagram">
      <dsp:dataModelExt xmlns:dsp="http://schemas.microsoft.com/office/drawing/2008/diagram" relId="rId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10A209F-18BB-40FA-AE7E-10CD1CB0ABBF}">
      <dsp:nvSpPr>
        <dsp:cNvPr id="0" name=""/>
        <dsp:cNvSpPr/>
      </dsp:nvSpPr>
      <dsp:spPr>
        <a:xfrm>
          <a:off x="842538" y="597928"/>
          <a:ext cx="4867928" cy="4867928"/>
        </a:xfrm>
        <a:prstGeom prst="blockArc">
          <a:avLst>
            <a:gd name="adj1" fmla="val 11747186"/>
            <a:gd name="adj2" fmla="val 15941846"/>
            <a:gd name="adj3" fmla="val 4640"/>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318E78DF-E07D-4247-A272-278045388CF6}">
      <dsp:nvSpPr>
        <dsp:cNvPr id="0" name=""/>
        <dsp:cNvSpPr/>
      </dsp:nvSpPr>
      <dsp:spPr>
        <a:xfrm>
          <a:off x="834664" y="625158"/>
          <a:ext cx="4867928" cy="4867928"/>
        </a:xfrm>
        <a:prstGeom prst="blockArc">
          <a:avLst>
            <a:gd name="adj1" fmla="val 7610003"/>
            <a:gd name="adj2" fmla="val 11788172"/>
            <a:gd name="adj3" fmla="val 4640"/>
          </a:avLst>
        </a:prstGeom>
        <a:gradFill rotWithShape="0">
          <a:gsLst>
            <a:gs pos="0">
              <a:schemeClr val="accent4">
                <a:hueOff val="7350668"/>
                <a:satOff val="-30583"/>
                <a:lumOff val="7206"/>
                <a:alphaOff val="0"/>
                <a:satMod val="103000"/>
                <a:lumMod val="102000"/>
                <a:tint val="94000"/>
              </a:schemeClr>
            </a:gs>
            <a:gs pos="50000">
              <a:schemeClr val="accent4">
                <a:hueOff val="7350668"/>
                <a:satOff val="-30583"/>
                <a:lumOff val="7206"/>
                <a:alphaOff val="0"/>
                <a:satMod val="110000"/>
                <a:lumMod val="100000"/>
                <a:shade val="100000"/>
              </a:schemeClr>
            </a:gs>
            <a:gs pos="100000">
              <a:schemeClr val="accent4">
                <a:hueOff val="7350668"/>
                <a:satOff val="-30583"/>
                <a:lumOff val="7206"/>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56319EE5-E8C1-497D-A3BF-634D4EA35A1C}">
      <dsp:nvSpPr>
        <dsp:cNvPr id="0" name=""/>
        <dsp:cNvSpPr/>
      </dsp:nvSpPr>
      <dsp:spPr>
        <a:xfrm>
          <a:off x="802323" y="601358"/>
          <a:ext cx="4867928" cy="4867928"/>
        </a:xfrm>
        <a:prstGeom prst="blockArc">
          <a:avLst>
            <a:gd name="adj1" fmla="val 3248059"/>
            <a:gd name="adj2" fmla="val 7551941"/>
            <a:gd name="adj3" fmla="val 4640"/>
          </a:avLst>
        </a:prstGeom>
        <a:gradFill rotWithShape="0">
          <a:gsLst>
            <a:gs pos="0">
              <a:schemeClr val="accent4">
                <a:hueOff val="4900445"/>
                <a:satOff val="-20388"/>
                <a:lumOff val="4804"/>
                <a:alphaOff val="0"/>
                <a:satMod val="103000"/>
                <a:lumMod val="102000"/>
                <a:tint val="94000"/>
              </a:schemeClr>
            </a:gs>
            <a:gs pos="50000">
              <a:schemeClr val="accent4">
                <a:hueOff val="4900445"/>
                <a:satOff val="-20388"/>
                <a:lumOff val="4804"/>
                <a:alphaOff val="0"/>
                <a:satMod val="110000"/>
                <a:lumMod val="100000"/>
                <a:shade val="100000"/>
              </a:schemeClr>
            </a:gs>
            <a:gs pos="100000">
              <a:schemeClr val="accent4">
                <a:hueOff val="4900445"/>
                <a:satOff val="-20388"/>
                <a:lumOff val="4804"/>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B7C0AA96-37EE-4F21-9527-4C445977A50B}">
      <dsp:nvSpPr>
        <dsp:cNvPr id="0" name=""/>
        <dsp:cNvSpPr/>
      </dsp:nvSpPr>
      <dsp:spPr>
        <a:xfrm>
          <a:off x="808153" y="597157"/>
          <a:ext cx="4867928" cy="4867928"/>
        </a:xfrm>
        <a:prstGeom prst="blockArc">
          <a:avLst>
            <a:gd name="adj1" fmla="val 20513857"/>
            <a:gd name="adj2" fmla="val 3258449"/>
            <a:gd name="adj3" fmla="val 4640"/>
          </a:avLst>
        </a:prstGeom>
        <a:gradFill rotWithShape="0">
          <a:gsLst>
            <a:gs pos="0">
              <a:schemeClr val="accent4">
                <a:hueOff val="2450223"/>
                <a:satOff val="-10194"/>
                <a:lumOff val="2402"/>
                <a:alphaOff val="0"/>
                <a:satMod val="103000"/>
                <a:lumMod val="102000"/>
                <a:tint val="94000"/>
              </a:schemeClr>
            </a:gs>
            <a:gs pos="50000">
              <a:schemeClr val="accent4">
                <a:hueOff val="2450223"/>
                <a:satOff val="-10194"/>
                <a:lumOff val="2402"/>
                <a:alphaOff val="0"/>
                <a:satMod val="110000"/>
                <a:lumMod val="100000"/>
                <a:shade val="100000"/>
              </a:schemeClr>
            </a:gs>
            <a:gs pos="100000">
              <a:schemeClr val="accent4">
                <a:hueOff val="2450223"/>
                <a:satOff val="-10194"/>
                <a:lumOff val="2402"/>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68EC6B5A-0557-454A-85C2-56E1DB8DB4EB}">
      <dsp:nvSpPr>
        <dsp:cNvPr id="0" name=""/>
        <dsp:cNvSpPr/>
      </dsp:nvSpPr>
      <dsp:spPr>
        <a:xfrm>
          <a:off x="809151" y="600204"/>
          <a:ext cx="4867928" cy="4867928"/>
        </a:xfrm>
        <a:prstGeom prst="blockArc">
          <a:avLst>
            <a:gd name="adj1" fmla="val 15990235"/>
            <a:gd name="adj2" fmla="val 20509221"/>
            <a:gd name="adj3" fmla="val 464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D074635A-2782-4C99-92C2-B15D2178F22C}">
      <dsp:nvSpPr>
        <dsp:cNvPr id="0" name=""/>
        <dsp:cNvSpPr/>
      </dsp:nvSpPr>
      <dsp:spPr>
        <a:xfrm>
          <a:off x="2120316" y="1918108"/>
          <a:ext cx="2240970" cy="2240970"/>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1066800">
            <a:lnSpc>
              <a:spcPct val="90000"/>
            </a:lnSpc>
            <a:spcBef>
              <a:spcPct val="0"/>
            </a:spcBef>
            <a:spcAft>
              <a:spcPct val="35000"/>
            </a:spcAft>
            <a:buNone/>
          </a:pPr>
          <a:r>
            <a:rPr lang="en-GB" sz="2400" kern="1200">
              <a:latin typeface="Bahnschrift SemiBold Condensed" panose="020B0502040204020203" pitchFamily="34" charset="0"/>
            </a:rPr>
            <a:t>FIVE FORCES</a:t>
          </a:r>
        </a:p>
      </dsp:txBody>
      <dsp:txXfrm>
        <a:off x="2448498" y="2246290"/>
        <a:ext cx="1584606" cy="1584606"/>
      </dsp:txXfrm>
    </dsp:sp>
    <dsp:sp modelId="{58601B74-8D99-471C-B271-0A5F5EFF7BB2}">
      <dsp:nvSpPr>
        <dsp:cNvPr id="0" name=""/>
        <dsp:cNvSpPr/>
      </dsp:nvSpPr>
      <dsp:spPr>
        <a:xfrm>
          <a:off x="1452207" y="-730081"/>
          <a:ext cx="3291857" cy="2782366"/>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i="1" u="sng" kern="1200"/>
            <a:t>Competitive Rivalry</a:t>
          </a:r>
        </a:p>
        <a:p>
          <a:pPr marL="0" lvl="0" indent="0" algn="ctr" defTabSz="533400">
            <a:lnSpc>
              <a:spcPct val="90000"/>
            </a:lnSpc>
            <a:spcBef>
              <a:spcPct val="0"/>
            </a:spcBef>
            <a:spcAft>
              <a:spcPct val="35000"/>
            </a:spcAft>
            <a:buNone/>
          </a:pPr>
          <a:r>
            <a:rPr lang="en-GB" sz="1200" b="0" i="1" u="none" kern="1200"/>
            <a:t>There are 3 main competitive rivalries: Carla- First Tutors.com</a:t>
          </a:r>
        </a:p>
        <a:p>
          <a:pPr marL="0" lvl="0" indent="0" algn="ctr" defTabSz="533400">
            <a:lnSpc>
              <a:spcPct val="90000"/>
            </a:lnSpc>
            <a:spcBef>
              <a:spcPct val="0"/>
            </a:spcBef>
            <a:spcAft>
              <a:spcPct val="35000"/>
            </a:spcAft>
            <a:buNone/>
          </a:pPr>
          <a:r>
            <a:rPr lang="en-GB" sz="1200" b="0" i="1" u="none" kern="1200"/>
            <a:t>Carla V- Tutorful.co.uk</a:t>
          </a:r>
        </a:p>
        <a:p>
          <a:pPr marL="0" lvl="0" indent="0" algn="ctr" defTabSz="533400">
            <a:lnSpc>
              <a:spcPct val="90000"/>
            </a:lnSpc>
            <a:spcBef>
              <a:spcPct val="0"/>
            </a:spcBef>
            <a:spcAft>
              <a:spcPct val="35000"/>
            </a:spcAft>
            <a:buNone/>
          </a:pPr>
          <a:r>
            <a:rPr lang="en-GB" sz="1200" b="0" i="1" u="none" kern="1200"/>
            <a:t>Arwen March- Musicteachers.co.uk.</a:t>
          </a:r>
        </a:p>
        <a:p>
          <a:pPr marL="0" lvl="0" indent="0" algn="ctr" defTabSz="533400">
            <a:lnSpc>
              <a:spcPct val="90000"/>
            </a:lnSpc>
            <a:spcBef>
              <a:spcPct val="0"/>
            </a:spcBef>
            <a:spcAft>
              <a:spcPct val="35000"/>
            </a:spcAft>
            <a:buNone/>
          </a:pPr>
          <a:r>
            <a:rPr lang="en-GB" sz="1200" b="0" i="1" u="none" kern="1200"/>
            <a:t>These three competitors lack in profile presentation and Bilingualism. </a:t>
          </a:r>
        </a:p>
        <a:p>
          <a:pPr marL="0" lvl="0" indent="0" algn="ctr" defTabSz="533400">
            <a:lnSpc>
              <a:spcPct val="90000"/>
            </a:lnSpc>
            <a:spcBef>
              <a:spcPct val="0"/>
            </a:spcBef>
            <a:spcAft>
              <a:spcPct val="35000"/>
            </a:spcAft>
            <a:buNone/>
          </a:pPr>
          <a:endParaRPr lang="en-GB" sz="1400" b="0" i="1" u="sng" kern="1200"/>
        </a:p>
      </dsp:txBody>
      <dsp:txXfrm>
        <a:off x="1934288" y="-322613"/>
        <a:ext cx="2327695" cy="1967430"/>
      </dsp:txXfrm>
    </dsp:sp>
    <dsp:sp modelId="{236FD765-39FC-4A13-9D2A-4FB091849A98}">
      <dsp:nvSpPr>
        <dsp:cNvPr id="0" name=""/>
        <dsp:cNvSpPr/>
      </dsp:nvSpPr>
      <dsp:spPr>
        <a:xfrm>
          <a:off x="4125375" y="745773"/>
          <a:ext cx="2753110" cy="3093246"/>
        </a:xfrm>
        <a:prstGeom prst="ellipse">
          <a:avLst/>
        </a:prstGeom>
        <a:gradFill rotWithShape="0">
          <a:gsLst>
            <a:gs pos="0">
              <a:schemeClr val="accent4">
                <a:hueOff val="2450223"/>
                <a:satOff val="-10194"/>
                <a:lumOff val="2402"/>
                <a:alphaOff val="0"/>
                <a:satMod val="103000"/>
                <a:lumMod val="102000"/>
                <a:tint val="94000"/>
              </a:schemeClr>
            </a:gs>
            <a:gs pos="50000">
              <a:schemeClr val="accent4">
                <a:hueOff val="2450223"/>
                <a:satOff val="-10194"/>
                <a:lumOff val="2402"/>
                <a:alphaOff val="0"/>
                <a:satMod val="110000"/>
                <a:lumMod val="100000"/>
                <a:shade val="100000"/>
              </a:schemeClr>
            </a:gs>
            <a:gs pos="100000">
              <a:schemeClr val="accent4">
                <a:hueOff val="2450223"/>
                <a:satOff val="-10194"/>
                <a:lumOff val="2402"/>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endParaRPr lang="en-GB" sz="1200" b="1" i="1" u="sng" kern="1200"/>
        </a:p>
        <a:p>
          <a:pPr marL="0" lvl="0" indent="0" algn="ctr" defTabSz="533400">
            <a:lnSpc>
              <a:spcPct val="90000"/>
            </a:lnSpc>
            <a:spcBef>
              <a:spcPct val="0"/>
            </a:spcBef>
            <a:spcAft>
              <a:spcPct val="35000"/>
            </a:spcAft>
            <a:buNone/>
          </a:pPr>
          <a:endParaRPr lang="en-GB" sz="1200" b="1" i="1" u="sng" kern="1200"/>
        </a:p>
        <a:p>
          <a:pPr marL="0" lvl="0" indent="0" algn="ctr" defTabSz="533400">
            <a:lnSpc>
              <a:spcPct val="90000"/>
            </a:lnSpc>
            <a:spcBef>
              <a:spcPct val="0"/>
            </a:spcBef>
            <a:spcAft>
              <a:spcPct val="35000"/>
            </a:spcAft>
            <a:buNone/>
          </a:pPr>
          <a:endParaRPr lang="en-GB" sz="1200" b="1" i="1" u="sng" kern="1200"/>
        </a:p>
        <a:p>
          <a:pPr marL="0" lvl="0" indent="0" algn="ctr" defTabSz="533400">
            <a:lnSpc>
              <a:spcPct val="90000"/>
            </a:lnSpc>
            <a:spcBef>
              <a:spcPct val="0"/>
            </a:spcBef>
            <a:spcAft>
              <a:spcPct val="35000"/>
            </a:spcAft>
            <a:buNone/>
          </a:pPr>
          <a:r>
            <a:rPr lang="en-GB" sz="1200" b="1" i="1" u="sng" kern="1200"/>
            <a:t>Threat of new Entry</a:t>
          </a:r>
        </a:p>
        <a:p>
          <a:pPr marL="0" lvl="0" indent="0" algn="ctr" defTabSz="533400">
            <a:lnSpc>
              <a:spcPct val="90000"/>
            </a:lnSpc>
            <a:spcBef>
              <a:spcPct val="0"/>
            </a:spcBef>
            <a:spcAft>
              <a:spcPct val="35000"/>
            </a:spcAft>
            <a:buNone/>
          </a:pPr>
          <a:r>
            <a:rPr lang="en-GB" sz="1200" b="0" i="1" u="none" kern="1200"/>
            <a:t>Businesses are competitive with pricing but with my tutoring being £15.00 for half an hour and £25.00hr, this elimenates any highly priced tutors and immediately increases my chances of getting new customers. With 24hr customer service included, there is a very low chance of people complaining about cutomer service.  </a:t>
          </a:r>
          <a:endParaRPr lang="en-GB" sz="1200" b="0" i="1" u="sng" kern="1200"/>
        </a:p>
        <a:p>
          <a:pPr marL="0" lvl="0" indent="0" algn="ctr" defTabSz="533400">
            <a:lnSpc>
              <a:spcPct val="90000"/>
            </a:lnSpc>
            <a:spcBef>
              <a:spcPct val="0"/>
            </a:spcBef>
            <a:spcAft>
              <a:spcPct val="35000"/>
            </a:spcAft>
            <a:buNone/>
          </a:pPr>
          <a:endParaRPr lang="en-GB" sz="1200" b="0" i="1" u="sng" kern="1200"/>
        </a:p>
        <a:p>
          <a:pPr marL="0" lvl="0" indent="0" algn="ctr" defTabSz="533400">
            <a:lnSpc>
              <a:spcPct val="90000"/>
            </a:lnSpc>
            <a:spcBef>
              <a:spcPct val="0"/>
            </a:spcBef>
            <a:spcAft>
              <a:spcPct val="35000"/>
            </a:spcAft>
            <a:buNone/>
          </a:pPr>
          <a:r>
            <a:rPr lang="en-GB" sz="5100" b="1" i="1" u="sng" kern="1200"/>
            <a:t> </a:t>
          </a:r>
        </a:p>
      </dsp:txBody>
      <dsp:txXfrm>
        <a:off x="4528559" y="1198768"/>
        <a:ext cx="1946742" cy="2187256"/>
      </dsp:txXfrm>
    </dsp:sp>
    <dsp:sp modelId="{4EEEA83B-3BA6-4012-B6C6-624F07B816FD}">
      <dsp:nvSpPr>
        <dsp:cNvPr id="0" name=""/>
        <dsp:cNvSpPr/>
      </dsp:nvSpPr>
      <dsp:spPr>
        <a:xfrm>
          <a:off x="2988697" y="3279232"/>
          <a:ext cx="3281064" cy="3365585"/>
        </a:xfrm>
        <a:prstGeom prst="ellipse">
          <a:avLst/>
        </a:prstGeom>
        <a:gradFill rotWithShape="0">
          <a:gsLst>
            <a:gs pos="0">
              <a:schemeClr val="accent4">
                <a:hueOff val="4900445"/>
                <a:satOff val="-20388"/>
                <a:lumOff val="4804"/>
                <a:alphaOff val="0"/>
                <a:satMod val="103000"/>
                <a:lumMod val="102000"/>
                <a:tint val="94000"/>
              </a:schemeClr>
            </a:gs>
            <a:gs pos="50000">
              <a:schemeClr val="accent4">
                <a:hueOff val="4900445"/>
                <a:satOff val="-20388"/>
                <a:lumOff val="4804"/>
                <a:alphaOff val="0"/>
                <a:satMod val="110000"/>
                <a:lumMod val="100000"/>
                <a:shade val="100000"/>
              </a:schemeClr>
            </a:gs>
            <a:gs pos="100000">
              <a:schemeClr val="accent4">
                <a:hueOff val="4900445"/>
                <a:satOff val="-20388"/>
                <a:lumOff val="4804"/>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i="1" u="sng" kern="1200"/>
            <a:t>Threat of Substitution</a:t>
          </a:r>
        </a:p>
        <a:p>
          <a:pPr marL="0" lvl="0" indent="0" algn="ctr" defTabSz="533400">
            <a:lnSpc>
              <a:spcPct val="90000"/>
            </a:lnSpc>
            <a:spcBef>
              <a:spcPct val="0"/>
            </a:spcBef>
            <a:spcAft>
              <a:spcPct val="35000"/>
            </a:spcAft>
            <a:buNone/>
          </a:pPr>
          <a:r>
            <a:rPr lang="en-GB" sz="1200" b="0" i="1" u="none" kern="1200"/>
            <a:t>Teaching quality effects the amount of pupils you lose and the amount you gain. This is why teaching at the highest standard possible is important along with flexibility in lessons. Dependent on the student, there could be unexpected turns within lessons where a pupil is taking longer or quicker than expected to learn something resulting in a change within the lesson. If done correctly, this could effect the feedback from customers resulting in positive word of mouth. Later resulting in more pupils.  </a:t>
          </a:r>
        </a:p>
      </dsp:txBody>
      <dsp:txXfrm>
        <a:off x="3469198" y="3772111"/>
        <a:ext cx="2320062" cy="2379827"/>
      </dsp:txXfrm>
    </dsp:sp>
    <dsp:sp modelId="{95162F5D-4345-46AE-9133-81279DBAD4B8}">
      <dsp:nvSpPr>
        <dsp:cNvPr id="0" name=""/>
        <dsp:cNvSpPr/>
      </dsp:nvSpPr>
      <dsp:spPr>
        <a:xfrm>
          <a:off x="169550" y="3371258"/>
          <a:ext cx="3347592" cy="3181532"/>
        </a:xfrm>
        <a:prstGeom prst="ellipse">
          <a:avLst/>
        </a:prstGeom>
        <a:gradFill rotWithShape="0">
          <a:gsLst>
            <a:gs pos="0">
              <a:schemeClr val="accent4">
                <a:hueOff val="7350668"/>
                <a:satOff val="-30583"/>
                <a:lumOff val="7206"/>
                <a:alphaOff val="0"/>
                <a:satMod val="103000"/>
                <a:lumMod val="102000"/>
                <a:tint val="94000"/>
              </a:schemeClr>
            </a:gs>
            <a:gs pos="50000">
              <a:schemeClr val="accent4">
                <a:hueOff val="7350668"/>
                <a:satOff val="-30583"/>
                <a:lumOff val="7206"/>
                <a:alphaOff val="0"/>
                <a:satMod val="110000"/>
                <a:lumMod val="100000"/>
                <a:shade val="100000"/>
              </a:schemeClr>
            </a:gs>
            <a:gs pos="100000">
              <a:schemeClr val="accent4">
                <a:hueOff val="7350668"/>
                <a:satOff val="-30583"/>
                <a:lumOff val="7206"/>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i="1" u="sng" kern="1200"/>
            <a:t>Buyer Power</a:t>
          </a:r>
        </a:p>
        <a:p>
          <a:pPr marL="0" lvl="0" indent="0" algn="ctr" defTabSz="533400">
            <a:lnSpc>
              <a:spcPct val="90000"/>
            </a:lnSpc>
            <a:spcBef>
              <a:spcPct val="0"/>
            </a:spcBef>
            <a:spcAft>
              <a:spcPct val="35000"/>
            </a:spcAft>
            <a:buNone/>
          </a:pPr>
          <a:r>
            <a:rPr lang="en-GB" sz="1200" b="0" i="1" u="none" kern="1200"/>
            <a:t>With one to one tuition in music, demand is high due it being hard to find nowadays. But, its hard for the customer to find exactly what they are looking for. With it being in high demand, to be able to retain cutomers most tutors offer block bookings at a dicounted rate due to the market being so high.   </a:t>
          </a:r>
        </a:p>
      </dsp:txBody>
      <dsp:txXfrm>
        <a:off x="659793" y="3837183"/>
        <a:ext cx="2367106" cy="2249682"/>
      </dsp:txXfrm>
    </dsp:sp>
    <dsp:sp modelId="{77317636-4B7F-426B-820E-705E300C0D45}">
      <dsp:nvSpPr>
        <dsp:cNvPr id="0" name=""/>
        <dsp:cNvSpPr/>
      </dsp:nvSpPr>
      <dsp:spPr>
        <a:xfrm>
          <a:off x="-341014" y="858922"/>
          <a:ext cx="2659397" cy="3052335"/>
        </a:xfrm>
        <a:prstGeom prst="ellipse">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i="1" u="sng" kern="1200"/>
            <a:t>Supplier Power</a:t>
          </a:r>
        </a:p>
        <a:p>
          <a:pPr marL="0" lvl="0" indent="0" algn="ctr" defTabSz="533400">
            <a:lnSpc>
              <a:spcPct val="90000"/>
            </a:lnSpc>
            <a:spcBef>
              <a:spcPct val="0"/>
            </a:spcBef>
            <a:spcAft>
              <a:spcPct val="35000"/>
            </a:spcAft>
            <a:buNone/>
          </a:pPr>
          <a:r>
            <a:rPr lang="en-GB" sz="1200" b="0" i="1" u="none" kern="1200"/>
            <a:t>The uinquness of this business is being able to offer music theory tuition in the medium of welsh or english. The aim is to ensure the customers know that they have that option available. </a:t>
          </a:r>
        </a:p>
        <a:p>
          <a:pPr marL="0" lvl="0" indent="0" algn="ctr" defTabSz="533400">
            <a:lnSpc>
              <a:spcPct val="90000"/>
            </a:lnSpc>
            <a:spcBef>
              <a:spcPct val="0"/>
            </a:spcBef>
            <a:spcAft>
              <a:spcPct val="35000"/>
            </a:spcAft>
            <a:buNone/>
          </a:pPr>
          <a:r>
            <a:rPr lang="en-GB" sz="1200" b="0" i="1" u="none" kern="1200"/>
            <a:t>As well as being able to offer tuition in bilingual, tuition is mobile. We are swansea based but we dont have a home office. Therefore, we are able to travel to the pupils homes.   </a:t>
          </a:r>
        </a:p>
      </dsp:txBody>
      <dsp:txXfrm>
        <a:off x="48446" y="1305926"/>
        <a:ext cx="1880477" cy="2158327"/>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0</Words>
  <Characters>1</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Cerianne Elizabeth Davies</dc:creator>
  <cp:keywords/>
  <dc:description/>
  <cp:lastModifiedBy>Cerianne Elizabeth Davies</cp:lastModifiedBy>
  <cp:revision>2</cp:revision>
  <dcterms:created xsi:type="dcterms:W3CDTF">2019-04-04T19:55:00Z</dcterms:created>
  <dcterms:modified xsi:type="dcterms:W3CDTF">2019-04-04T19:55:00Z</dcterms:modified>
</cp:coreProperties>
</file>