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bookmarkStart w:id="0" w:name="_GoBack"/>
      <w:bookmarkEnd w:id="0"/>
      <w:r w:rsidRPr="00A41D33">
        <w:rPr>
          <w:rFonts w:ascii="Arial" w:hAnsi="Arial" w:cs="Arial"/>
          <w:color w:val="0E101A"/>
          <w:sz w:val="22"/>
          <w:szCs w:val="22"/>
        </w:rPr>
        <w:t>No one in the world is using the products of the 19s in the twenty-first century. It makes sense. The products of the 19s cannot compete with the products of the twenty-first century. The needs of the twenty-first century are different from the past. The conditions and circumstances also changed. The people who can understand the nature of the 19s are no more alive. When no one uses 19s products for their personal life, how is it possible to sustain the law of 1861 in 2021? This would totally irrational and does not make any sense. The terminology of 1861 is different from the present. The structure of criminalities has been developed. It needs more transparent and effective laws to cut down its roots from society. The offenses against the person act 1861 need some reforms because of many reasons. First of all, it does not describe all non-fatal crimes individually. Secondly, the terminology used in the act of 1861 is not familiar to ordinary citizens. Offenses against the person act 1861 do not describe the crimes and punishments in an obvious way. For example, section number 47 and section number 20 usually recommend the same sentence, but the crime is different in its severity. To evaluate and analyze the offenses against the person act 1861 in non-fatal offenses, it is necessary to understand and describe non-fatal crimes under the offenses against the person act 1861. Assault and battery are the terminologies commonly used for non-fatal offenses in offenses against the person act 1861.</w:t>
      </w:r>
    </w:p>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Assault is considered the smallest violation of the law under this act. In an assault, there should be nobody contact between the defendant and the victim. There is also no grievous or actual bodily harm by the defendant to the victim. It includes threats or using of fake ornaments to frighten the victim. Its best example is Logdon</w:t>
      </w:r>
      <w:r w:rsidRPr="00A41D33">
        <w:rPr>
          <w:rStyle w:val="Emphasis"/>
          <w:rFonts w:ascii="Arial" w:hAnsi="Arial" w:cs="Arial"/>
          <w:i w:val="0"/>
          <w:color w:val="0E101A"/>
          <w:sz w:val="22"/>
          <w:szCs w:val="22"/>
        </w:rPr>
        <w:t xml:space="preserve"> v DPP. In this case, the defendant pointed a fake gun at the victim, which cause and immediate violence in response. If someone is disturbed by others orally or by phone miss calls or letters, it will also deal under assault. But it needs some clarification between assault and battery, which is not described in offenses against the person act 1861. The battery is the next level offense in the 1861 act. It needs body contact between the defendant and the victim. It also requires actual and grievous bodily harm to the victim. The raising </w:t>
      </w:r>
      <w:r w:rsidRPr="00A41D33">
        <w:rPr>
          <w:rStyle w:val="Emphasis"/>
          <w:rFonts w:ascii="Arial" w:hAnsi="Arial" w:cs="Arial"/>
          <w:i w:val="0"/>
          <w:color w:val="0E101A"/>
          <w:sz w:val="22"/>
          <w:szCs w:val="22"/>
        </w:rPr>
        <w:lastRenderedPageBreak/>
        <w:t>of the fist to another punching the other with intention and foreseeing the act's seriousness would be dealt with under the battery according to the offenses against the person act 1861. </w:t>
      </w:r>
    </w:p>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Style w:val="Emphasis"/>
          <w:rFonts w:ascii="Arial" w:hAnsi="Arial" w:cs="Arial"/>
          <w:i w:val="0"/>
          <w:color w:val="0E101A"/>
          <w:sz w:val="22"/>
          <w:szCs w:val="22"/>
        </w:rPr>
        <w:t>There is a need to identify the faults and miss conception in the offenses against the person act 1861. Firstly there are no clear definitions of non-fatal offenses. The offenses are determined by the courts by their own interpretations. The defendant for the same act is liable for the criminal act while not responsible from any other court or court of appeal. The factor of actus reus and mens rea has a critical role in proving the offenses. Offenses against the person act focus on the intention and foreseeing of results at the time of action. It finds very difficult for the court to prove the offender's intention at the time of war. It cannot be assumed that what was in the defendant's mind at the time of action. Either it was foreseeable or not by the defendant. The defendant can easily escape from the law by using the factor of intention. This point would be apparent in the case of DPP v Smith</w:t>
      </w:r>
      <w:r w:rsidRPr="00A41D33">
        <w:rPr>
          <w:rStyle w:val="Emphasis"/>
          <w:rFonts w:ascii="Arial" w:hAnsi="Arial" w:cs="Arial"/>
          <w:bCs/>
          <w:i w:val="0"/>
          <w:color w:val="0E101A"/>
          <w:sz w:val="22"/>
          <w:szCs w:val="22"/>
        </w:rPr>
        <w:t> </w:t>
      </w:r>
      <w:r w:rsidRPr="00A41D33">
        <w:rPr>
          <w:rStyle w:val="Strong"/>
          <w:rFonts w:ascii="Arial" w:hAnsi="Arial" w:cs="Arial"/>
          <w:b w:val="0"/>
          <w:color w:val="0E101A"/>
          <w:sz w:val="22"/>
          <w:szCs w:val="22"/>
        </w:rPr>
        <w:t>[1961]. </w:t>
      </w:r>
    </w:p>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Style w:val="Strong"/>
          <w:rFonts w:ascii="Arial" w:hAnsi="Arial" w:cs="Arial"/>
          <w:b w:val="0"/>
          <w:color w:val="0E101A"/>
          <w:sz w:val="22"/>
          <w:szCs w:val="22"/>
        </w:rPr>
        <w:t>In DPP v Smith [1961], the defendant drove the car on a police officer. The police officer wanted to stop the defendant's car with stolen </w:t>
      </w:r>
      <w:r w:rsidRPr="00A41D33">
        <w:rPr>
          <w:rFonts w:ascii="Arial" w:hAnsi="Arial" w:cs="Arial"/>
          <w:color w:val="0E101A"/>
          <w:sz w:val="22"/>
          <w:szCs w:val="22"/>
        </w:rPr>
        <w:t>goods by jumping onto the car's bonnet. The policeman was knocked onto the path of an oncoming car and killed. The defendant argued that he was no intention to kill the police officer, the offender convicted of murder. The trial judge directed the jury. If you consider that the defendant is responsible for the grievous bodily harm that led the policeman to death, then convict the defendant as a murderer. But if you think that the defendant is not responsible for such grievous bodily harm that led the policeman to death, then convict the defendant as manslaughter. The jury convicted the defendant as a murderer. Defendant appealed because this was a miss-direction and that a subjective test should apply. The court of appeal quashed the decision by the jury. Court of appeal stated that this led to the miss- direction and convicted the defendant as manslaughter, not murderer. But the case does not end their prosecution appeal in the house of the Lord, which upheld the decision by the jury and stated that there was no miss direction in the decision by the jury. House of Lords convicted the defendant as a murderer.</w:t>
      </w:r>
    </w:p>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lastRenderedPageBreak/>
        <w:t>Now the question is that why the case stretched? It should end in the trial court as the public demands quick justice on merits. It was because of the unclear definition of laws under offenses against the person act 1861. It does not define the accurate portrayal of intention at the time of the crime. Trial courts, juries, the court of appeal, and the house of Lord confused while making decisions. No one can say that its decision is verified by the law. Law was silent in this case. The jury, the court of appeal, and the House of Lords made their own interpretations regarding the circumstances and decided.</w:t>
      </w:r>
    </w:p>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Many other cases address this weakness of offenses against the person act 1861. This act also does not describe the term grievous bodily harm in the broader spectrum. It does not link bodily harm with age and seriousness regarding the wounds. For example, in </w:t>
      </w:r>
      <w:r w:rsidRPr="00A41D33">
        <w:rPr>
          <w:rStyle w:val="Emphasis"/>
          <w:rFonts w:ascii="Arial" w:hAnsi="Arial" w:cs="Arial"/>
          <w:i w:val="0"/>
          <w:color w:val="0E101A"/>
          <w:sz w:val="22"/>
          <w:szCs w:val="22"/>
        </w:rPr>
        <w:t>R v Bollom</w:t>
      </w:r>
      <w:r w:rsidRPr="00A41D33">
        <w:rPr>
          <w:rStyle w:val="Strong"/>
          <w:rFonts w:ascii="Arial" w:hAnsi="Arial" w:cs="Arial"/>
          <w:b w:val="0"/>
          <w:color w:val="0E101A"/>
          <w:sz w:val="22"/>
          <w:szCs w:val="22"/>
        </w:rPr>
        <w:t> 2004, the defendant </w:t>
      </w:r>
      <w:r w:rsidRPr="00A41D33">
        <w:rPr>
          <w:rFonts w:ascii="Arial" w:hAnsi="Arial" w:cs="Arial"/>
          <w:color w:val="0E101A"/>
          <w:sz w:val="22"/>
          <w:szCs w:val="22"/>
        </w:rPr>
        <w:t>inflicted on his partner's 17-month-old daughter and convicted grievous bodily harm under section 18 of offenses against the person act 1861. The injuries consisted of various bruises and abrasions. The defendant appealed against his conviction because the judge should have directed the jury that in assessing whether the injuries were severe enough to amount to grievous bodily harm, they should not consider the victim's age. The task given to the jury was entitled to take into account the particular characteristics of the victim. But, the judge failed to direct the jury about the injuries. The point is that the jury has to clarify that the injuries result from only one assault.</w:t>
      </w:r>
    </w:p>
    <w:p w:rsidR="006A189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Medical reports made clear that many of the injuries were older from the defendant's assault. So the defendant's conviction for grievous bodily harm under section 18 was quashed and convert into actual bodily harm. The gravity of the point is that the offenses against the person act 1861 have much fill in the blanks which need to the full by parliament. There is also a need to change the language of the act. The terminology which has been used in the act is not familiar to ordinary citizens. This is the age of information. Every citizen wants to know about their country's laws to avoid violations of law. Such laws which have no clear directions for the everyday citizens are fewer beneficiaries for the public. For example, not many people can understand the term battery except those who belong to the law. The second is apprehension; sometimes, this word produces vague meanings. However, as stated by the Court of Appeal in </w:t>
      </w:r>
      <w:r w:rsidRPr="00A41D33">
        <w:rPr>
          <w:rStyle w:val="Emphasis"/>
          <w:rFonts w:ascii="Arial" w:hAnsi="Arial" w:cs="Arial"/>
          <w:i w:val="0"/>
          <w:color w:val="0E101A"/>
          <w:sz w:val="22"/>
          <w:szCs w:val="22"/>
        </w:rPr>
        <w:t>Constanza</w:t>
      </w:r>
      <w:r w:rsidRPr="00A41D33">
        <w:rPr>
          <w:rFonts w:ascii="Arial" w:hAnsi="Arial" w:cs="Arial"/>
          <w:color w:val="0E101A"/>
          <w:sz w:val="22"/>
          <w:szCs w:val="22"/>
        </w:rPr>
        <w:t>, 'fear of immediate violence' is a sufficient but not a necessary condition in this context. So there is also needs to change in the vocabulary of the act 1861.</w:t>
      </w:r>
    </w:p>
    <w:p w:rsidR="00F608BF" w:rsidRPr="00A41D33" w:rsidRDefault="006A189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 xml:space="preserve">Law commission report 2015 assumed reforms in offenses against the person act 1861. </w:t>
      </w:r>
      <w:r w:rsidR="00F608BF" w:rsidRPr="00A41D33">
        <w:rPr>
          <w:rFonts w:ascii="Arial" w:hAnsi="Arial" w:cs="Arial"/>
          <w:color w:val="0E101A"/>
          <w:sz w:val="22"/>
          <w:szCs w:val="22"/>
        </w:rPr>
        <w:t>According to the law commission report, more straightforward language can make the way fair by which the laws are enforced. More straightforward language can attract the people to know what they could do and what they have to avoid.</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Law commission 2015 made some suggestions to the parliament to amend the language and other offenses against the person act 1861. The draft bill was proposed to the parliament in 1998 but not applied. It might be because there was no such need for changes as in 2021. According to the Law Commission report 2015, parliament has to amend this act to fulfill the law's requirements and responsibilities. The battery is a crime in which physical contact between the defendant and victim is a must. But this fact is known by the law personnel. To make familiar with the public, the battery should be replaced with physical assault. Now it seems clear.</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Similarly, the offense without any physical contact like assault should be changed with threatened assault. There is no apparent difference mentioned between assault and battery in crimes against the person act 1861. The battery is also considered an assault. But if parliament replaces them with physical and threatened assault, there is no need for further interpretations. The words expressed by the terminology, which would be the easiest way to convey the message of law to the public. </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The other terminology issues include the terms actual bodily harm and grievous bodily harm. These terms are too old to understand by the new coming generations. So there is a need to change them all with the new English criteria and make it feasible for all. </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There are also many other issues regarding the 1861 act regarding its application and punishments. For example, section 47 and section 20 of offenses against the person act 1861 have the same sentences. But the seriousness of the crime is totally different. Section 47 has low gravity, but the defendant's risk increased if the case would deal under section 20 of offenses against the person act 1861.</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Last but not least is that the act remains to be disorganized due to its unclear structure. Its codification is complex, with mixed meanings of assault and battery. This fact has been proven in the case of </w:t>
      </w:r>
      <w:r w:rsidRPr="00A41D33">
        <w:rPr>
          <w:rStyle w:val="Emphasis"/>
          <w:rFonts w:ascii="Arial" w:hAnsi="Arial" w:cs="Arial"/>
          <w:i w:val="0"/>
          <w:color w:val="0E101A"/>
          <w:sz w:val="22"/>
          <w:szCs w:val="22"/>
        </w:rPr>
        <w:t>Lynsey</w:t>
      </w:r>
      <w:r w:rsidRPr="00A41D33">
        <w:rPr>
          <w:rFonts w:ascii="Arial" w:hAnsi="Arial" w:cs="Arial"/>
          <w:color w:val="0E101A"/>
          <w:sz w:val="22"/>
          <w:szCs w:val="22"/>
        </w:rPr>
        <w:t> 1995. The judge could not identify the difference between assault and battery. Lord Justice Henry observed that: "The present appeal is of no practical importance whatsoever but is yet another example of how bad laws cost money and clog up courts with better things to do."</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The proper solution to all this confusion is to rebuild offenses against the person act 1861. To criticize the act does not mean that this act was not applicable; it was functional when it came into existence. But now this wants to be changed.</w:t>
      </w:r>
      <w:r w:rsidR="00C13F92" w:rsidRPr="00A41D33">
        <w:rPr>
          <w:rFonts w:ascii="Arial" w:hAnsi="Arial" w:cs="Arial"/>
          <w:color w:val="0E101A"/>
          <w:sz w:val="22"/>
          <w:szCs w:val="22"/>
        </w:rPr>
        <w:t xml:space="preserve"> It also need to improve in sphere of spreading disease as the is pandemic of COVID-19. It is a severe disease the 1861 act also needs changes in the health portion, like what action can be taken against the person who is spreading the disease intentionally or unintentionally.</w:t>
      </w:r>
      <w:r w:rsidRPr="00A41D33">
        <w:rPr>
          <w:rFonts w:ascii="Arial" w:hAnsi="Arial" w:cs="Arial"/>
          <w:color w:val="0E101A"/>
          <w:sz w:val="22"/>
          <w:szCs w:val="22"/>
        </w:rPr>
        <w:t xml:space="preserve"> A consultation paper published by the Home Office' </w:t>
      </w:r>
      <w:r w:rsidRPr="00A41D33">
        <w:rPr>
          <w:rStyle w:val="Emphasis"/>
          <w:rFonts w:ascii="Arial" w:hAnsi="Arial" w:cs="Arial"/>
          <w:i w:val="0"/>
          <w:color w:val="0E101A"/>
          <w:sz w:val="22"/>
          <w:szCs w:val="22"/>
        </w:rPr>
        <w:t>Violence: Reforming the Offences against the Person Act 1861</w:t>
      </w:r>
      <w:r w:rsidRPr="00A41D33">
        <w:rPr>
          <w:rFonts w:ascii="Arial" w:hAnsi="Arial" w:cs="Arial"/>
          <w:color w:val="0E101A"/>
          <w:sz w:val="22"/>
          <w:szCs w:val="22"/>
        </w:rPr>
        <w:t> includes the 1998 Draft Bill. This draft bill included the understandable and feasible English terms for the ordinary people, the law reform proposals, from the Criminal Law Revision Committee's report in 1980 to the Home Office's 1998 draft Bill. This draft also includes the proper structure of law for non-fatal offenses.</w:t>
      </w:r>
      <w:r w:rsidR="00C13F92" w:rsidRPr="00A41D33">
        <w:rPr>
          <w:rFonts w:ascii="Arial" w:hAnsi="Arial" w:cs="Arial"/>
          <w:color w:val="0E101A"/>
          <w:sz w:val="22"/>
          <w:szCs w:val="22"/>
        </w:rPr>
        <w:t xml:space="preserve"> </w:t>
      </w:r>
    </w:p>
    <w:p w:rsidR="00F608BF"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To conclude, it can be said that the offenses against the person act 1861 was the best act at that time when incepted. Still, now the circumstances and the need of the public and laws has been changed which demand amendments in 1861 act. The changes should be in the sphere of language, clarity of terms, organized structure, and no further needs of individual interpretations. It should have descriptive words for offenses that describe the crime by heading.</w:t>
      </w:r>
    </w:p>
    <w:p w:rsidR="00D654A4" w:rsidRPr="00A41D33" w:rsidRDefault="00F608BF" w:rsidP="00A41D33">
      <w:pPr>
        <w:pStyle w:val="NormalWeb"/>
        <w:spacing w:before="0" w:beforeAutospacing="0" w:after="0" w:afterAutospacing="0" w:line="480" w:lineRule="auto"/>
        <w:jc w:val="both"/>
        <w:rPr>
          <w:rFonts w:ascii="Arial" w:hAnsi="Arial" w:cs="Arial"/>
          <w:color w:val="0E101A"/>
          <w:sz w:val="22"/>
          <w:szCs w:val="22"/>
        </w:rPr>
      </w:pPr>
      <w:r w:rsidRPr="00A41D33">
        <w:rPr>
          <w:rFonts w:ascii="Arial" w:hAnsi="Arial" w:cs="Arial"/>
          <w:color w:val="0E101A"/>
          <w:sz w:val="22"/>
          <w:szCs w:val="22"/>
        </w:rPr>
        <w:t> </w:t>
      </w:r>
    </w:p>
    <w:p w:rsidR="00D654A4" w:rsidRPr="00A41D33" w:rsidRDefault="00D654A4" w:rsidP="00A41D33">
      <w:pPr>
        <w:spacing w:line="480" w:lineRule="auto"/>
        <w:jc w:val="both"/>
        <w:rPr>
          <w:rFonts w:ascii="Arial" w:eastAsia="Times New Roman" w:hAnsi="Arial" w:cs="Arial"/>
          <w:color w:val="0E101A"/>
        </w:rPr>
      </w:pPr>
      <w:r w:rsidRPr="00A41D33">
        <w:rPr>
          <w:rFonts w:ascii="Arial" w:hAnsi="Arial" w:cs="Arial"/>
          <w:color w:val="0E101A"/>
        </w:rPr>
        <w:br w:type="page"/>
      </w:r>
    </w:p>
    <w:p w:rsidR="00F608BF" w:rsidRPr="00A41D33" w:rsidRDefault="00D654A4" w:rsidP="00A41D33">
      <w:pPr>
        <w:pStyle w:val="NormalWeb"/>
        <w:numPr>
          <w:ilvl w:val="0"/>
          <w:numId w:val="1"/>
        </w:numPr>
        <w:spacing w:before="0" w:beforeAutospacing="0" w:after="0" w:afterAutospacing="0" w:line="480" w:lineRule="auto"/>
        <w:jc w:val="both"/>
        <w:rPr>
          <w:rFonts w:ascii="Arial" w:hAnsi="Arial" w:cs="Arial"/>
          <w:color w:val="222222"/>
          <w:sz w:val="22"/>
          <w:szCs w:val="22"/>
          <w:shd w:val="clear" w:color="auto" w:fill="FFFFFF"/>
        </w:rPr>
      </w:pPr>
      <w:r w:rsidRPr="00A41D33">
        <w:rPr>
          <w:rFonts w:ascii="Arial" w:hAnsi="Arial" w:cs="Arial"/>
          <w:color w:val="222222"/>
          <w:sz w:val="22"/>
          <w:szCs w:val="22"/>
          <w:shd w:val="clear" w:color="auto" w:fill="FFFFFF"/>
        </w:rPr>
        <w:t>Gardner, J., 1994. Rationality and the rule of law in offences against the person. </w:t>
      </w:r>
      <w:r w:rsidRPr="00A41D33">
        <w:rPr>
          <w:rFonts w:ascii="Arial" w:hAnsi="Arial" w:cs="Arial"/>
          <w:iCs/>
          <w:color w:val="222222"/>
          <w:sz w:val="22"/>
          <w:szCs w:val="22"/>
          <w:shd w:val="clear" w:color="auto" w:fill="FFFFFF"/>
        </w:rPr>
        <w:t>Cambridge LJ</w:t>
      </w:r>
      <w:r w:rsidRPr="00A41D33">
        <w:rPr>
          <w:rFonts w:ascii="Arial" w:hAnsi="Arial" w:cs="Arial"/>
          <w:color w:val="222222"/>
          <w:sz w:val="22"/>
          <w:szCs w:val="22"/>
          <w:shd w:val="clear" w:color="auto" w:fill="FFFFFF"/>
        </w:rPr>
        <w:t>, </w:t>
      </w:r>
      <w:r w:rsidRPr="00A41D33">
        <w:rPr>
          <w:rFonts w:ascii="Arial" w:hAnsi="Arial" w:cs="Arial"/>
          <w:iCs/>
          <w:color w:val="222222"/>
          <w:sz w:val="22"/>
          <w:szCs w:val="22"/>
          <w:shd w:val="clear" w:color="auto" w:fill="FFFFFF"/>
        </w:rPr>
        <w:t>53</w:t>
      </w:r>
      <w:r w:rsidRPr="00A41D33">
        <w:rPr>
          <w:rFonts w:ascii="Arial" w:hAnsi="Arial" w:cs="Arial"/>
          <w:color w:val="222222"/>
          <w:sz w:val="22"/>
          <w:szCs w:val="22"/>
          <w:shd w:val="clear" w:color="auto" w:fill="FFFFFF"/>
        </w:rPr>
        <w:t>, p.502.</w:t>
      </w:r>
    </w:p>
    <w:p w:rsidR="00D654A4" w:rsidRPr="00A41D33" w:rsidRDefault="00D654A4" w:rsidP="00A41D33">
      <w:pPr>
        <w:pStyle w:val="NormalWeb"/>
        <w:numPr>
          <w:ilvl w:val="0"/>
          <w:numId w:val="1"/>
        </w:numPr>
        <w:spacing w:before="0" w:beforeAutospacing="0" w:after="0" w:afterAutospacing="0" w:line="480" w:lineRule="auto"/>
        <w:jc w:val="both"/>
        <w:rPr>
          <w:rFonts w:ascii="Arial" w:hAnsi="Arial" w:cs="Arial"/>
          <w:color w:val="222222"/>
          <w:sz w:val="22"/>
          <w:szCs w:val="22"/>
          <w:shd w:val="clear" w:color="auto" w:fill="FFFFFF"/>
        </w:rPr>
      </w:pPr>
      <w:r w:rsidRPr="00A41D33">
        <w:rPr>
          <w:rFonts w:ascii="Arial" w:hAnsi="Arial" w:cs="Arial"/>
          <w:color w:val="222222"/>
          <w:sz w:val="22"/>
          <w:szCs w:val="22"/>
          <w:shd w:val="clear" w:color="auto" w:fill="FFFFFF"/>
        </w:rPr>
        <w:t>Jackson, A. and Storey, T., 2015. Reforming Offences Against the Person: In Defence of ‘Moderate’Constructivism. </w:t>
      </w:r>
      <w:r w:rsidRPr="00A41D33">
        <w:rPr>
          <w:rFonts w:ascii="Arial" w:hAnsi="Arial" w:cs="Arial"/>
          <w:iCs/>
          <w:color w:val="222222"/>
          <w:sz w:val="22"/>
          <w:szCs w:val="22"/>
          <w:shd w:val="clear" w:color="auto" w:fill="FFFFFF"/>
        </w:rPr>
        <w:t>The Journal of Criminal Law</w:t>
      </w:r>
      <w:r w:rsidRPr="00A41D33">
        <w:rPr>
          <w:rFonts w:ascii="Arial" w:hAnsi="Arial" w:cs="Arial"/>
          <w:color w:val="222222"/>
          <w:sz w:val="22"/>
          <w:szCs w:val="22"/>
          <w:shd w:val="clear" w:color="auto" w:fill="FFFFFF"/>
        </w:rPr>
        <w:t>, </w:t>
      </w:r>
      <w:r w:rsidRPr="00A41D33">
        <w:rPr>
          <w:rFonts w:ascii="Arial" w:hAnsi="Arial" w:cs="Arial"/>
          <w:iCs/>
          <w:color w:val="222222"/>
          <w:sz w:val="22"/>
          <w:szCs w:val="22"/>
          <w:shd w:val="clear" w:color="auto" w:fill="FFFFFF"/>
        </w:rPr>
        <w:t>79</w:t>
      </w:r>
      <w:r w:rsidRPr="00A41D33">
        <w:rPr>
          <w:rFonts w:ascii="Arial" w:hAnsi="Arial" w:cs="Arial"/>
          <w:color w:val="222222"/>
          <w:sz w:val="22"/>
          <w:szCs w:val="22"/>
          <w:shd w:val="clear" w:color="auto" w:fill="FFFFFF"/>
        </w:rPr>
        <w:t>(6), pp.437-447.</w:t>
      </w:r>
    </w:p>
    <w:p w:rsidR="00D654A4" w:rsidRPr="00A41D33" w:rsidRDefault="00D654A4" w:rsidP="00A41D33">
      <w:pPr>
        <w:pStyle w:val="NormalWeb"/>
        <w:numPr>
          <w:ilvl w:val="0"/>
          <w:numId w:val="1"/>
        </w:numPr>
        <w:spacing w:before="0" w:beforeAutospacing="0" w:after="0" w:afterAutospacing="0" w:line="480" w:lineRule="auto"/>
        <w:jc w:val="both"/>
        <w:rPr>
          <w:rFonts w:ascii="Arial" w:hAnsi="Arial" w:cs="Arial"/>
          <w:color w:val="222222"/>
          <w:sz w:val="22"/>
          <w:szCs w:val="22"/>
          <w:shd w:val="clear" w:color="auto" w:fill="FFFFFF"/>
        </w:rPr>
      </w:pPr>
      <w:r w:rsidRPr="00A41D33">
        <w:rPr>
          <w:rFonts w:ascii="Arial" w:hAnsi="Arial" w:cs="Arial"/>
          <w:color w:val="222222"/>
          <w:sz w:val="22"/>
          <w:szCs w:val="22"/>
          <w:shd w:val="clear" w:color="auto" w:fill="FFFFFF"/>
        </w:rPr>
        <w:t>Eriera, A., 2007. Offences against the Person: Offending Rationality. </w:t>
      </w:r>
      <w:r w:rsidRPr="00A41D33">
        <w:rPr>
          <w:rFonts w:ascii="Arial" w:hAnsi="Arial" w:cs="Arial"/>
          <w:iCs/>
          <w:color w:val="222222"/>
          <w:sz w:val="22"/>
          <w:szCs w:val="22"/>
          <w:shd w:val="clear" w:color="auto" w:fill="FFFFFF"/>
        </w:rPr>
        <w:t>Cambridge Student L. Rev.</w:t>
      </w:r>
      <w:r w:rsidRPr="00A41D33">
        <w:rPr>
          <w:rFonts w:ascii="Arial" w:hAnsi="Arial" w:cs="Arial"/>
          <w:color w:val="222222"/>
          <w:sz w:val="22"/>
          <w:szCs w:val="22"/>
          <w:shd w:val="clear" w:color="auto" w:fill="FFFFFF"/>
        </w:rPr>
        <w:t>, </w:t>
      </w:r>
      <w:r w:rsidRPr="00A41D33">
        <w:rPr>
          <w:rFonts w:ascii="Arial" w:hAnsi="Arial" w:cs="Arial"/>
          <w:iCs/>
          <w:color w:val="222222"/>
          <w:sz w:val="22"/>
          <w:szCs w:val="22"/>
          <w:shd w:val="clear" w:color="auto" w:fill="FFFFFF"/>
        </w:rPr>
        <w:t>3</w:t>
      </w:r>
      <w:r w:rsidRPr="00A41D33">
        <w:rPr>
          <w:rFonts w:ascii="Arial" w:hAnsi="Arial" w:cs="Arial"/>
          <w:color w:val="222222"/>
          <w:sz w:val="22"/>
          <w:szCs w:val="22"/>
          <w:shd w:val="clear" w:color="auto" w:fill="FFFFFF"/>
        </w:rPr>
        <w:t>, p.22.</w:t>
      </w:r>
    </w:p>
    <w:p w:rsidR="00D654A4" w:rsidRPr="00A41D33" w:rsidRDefault="00C13F92" w:rsidP="00A41D33">
      <w:pPr>
        <w:pStyle w:val="NormalWeb"/>
        <w:numPr>
          <w:ilvl w:val="0"/>
          <w:numId w:val="1"/>
        </w:numPr>
        <w:spacing w:before="0" w:beforeAutospacing="0" w:after="0" w:afterAutospacing="0" w:line="480" w:lineRule="auto"/>
        <w:jc w:val="both"/>
        <w:rPr>
          <w:rFonts w:ascii="Arial" w:hAnsi="Arial" w:cs="Arial"/>
          <w:color w:val="222222"/>
          <w:sz w:val="22"/>
          <w:szCs w:val="22"/>
          <w:shd w:val="clear" w:color="auto" w:fill="FFFFFF"/>
        </w:rPr>
      </w:pPr>
      <w:r w:rsidRPr="00A41D33">
        <w:rPr>
          <w:rFonts w:ascii="Arial" w:hAnsi="Arial" w:cs="Arial"/>
          <w:color w:val="222222"/>
          <w:sz w:val="22"/>
          <w:szCs w:val="22"/>
          <w:shd w:val="clear" w:color="auto" w:fill="FFFFFF"/>
        </w:rPr>
        <w:t>McCombe, C.A., 2017. Non-Fatal Offences against the Person: Complexities, Difficulties and Reform. </w:t>
      </w:r>
      <w:r w:rsidRPr="00A41D33">
        <w:rPr>
          <w:rFonts w:ascii="Arial" w:hAnsi="Arial" w:cs="Arial"/>
          <w:iCs/>
          <w:color w:val="222222"/>
          <w:sz w:val="22"/>
          <w:szCs w:val="22"/>
          <w:shd w:val="clear" w:color="auto" w:fill="FFFFFF"/>
        </w:rPr>
        <w:t>QMLJ</w:t>
      </w:r>
      <w:r w:rsidRPr="00A41D33">
        <w:rPr>
          <w:rFonts w:ascii="Arial" w:hAnsi="Arial" w:cs="Arial"/>
          <w:color w:val="222222"/>
          <w:sz w:val="22"/>
          <w:szCs w:val="22"/>
          <w:shd w:val="clear" w:color="auto" w:fill="FFFFFF"/>
        </w:rPr>
        <w:t>, </w:t>
      </w:r>
      <w:r w:rsidRPr="00A41D33">
        <w:rPr>
          <w:rFonts w:ascii="Arial" w:hAnsi="Arial" w:cs="Arial"/>
          <w:iCs/>
          <w:color w:val="222222"/>
          <w:sz w:val="22"/>
          <w:szCs w:val="22"/>
          <w:shd w:val="clear" w:color="auto" w:fill="FFFFFF"/>
        </w:rPr>
        <w:t>8</w:t>
      </w:r>
      <w:r w:rsidRPr="00A41D33">
        <w:rPr>
          <w:rFonts w:ascii="Arial" w:hAnsi="Arial" w:cs="Arial"/>
          <w:color w:val="222222"/>
          <w:sz w:val="22"/>
          <w:szCs w:val="22"/>
          <w:shd w:val="clear" w:color="auto" w:fill="FFFFFF"/>
        </w:rPr>
        <w:t>, p.71.</w:t>
      </w:r>
    </w:p>
    <w:p w:rsidR="00C13F92" w:rsidRPr="00A41D33" w:rsidRDefault="00C13F92" w:rsidP="00A41D33">
      <w:pPr>
        <w:pStyle w:val="NormalWeb"/>
        <w:numPr>
          <w:ilvl w:val="0"/>
          <w:numId w:val="1"/>
        </w:numPr>
        <w:spacing w:before="0" w:beforeAutospacing="0" w:after="0" w:afterAutospacing="0" w:line="480" w:lineRule="auto"/>
        <w:jc w:val="both"/>
        <w:rPr>
          <w:rFonts w:ascii="Arial" w:hAnsi="Arial" w:cs="Arial"/>
          <w:color w:val="222222"/>
          <w:sz w:val="22"/>
          <w:szCs w:val="22"/>
          <w:shd w:val="clear" w:color="auto" w:fill="FFFFFF"/>
        </w:rPr>
      </w:pPr>
      <w:r w:rsidRPr="00A41D33">
        <w:rPr>
          <w:rFonts w:ascii="Arial" w:hAnsi="Arial" w:cs="Arial"/>
          <w:color w:val="222222"/>
          <w:sz w:val="22"/>
          <w:szCs w:val="22"/>
          <w:shd w:val="clear" w:color="auto" w:fill="FFFFFF"/>
        </w:rPr>
        <w:t>Dodds, C., Weatherburn, P., Hickson, F., Keogh, P. and Nutland, W., 2005. Grievous harm: use of the Offences Against the Person Act 1861 for sexual transmission of HIV.</w:t>
      </w:r>
      <w:r w:rsidR="0048752F" w:rsidRPr="00A41D33">
        <w:rPr>
          <w:rFonts w:ascii="Arial" w:hAnsi="Arial" w:cs="Arial"/>
          <w:color w:val="222222"/>
          <w:sz w:val="22"/>
          <w:szCs w:val="22"/>
          <w:shd w:val="clear" w:color="auto" w:fill="FFFFFF"/>
        </w:rPr>
        <w:t>s</w:t>
      </w:r>
    </w:p>
    <w:p w:rsidR="00D654A4" w:rsidRPr="00A41D33" w:rsidRDefault="00D654A4" w:rsidP="00A41D33">
      <w:pPr>
        <w:pStyle w:val="NormalWeb"/>
        <w:numPr>
          <w:ilvl w:val="0"/>
          <w:numId w:val="1"/>
        </w:numPr>
        <w:spacing w:before="0" w:beforeAutospacing="0" w:after="0" w:afterAutospacing="0" w:line="480" w:lineRule="auto"/>
        <w:jc w:val="both"/>
        <w:rPr>
          <w:rStyle w:val="Strong"/>
          <w:rFonts w:ascii="Arial" w:hAnsi="Arial" w:cs="Arial"/>
          <w:b w:val="0"/>
          <w:color w:val="323D4F"/>
          <w:sz w:val="22"/>
          <w:szCs w:val="22"/>
          <w:shd w:val="clear" w:color="auto" w:fill="FFFFFF"/>
        </w:rPr>
      </w:pPr>
      <w:r w:rsidRPr="00A41D33">
        <w:rPr>
          <w:rStyle w:val="Emphasis"/>
          <w:rFonts w:ascii="Arial" w:hAnsi="Arial" w:cs="Arial"/>
          <w:bCs/>
          <w:i w:val="0"/>
          <w:color w:val="323D4F"/>
          <w:sz w:val="22"/>
          <w:szCs w:val="22"/>
          <w:shd w:val="clear" w:color="auto" w:fill="FFFFFF"/>
        </w:rPr>
        <w:t>DPP v Smith</w:t>
      </w:r>
      <w:r w:rsidRPr="00A41D33">
        <w:rPr>
          <w:rStyle w:val="Strong"/>
          <w:rFonts w:ascii="Arial" w:hAnsi="Arial" w:cs="Arial"/>
          <w:b w:val="0"/>
          <w:color w:val="323D4F"/>
          <w:sz w:val="22"/>
          <w:szCs w:val="22"/>
          <w:shd w:val="clear" w:color="auto" w:fill="FFFFFF"/>
        </w:rPr>
        <w:t> [1961] AC 290</w:t>
      </w:r>
    </w:p>
    <w:p w:rsidR="00D654A4" w:rsidRPr="00A41D33" w:rsidRDefault="00D654A4" w:rsidP="00A41D33">
      <w:pPr>
        <w:pStyle w:val="NormalWeb"/>
        <w:numPr>
          <w:ilvl w:val="0"/>
          <w:numId w:val="1"/>
        </w:numPr>
        <w:spacing w:before="0" w:beforeAutospacing="0" w:after="0" w:afterAutospacing="0" w:line="480" w:lineRule="auto"/>
        <w:jc w:val="both"/>
        <w:rPr>
          <w:rFonts w:ascii="Arial" w:hAnsi="Arial" w:cs="Arial"/>
          <w:color w:val="0E101A"/>
          <w:sz w:val="22"/>
          <w:szCs w:val="22"/>
        </w:rPr>
      </w:pPr>
      <w:r w:rsidRPr="00A41D33">
        <w:rPr>
          <w:rStyle w:val="Emphasis"/>
          <w:rFonts w:ascii="Arial" w:hAnsi="Arial" w:cs="Arial"/>
          <w:bCs/>
          <w:i w:val="0"/>
          <w:color w:val="323D4F"/>
          <w:sz w:val="22"/>
          <w:szCs w:val="22"/>
          <w:shd w:val="clear" w:color="auto" w:fill="FFFFFF"/>
        </w:rPr>
        <w:t>R v Bollom</w:t>
      </w:r>
      <w:r w:rsidRPr="00A41D33">
        <w:rPr>
          <w:rStyle w:val="Strong"/>
          <w:rFonts w:ascii="Arial" w:hAnsi="Arial" w:cs="Arial"/>
          <w:b w:val="0"/>
          <w:color w:val="323D4F"/>
          <w:sz w:val="22"/>
          <w:szCs w:val="22"/>
          <w:shd w:val="clear" w:color="auto" w:fill="FFFFFF"/>
        </w:rPr>
        <w:t> (2004) 2 Cr App R 6</w:t>
      </w:r>
    </w:p>
    <w:p w:rsidR="007F0B49" w:rsidRPr="00A41D33" w:rsidRDefault="007F0B49" w:rsidP="00A41D33">
      <w:pPr>
        <w:pStyle w:val="NormalWeb"/>
        <w:spacing w:before="0" w:beforeAutospacing="0" w:after="0" w:afterAutospacing="0" w:line="480" w:lineRule="auto"/>
        <w:jc w:val="both"/>
        <w:rPr>
          <w:rFonts w:ascii="Arial" w:hAnsi="Arial" w:cs="Arial"/>
          <w:color w:val="0E101A"/>
          <w:sz w:val="22"/>
          <w:szCs w:val="22"/>
        </w:rPr>
      </w:pPr>
    </w:p>
    <w:sectPr w:rsidR="007F0B49" w:rsidRPr="00A41D33" w:rsidSect="00B638C8">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122" w:rsidRDefault="00742122" w:rsidP="00072D6C">
      <w:pPr>
        <w:spacing w:after="0" w:line="240" w:lineRule="auto"/>
      </w:pPr>
      <w:r>
        <w:separator/>
      </w:r>
    </w:p>
  </w:endnote>
  <w:endnote w:type="continuationSeparator" w:id="0">
    <w:p w:rsidR="00742122" w:rsidRDefault="00742122" w:rsidP="00072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984782"/>
      <w:docPartObj>
        <w:docPartGallery w:val="Page Numbers (Bottom of Page)"/>
        <w:docPartUnique/>
      </w:docPartObj>
    </w:sdtPr>
    <w:sdtEndPr/>
    <w:sdtContent>
      <w:p w:rsidR="00072D6C" w:rsidRDefault="003A58FA">
        <w:pPr>
          <w:pStyle w:val="Footer"/>
          <w:jc w:val="right"/>
        </w:pPr>
        <w:r>
          <w:fldChar w:fldCharType="begin"/>
        </w:r>
        <w:r>
          <w:instrText xml:space="preserve"> PAGE   \* MERGEFORMAT </w:instrText>
        </w:r>
        <w:r>
          <w:fldChar w:fldCharType="separate"/>
        </w:r>
        <w:r w:rsidR="00C741B2">
          <w:rPr>
            <w:noProof/>
          </w:rPr>
          <w:t>1</w:t>
        </w:r>
        <w:r>
          <w:rPr>
            <w:noProof/>
          </w:rPr>
          <w:fldChar w:fldCharType="end"/>
        </w:r>
      </w:p>
    </w:sdtContent>
  </w:sdt>
  <w:p w:rsidR="00072D6C" w:rsidRDefault="00072D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122" w:rsidRDefault="00742122" w:rsidP="00072D6C">
      <w:pPr>
        <w:spacing w:after="0" w:line="240" w:lineRule="auto"/>
      </w:pPr>
      <w:r>
        <w:separator/>
      </w:r>
    </w:p>
  </w:footnote>
  <w:footnote w:type="continuationSeparator" w:id="0">
    <w:p w:rsidR="00742122" w:rsidRDefault="00742122" w:rsidP="00072D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D6C" w:rsidRPr="00072D6C" w:rsidRDefault="00072D6C">
    <w:pPr>
      <w:pStyle w:val="Header"/>
      <w:rPr>
        <w:color w:val="000000" w:themeColor="text1"/>
      </w:rPr>
    </w:pPr>
    <w:r w:rsidRPr="00072D6C">
      <w:rPr>
        <w:color w:val="000000" w:themeColor="text1"/>
      </w:rPr>
      <w:t>Celina Danfa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C6B47"/>
    <w:multiLevelType w:val="hybridMultilevel"/>
    <w:tmpl w:val="8CD41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617"/>
    <w:rsid w:val="000262AD"/>
    <w:rsid w:val="00065BA3"/>
    <w:rsid w:val="00072D6C"/>
    <w:rsid w:val="000C5617"/>
    <w:rsid w:val="00122F8A"/>
    <w:rsid w:val="002F51B2"/>
    <w:rsid w:val="003A58FA"/>
    <w:rsid w:val="00470E8B"/>
    <w:rsid w:val="0048752F"/>
    <w:rsid w:val="00511414"/>
    <w:rsid w:val="006A189F"/>
    <w:rsid w:val="006E2295"/>
    <w:rsid w:val="00742122"/>
    <w:rsid w:val="007760BD"/>
    <w:rsid w:val="007E039C"/>
    <w:rsid w:val="007F0B49"/>
    <w:rsid w:val="008E1313"/>
    <w:rsid w:val="00A41D33"/>
    <w:rsid w:val="00B638C8"/>
    <w:rsid w:val="00C13F92"/>
    <w:rsid w:val="00C741B2"/>
    <w:rsid w:val="00CB65C4"/>
    <w:rsid w:val="00D654A4"/>
    <w:rsid w:val="00F608BF"/>
    <w:rsid w:val="00FB0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9949E4-DA01-2A4F-AD49-4E95E20F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8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E1313"/>
    <w:rPr>
      <w:i/>
      <w:iCs/>
    </w:rPr>
  </w:style>
  <w:style w:type="character" w:styleId="Strong">
    <w:name w:val="Strong"/>
    <w:basedOn w:val="DefaultParagraphFont"/>
    <w:uiPriority w:val="22"/>
    <w:qFormat/>
    <w:rsid w:val="002F51B2"/>
    <w:rPr>
      <w:b/>
      <w:bCs/>
    </w:rPr>
  </w:style>
  <w:style w:type="paragraph" w:styleId="NormalWeb">
    <w:name w:val="Normal (Web)"/>
    <w:basedOn w:val="Normal"/>
    <w:uiPriority w:val="99"/>
    <w:unhideWhenUsed/>
    <w:rsid w:val="006A189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E2295"/>
    <w:rPr>
      <w:color w:val="0000FF"/>
      <w:u w:val="single"/>
    </w:rPr>
  </w:style>
  <w:style w:type="paragraph" w:styleId="Header">
    <w:name w:val="header"/>
    <w:basedOn w:val="Normal"/>
    <w:link w:val="HeaderChar"/>
    <w:uiPriority w:val="99"/>
    <w:semiHidden/>
    <w:unhideWhenUsed/>
    <w:rsid w:val="00072D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2D6C"/>
  </w:style>
  <w:style w:type="paragraph" w:styleId="Footer">
    <w:name w:val="footer"/>
    <w:basedOn w:val="Normal"/>
    <w:link w:val="FooterChar"/>
    <w:uiPriority w:val="99"/>
    <w:unhideWhenUsed/>
    <w:rsid w:val="00072D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817983">
      <w:bodyDiv w:val="1"/>
      <w:marLeft w:val="0"/>
      <w:marRight w:val="0"/>
      <w:marTop w:val="0"/>
      <w:marBottom w:val="0"/>
      <w:divBdr>
        <w:top w:val="none" w:sz="0" w:space="0" w:color="auto"/>
        <w:left w:val="none" w:sz="0" w:space="0" w:color="auto"/>
        <w:bottom w:val="none" w:sz="0" w:space="0" w:color="auto"/>
        <w:right w:val="none" w:sz="0" w:space="0" w:color="auto"/>
      </w:divBdr>
    </w:div>
    <w:div w:id="43597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1821</Words>
  <Characters>10385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Laura Knight</cp:lastModifiedBy>
  <cp:revision>2</cp:revision>
  <dcterms:created xsi:type="dcterms:W3CDTF">2021-03-08T12:50:00Z</dcterms:created>
  <dcterms:modified xsi:type="dcterms:W3CDTF">2021-03-08T12:50:00Z</dcterms:modified>
</cp:coreProperties>
</file>