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92685D" w:rsidP="0092685D" w:rsidRDefault="0092685D" w14:paraId="470C9090" w14:textId="0F46D81C">
      <w:pPr>
        <w:jc w:val="right"/>
      </w:pPr>
      <w:r>
        <w:t>Michelle Jarrett</w:t>
      </w:r>
    </w:p>
    <w:p w:rsidR="0092685D" w:rsidP="0092685D" w:rsidRDefault="004D10EF" w14:paraId="68C59F4C" w14:textId="062A22FA">
      <w:pPr>
        <w:jc w:val="right"/>
      </w:pPr>
      <w:r>
        <w:rPr>
          <w:noProof/>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0" behindDoc="0" locked="0" layoutInCell="1" allowOverlap="1" wp14:anchorId="1240689E" wp14:editId="2E90EB07">
                <wp:simplePos xmlns:wp="http://schemas.openxmlformats.org/drawingml/2006/wordprocessingDrawing" x="0" y="0"/>
                <wp:positionH xmlns:wp="http://schemas.openxmlformats.org/drawingml/2006/wordprocessingDrawing" relativeFrom="column">
                  <wp:posOffset>469900</wp:posOffset>
                </wp:positionH>
                <wp:positionV xmlns:wp="http://schemas.openxmlformats.org/drawingml/2006/wordprocessingDrawing" relativeFrom="paragraph">
                  <wp:posOffset>120650</wp:posOffset>
                </wp:positionV>
                <wp:extent cx="4552950" cy="2419350"/>
                <wp:effectExtent l="0" t="0" r="19050" b="19050"/>
                <wp:wrapNone xmlns:wp="http://schemas.openxmlformats.org/drawingml/2006/wordprocessingDrawing"/>
                <wp:docPr xmlns:wp="http://schemas.openxmlformats.org/drawingml/2006/wordprocessingDrawing" id="712177401" name="Oval 71217740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552950" cy="2419350"/>
                          <a:chOff x="0" y="0"/>
                          <a:chExt cx="4552950" cy="2419350"/>
                        </a:xfrm>
                      </wpg:grpSpPr>
                      <wps:wsp xmlns:wps="http://schemas.microsoft.com/office/word/2010/wordprocessingShape">
                        <wps:cNvPr id="2" name="Oval 2"/>
                        <wps:cNvSpPr/>
                        <wps:spPr>
                          <a:xfrm>
                            <a:off x="0" y="0"/>
                            <a:ext cx="4552950" cy="2419350"/>
                          </a:xfrm>
                          <a:prstGeom prst="ellipse">
                            <a:avLst/>
                          </a:prstGeom>
                          <a:solidFill>
                            <a:schemeClr val="accent6"/>
                          </a:solidFill>
                          <a:ln/>
                        </wps:spPr>
                        <wps:style>
                          <a:lnRef idx="2">
                            <a:schemeClr val="accent1">
                              <a:shade val="15000"/>
                            </a:schemeClr>
                          </a:lnRef>
                          <a:fillRef idx="1">
                            <a:schemeClr val="accent1"/>
                          </a:fillRef>
                          <a:effectRef idx="0">
                            <a:scrgbClr r="0" g="0" b="0"/>
                          </a:effectRef>
                          <a:fontRef idx="minor">
                            <a:schemeClr val="lt1"/>
                          </a:fontRef>
                        </wps:style>
                        <wps:txbx>
                          <w:txbxContent>
                            <w:p w:rsidR="00B06297" w:rsidP="00B06297" w:rsidRDefault="00B06297">
                              <w:pPr>
                                <w:spacing w:line="256" w:lineRule="auto"/>
                                <w:jc w:val="center"/>
                                <w:rPr>
                                  <w:rFonts w:ascii="Comic Sans MS" w:hAnsi="Comic Sans MS"/>
                                  <w:color w:val="FFFFFF" w:themeColor="light1"/>
                                  <w:kern w:val="0"/>
                                  <w:sz w:val="56"/>
                                  <w:szCs w:val="56"/>
                                  <w14:ligatures xmlns:w14="http://schemas.microsoft.com/office/word/2010/wordml" w14:val="none"/>
                                </w:rPr>
                              </w:pPr>
                              <w:r>
                                <w:rPr>
                                  <w:rFonts w:ascii="Comic Sans MS" w:hAnsi="Comic Sans MS"/>
                                  <w:color w:val="FFFFFF" w:themeColor="light1"/>
                                  <w:sz w:val="56"/>
                                  <w:szCs w:val="56"/>
                                </w:rPr>
                                <w:t>Exceptional Care in the First 1000 Days.</w:t>
                              </w:r>
                            </w:p>
                          </w:txbxContent>
                        </wps:txbx>
                        <wps:bodyPr spcFirstLastPara="0" wrap="square" lIns="91440" tIns="45720" rIns="91440" bIns="45720" anchor="ctr">
                          <a:noAutofit/>
                        </wps:bodyPr>
                      </wps:wsp>
                      <wps:wsp xmlns:wps="http://schemas.microsoft.com/office/word/2010/wordprocessingShape">
                        <wps:cNvPr id="3" name="Rectangle 3"/>
                        <wps:cNvSpPr/>
                        <wps:spPr>
                          <a:xfrm>
                            <a:off x="1241425" y="628650"/>
                            <a:ext cx="9525" cy="9525"/>
                          </a:xfrm>
                          <a:prstGeom prst="rect">
                            <a:avLst/>
                          </a:prstGeom>
                          <a:solidFill>
                            <a:schemeClr val="accent6"/>
                          </a:solidFill>
                          <a:ln>
                            <a:solidFill>
                              <a:srgbClr val="000000"/>
                            </a:solidFill>
                          </a:ln>
                        </wps:spPr>
                        <wps:bodyPr anchor="t"/>
                      </wps:wsp>
                    </wpg:wg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0092685D">
        <w:rPr/>
        <w:t>2125271</w:t>
      </w:r>
    </w:p>
    <w:p w:rsidR="0092685D" w:rsidP="0092685D" w:rsidRDefault="0092685D" w14:paraId="10022B04" w14:textId="397CDCA9">
      <w:pPr>
        <w:jc w:val="right"/>
      </w:pPr>
      <w:r>
        <w:t>ECEY4005</w:t>
      </w:r>
    </w:p>
    <w:p w:rsidR="004D10EF" w:rsidRDefault="004D10EF" w14:paraId="2207C1DD" w14:textId="77777777"/>
    <w:p w:rsidR="004D10EF" w:rsidRDefault="004D10EF" w14:paraId="3D6A86D5" w14:textId="77777777"/>
    <w:p w:rsidR="004D10EF" w:rsidRDefault="004D10EF" w14:paraId="779AF7D7" w14:textId="77777777"/>
    <w:p w:rsidR="004D10EF" w:rsidRDefault="004D10EF" w14:paraId="4916C3E1" w14:textId="77777777"/>
    <w:p w:rsidR="004D10EF" w:rsidRDefault="004D10EF" w14:paraId="133B9E00" w14:textId="77777777"/>
    <w:p w:rsidR="004D10EF" w:rsidRDefault="004D10EF" w14:paraId="519AC54B" w14:textId="77777777"/>
    <w:p w:rsidR="004D10EF" w:rsidRDefault="004D10EF" w14:paraId="56CE6A0F" w14:textId="77777777"/>
    <w:p w:rsidR="004D10EF" w:rsidRDefault="004D10EF" w14:paraId="534C0D23" w14:textId="77777777"/>
    <w:p w:rsidR="004D10EF" w:rsidRDefault="004D10EF" w14:paraId="5E29D68D" w14:textId="77777777"/>
    <w:p w:rsidR="004D10EF" w:rsidRDefault="004D10EF" w14:paraId="0082C9D4" w14:textId="77777777"/>
    <w:p w:rsidR="0092685D" w:rsidRDefault="004D10EF" w14:paraId="27C73521" w14:textId="7FEAEDB5">
      <w:r>
        <w:rPr>
          <w:noProof/>
        </w:rPr>
        <w:drawing>
          <wp:inline distT="0" distB="0" distL="0" distR="0" wp14:anchorId="01514F42" wp14:editId="70A3B1A5">
            <wp:extent cx="5721350" cy="3778250"/>
            <wp:effectExtent l="0" t="0" r="0" b="0"/>
            <wp:docPr id="1200957285" name="Picture 1200957285" descr="Child development – Why the first 1,000 days of children’s lives matter m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development – Why the first 1,000 days of children’s lives matter mo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8663" cy="3796287"/>
                    </a:xfrm>
                    <a:prstGeom prst="rect">
                      <a:avLst/>
                    </a:prstGeom>
                    <a:noFill/>
                    <a:ln>
                      <a:noFill/>
                    </a:ln>
                  </pic:spPr>
                </pic:pic>
              </a:graphicData>
            </a:graphic>
          </wp:inline>
        </w:drawing>
      </w:r>
      <w:r>
        <w:t>Teach Early Years (2000) Image 1</w:t>
      </w:r>
      <w:r w:rsidR="0092685D">
        <w:br w:type="page"/>
      </w:r>
    </w:p>
    <w:p w:rsidR="0092685D" w:rsidP="006C232B" w:rsidRDefault="006C232B" w14:paraId="74DB6B63" w14:textId="7E1CC54D">
      <w:pPr>
        <w:jc w:val="center"/>
        <w:rPr>
          <w:rFonts w:ascii="Broadway" w:hAnsi="Broadway"/>
          <w:color w:val="70AD47" w:themeColor="accent6"/>
          <w:sz w:val="144"/>
          <w:szCs w:val="144"/>
        </w:rPr>
      </w:pPr>
      <w:r w:rsidRPr="006C232B">
        <w:rPr>
          <w:rFonts w:ascii="Broadway" w:hAnsi="Broadway"/>
          <w:color w:val="70AD47" w:themeColor="accent6"/>
          <w:sz w:val="144"/>
          <w:szCs w:val="144"/>
        </w:rPr>
        <w:t>Contents Page</w:t>
      </w:r>
    </w:p>
    <w:p w:rsidR="006C232B" w:rsidP="006C232B" w:rsidRDefault="006C232B" w14:paraId="566CE90E" w14:textId="7C33D552">
      <w:pPr>
        <w:rPr>
          <w:rFonts w:ascii="Broadway" w:hAnsi="Broadway"/>
          <w:color w:val="70AD47" w:themeColor="accent6"/>
          <w:sz w:val="28"/>
          <w:szCs w:val="28"/>
        </w:rPr>
      </w:pPr>
      <w:r w:rsidRPr="7A0D60E5" w:rsidR="006C232B">
        <w:rPr>
          <w:rFonts w:ascii="Broadway" w:hAnsi="Broadway"/>
          <w:color w:val="70AD47" w:themeColor="accent6" w:themeTint="FF" w:themeShade="FF"/>
          <w:sz w:val="28"/>
          <w:szCs w:val="28"/>
        </w:rPr>
        <w:t>Introduction</w:t>
      </w:r>
      <w:r>
        <w:tab/>
      </w:r>
      <w:r>
        <w:tab/>
      </w:r>
      <w:r>
        <w:tab/>
      </w:r>
      <w:r>
        <w:tab/>
      </w:r>
      <w:r>
        <w:tab/>
      </w:r>
      <w:r w:rsidRPr="7A0D60E5" w:rsidR="006C232B">
        <w:rPr>
          <w:rFonts w:ascii="Broadway" w:hAnsi="Broadway"/>
          <w:color w:val="70AD47" w:themeColor="accent6" w:themeTint="FF" w:themeShade="FF"/>
          <w:sz w:val="28"/>
          <w:szCs w:val="28"/>
        </w:rPr>
        <w:t>Page</w:t>
      </w:r>
      <w:r w:rsidRPr="7A0D60E5" w:rsidR="73FDB659">
        <w:rPr>
          <w:rFonts w:ascii="Broadway" w:hAnsi="Broadway"/>
          <w:color w:val="70AD47" w:themeColor="accent6" w:themeTint="FF" w:themeShade="FF"/>
          <w:sz w:val="28"/>
          <w:szCs w:val="28"/>
        </w:rPr>
        <w:t xml:space="preserve"> </w:t>
      </w:r>
      <w:r w:rsidRPr="7A0D60E5" w:rsidR="27912745">
        <w:rPr>
          <w:rFonts w:ascii="Broadway" w:hAnsi="Broadway"/>
          <w:color w:val="70AD47" w:themeColor="accent6" w:themeTint="FF" w:themeShade="FF"/>
          <w:sz w:val="28"/>
          <w:szCs w:val="28"/>
        </w:rPr>
        <w:t>3-4</w:t>
      </w:r>
    </w:p>
    <w:p w:rsidR="006C232B" w:rsidP="006C232B" w:rsidRDefault="006C232B" w14:paraId="473EE320" w14:textId="77777777">
      <w:pPr>
        <w:rPr>
          <w:rFonts w:ascii="Broadway" w:hAnsi="Broadway"/>
          <w:color w:val="70AD47" w:themeColor="accent6"/>
          <w:sz w:val="28"/>
          <w:szCs w:val="28"/>
        </w:rPr>
      </w:pPr>
    </w:p>
    <w:p w:rsidR="006C232B" w:rsidP="006C232B" w:rsidRDefault="00561C1C" w14:paraId="215E93C7" w14:textId="0686D905">
      <w:pPr>
        <w:rPr>
          <w:rFonts w:ascii="Broadway" w:hAnsi="Broadway"/>
          <w:color w:val="70AD47" w:themeColor="accent6"/>
          <w:sz w:val="28"/>
          <w:szCs w:val="28"/>
        </w:rPr>
      </w:pPr>
      <w:r w:rsidRPr="7A0D60E5" w:rsidR="00561C1C">
        <w:rPr>
          <w:rFonts w:ascii="Broadway" w:hAnsi="Broadway"/>
          <w:color w:val="70AD47" w:themeColor="accent6" w:themeTint="FF" w:themeShade="FF"/>
          <w:sz w:val="28"/>
          <w:szCs w:val="28"/>
        </w:rPr>
        <w:t>What is Exceptional Care?</w:t>
      </w:r>
      <w:r w:rsidRPr="7A0D60E5" w:rsidR="7E0BE311">
        <w:rPr>
          <w:rFonts w:ascii="Broadway" w:hAnsi="Broadway"/>
          <w:color w:val="70AD47" w:themeColor="accent6" w:themeTint="FF" w:themeShade="FF"/>
          <w:sz w:val="28"/>
          <w:szCs w:val="28"/>
        </w:rPr>
        <w:t xml:space="preserve"> </w:t>
      </w:r>
      <w:r>
        <w:tab/>
      </w:r>
      <w:r>
        <w:tab/>
      </w:r>
      <w:r w:rsidRPr="7A0D60E5" w:rsidR="006C232B">
        <w:rPr>
          <w:rFonts w:ascii="Broadway" w:hAnsi="Broadway"/>
          <w:color w:val="70AD47" w:themeColor="accent6" w:themeTint="FF" w:themeShade="FF"/>
          <w:sz w:val="28"/>
          <w:szCs w:val="28"/>
        </w:rPr>
        <w:t>Page</w:t>
      </w:r>
      <w:r w:rsidRPr="7A0D60E5" w:rsidR="13B8108D">
        <w:rPr>
          <w:rFonts w:ascii="Broadway" w:hAnsi="Broadway"/>
          <w:color w:val="70AD47" w:themeColor="accent6" w:themeTint="FF" w:themeShade="FF"/>
          <w:sz w:val="28"/>
          <w:szCs w:val="28"/>
        </w:rPr>
        <w:t xml:space="preserve"> 4-5</w:t>
      </w:r>
    </w:p>
    <w:p w:rsidR="006C232B" w:rsidP="006C232B" w:rsidRDefault="006C232B" w14:paraId="4A251117" w14:textId="77777777">
      <w:pPr>
        <w:rPr>
          <w:rFonts w:ascii="Broadway" w:hAnsi="Broadway"/>
          <w:color w:val="70AD47" w:themeColor="accent6"/>
          <w:sz w:val="28"/>
          <w:szCs w:val="28"/>
        </w:rPr>
      </w:pPr>
    </w:p>
    <w:p w:rsidR="006C232B" w:rsidP="006C232B" w:rsidRDefault="006C232B" w14:paraId="68907CA5" w14:textId="5B9D5661">
      <w:pPr>
        <w:rPr>
          <w:rFonts w:ascii="Broadway" w:hAnsi="Broadway"/>
          <w:color w:val="70AD47" w:themeColor="accent6"/>
          <w:sz w:val="28"/>
          <w:szCs w:val="28"/>
        </w:rPr>
      </w:pPr>
      <w:r w:rsidRPr="7A0D60E5" w:rsidR="006C232B">
        <w:rPr>
          <w:rFonts w:ascii="Broadway" w:hAnsi="Broadway"/>
          <w:color w:val="70AD47" w:themeColor="accent6" w:themeTint="FF" w:themeShade="FF"/>
          <w:sz w:val="28"/>
          <w:szCs w:val="28"/>
        </w:rPr>
        <w:t>Professional Partnerships</w:t>
      </w:r>
      <w:r>
        <w:tab/>
      </w:r>
      <w:r>
        <w:tab/>
      </w:r>
      <w:r w:rsidRPr="7A0D60E5" w:rsidR="006C232B">
        <w:rPr>
          <w:rFonts w:ascii="Broadway" w:hAnsi="Broadway"/>
          <w:color w:val="70AD47" w:themeColor="accent6" w:themeTint="FF" w:themeShade="FF"/>
          <w:sz w:val="28"/>
          <w:szCs w:val="28"/>
        </w:rPr>
        <w:t>Page</w:t>
      </w:r>
      <w:r w:rsidRPr="7A0D60E5" w:rsidR="01A21B1D">
        <w:rPr>
          <w:rFonts w:ascii="Broadway" w:hAnsi="Broadway"/>
          <w:color w:val="70AD47" w:themeColor="accent6" w:themeTint="FF" w:themeShade="FF"/>
          <w:sz w:val="28"/>
          <w:szCs w:val="28"/>
        </w:rPr>
        <w:t xml:space="preserve"> 6-8</w:t>
      </w:r>
    </w:p>
    <w:p w:rsidR="006C232B" w:rsidP="006C232B" w:rsidRDefault="006C232B" w14:paraId="21B824C4" w14:textId="77777777">
      <w:pPr>
        <w:rPr>
          <w:rFonts w:ascii="Broadway" w:hAnsi="Broadway"/>
          <w:color w:val="70AD47" w:themeColor="accent6"/>
          <w:sz w:val="28"/>
          <w:szCs w:val="28"/>
        </w:rPr>
      </w:pPr>
    </w:p>
    <w:p w:rsidR="006C232B" w:rsidP="006C232B" w:rsidRDefault="006C232B" w14:paraId="3B29D3B2" w14:textId="3A14C0F2">
      <w:pPr>
        <w:rPr>
          <w:rFonts w:ascii="Broadway" w:hAnsi="Broadway"/>
          <w:color w:val="70AD47" w:themeColor="accent6"/>
          <w:sz w:val="28"/>
          <w:szCs w:val="28"/>
        </w:rPr>
      </w:pPr>
      <w:r w:rsidRPr="7A0D60E5" w:rsidR="006C232B">
        <w:rPr>
          <w:rFonts w:ascii="Broadway" w:hAnsi="Broadway"/>
          <w:color w:val="70AD47" w:themeColor="accent6" w:themeTint="FF" w:themeShade="FF"/>
          <w:sz w:val="28"/>
          <w:szCs w:val="28"/>
        </w:rPr>
        <w:t>Challenges</w:t>
      </w:r>
      <w:r>
        <w:tab/>
      </w:r>
      <w:r>
        <w:tab/>
      </w:r>
      <w:r>
        <w:tab/>
      </w:r>
      <w:r>
        <w:tab/>
      </w:r>
      <w:r>
        <w:tab/>
      </w:r>
      <w:r w:rsidRPr="7A0D60E5" w:rsidR="006C232B">
        <w:rPr>
          <w:rFonts w:ascii="Broadway" w:hAnsi="Broadway"/>
          <w:color w:val="70AD47" w:themeColor="accent6" w:themeTint="FF" w:themeShade="FF"/>
          <w:sz w:val="28"/>
          <w:szCs w:val="28"/>
        </w:rPr>
        <w:t>Page</w:t>
      </w:r>
      <w:r w:rsidRPr="7A0D60E5" w:rsidR="20C7C94A">
        <w:rPr>
          <w:rFonts w:ascii="Broadway" w:hAnsi="Broadway"/>
          <w:color w:val="70AD47" w:themeColor="accent6" w:themeTint="FF" w:themeShade="FF"/>
          <w:sz w:val="28"/>
          <w:szCs w:val="28"/>
        </w:rPr>
        <w:t xml:space="preserve"> 8-10</w:t>
      </w:r>
    </w:p>
    <w:p w:rsidR="006C232B" w:rsidP="006C232B" w:rsidRDefault="006C232B" w14:paraId="02435BDE" w14:textId="77777777">
      <w:pPr>
        <w:rPr>
          <w:rFonts w:ascii="Broadway" w:hAnsi="Broadway"/>
          <w:color w:val="70AD47" w:themeColor="accent6"/>
          <w:sz w:val="28"/>
          <w:szCs w:val="28"/>
        </w:rPr>
      </w:pPr>
    </w:p>
    <w:p w:rsidR="006C232B" w:rsidP="006C232B" w:rsidRDefault="006C232B" w14:paraId="0A7E5954" w14:textId="23E09A31">
      <w:pPr>
        <w:rPr>
          <w:rFonts w:ascii="Broadway" w:hAnsi="Broadway"/>
          <w:color w:val="70AD47" w:themeColor="accent6"/>
          <w:sz w:val="28"/>
          <w:szCs w:val="28"/>
        </w:rPr>
      </w:pPr>
      <w:r w:rsidRPr="7A0D60E5" w:rsidR="006C232B">
        <w:rPr>
          <w:rFonts w:ascii="Broadway" w:hAnsi="Broadway"/>
          <w:color w:val="70AD47" w:themeColor="accent6" w:themeTint="FF" w:themeShade="FF"/>
          <w:sz w:val="28"/>
          <w:szCs w:val="28"/>
        </w:rPr>
        <w:t>P</w:t>
      </w:r>
      <w:r w:rsidRPr="7A0D60E5" w:rsidR="559E8DDB">
        <w:rPr>
          <w:rFonts w:ascii="Broadway" w:hAnsi="Broadway"/>
          <w:color w:val="70AD47" w:themeColor="accent6" w:themeTint="FF" w:themeShade="FF"/>
          <w:sz w:val="28"/>
          <w:szCs w:val="28"/>
        </w:rPr>
        <w:t>lay</w:t>
      </w:r>
      <w:r>
        <w:tab/>
      </w:r>
      <w:r>
        <w:tab/>
      </w:r>
      <w:r>
        <w:tab/>
      </w:r>
      <w:r>
        <w:tab/>
      </w:r>
      <w:r>
        <w:tab/>
      </w:r>
      <w:r>
        <w:tab/>
      </w:r>
      <w:r>
        <w:tab/>
      </w:r>
      <w:r w:rsidRPr="7A0D60E5" w:rsidR="006C232B">
        <w:rPr>
          <w:rFonts w:ascii="Broadway" w:hAnsi="Broadway"/>
          <w:color w:val="70AD47" w:themeColor="accent6" w:themeTint="FF" w:themeShade="FF"/>
          <w:sz w:val="28"/>
          <w:szCs w:val="28"/>
        </w:rPr>
        <w:t>Page</w:t>
      </w:r>
      <w:r w:rsidRPr="7A0D60E5" w:rsidR="45AC62CC">
        <w:rPr>
          <w:rFonts w:ascii="Broadway" w:hAnsi="Broadway"/>
          <w:color w:val="70AD47" w:themeColor="accent6" w:themeTint="FF" w:themeShade="FF"/>
          <w:sz w:val="28"/>
          <w:szCs w:val="28"/>
        </w:rPr>
        <w:t xml:space="preserve"> 10-12</w:t>
      </w:r>
    </w:p>
    <w:p w:rsidR="7A0D60E5" w:rsidP="7A0D60E5" w:rsidRDefault="7A0D60E5" w14:paraId="77614CDD" w14:textId="6DA317EF">
      <w:pPr>
        <w:pStyle w:val="Normal"/>
        <w:rPr>
          <w:rFonts w:ascii="Broadway" w:hAnsi="Broadway"/>
          <w:color w:val="70AD47" w:themeColor="accent6" w:themeTint="FF" w:themeShade="FF"/>
          <w:sz w:val="28"/>
          <w:szCs w:val="28"/>
        </w:rPr>
      </w:pPr>
    </w:p>
    <w:p w:rsidR="6D1FE0EE" w:rsidP="7A0D60E5" w:rsidRDefault="6D1FE0EE" w14:paraId="751A0C92" w14:textId="37FD8AD2">
      <w:pPr>
        <w:pStyle w:val="Normal"/>
        <w:rPr>
          <w:rFonts w:ascii="Broadway" w:hAnsi="Broadway"/>
          <w:color w:val="70AD47" w:themeColor="accent6" w:themeTint="FF" w:themeShade="FF"/>
          <w:sz w:val="28"/>
          <w:szCs w:val="28"/>
        </w:rPr>
      </w:pPr>
      <w:r w:rsidRPr="7A0D60E5" w:rsidR="6D1FE0EE">
        <w:rPr>
          <w:rFonts w:ascii="Broadway" w:hAnsi="Broadway"/>
          <w:color w:val="70AD47" w:themeColor="accent6" w:themeTint="FF" w:themeShade="FF"/>
          <w:sz w:val="28"/>
          <w:szCs w:val="28"/>
        </w:rPr>
        <w:t>References</w:t>
      </w:r>
      <w:r>
        <w:tab/>
      </w:r>
      <w:r>
        <w:tab/>
      </w:r>
      <w:r>
        <w:tab/>
      </w:r>
      <w:r>
        <w:tab/>
      </w:r>
      <w:r>
        <w:tab/>
      </w:r>
      <w:r w:rsidRPr="7A0D60E5" w:rsidR="6D1FE0EE">
        <w:rPr>
          <w:rFonts w:ascii="Broadway" w:hAnsi="Broadway"/>
          <w:color w:val="70AD47" w:themeColor="accent6" w:themeTint="FF" w:themeShade="FF"/>
          <w:sz w:val="28"/>
          <w:szCs w:val="28"/>
        </w:rPr>
        <w:t>Page</w:t>
      </w:r>
    </w:p>
    <w:p w:rsidR="006C232B" w:rsidP="006C232B" w:rsidRDefault="006C232B" w14:paraId="32E2B118" w14:textId="3DB0BB83">
      <w:pPr>
        <w:rPr>
          <w:rFonts w:ascii="Broadway" w:hAnsi="Broadway"/>
          <w:color w:val="70AD47" w:themeColor="accent6"/>
          <w:sz w:val="28"/>
          <w:szCs w:val="28"/>
        </w:rPr>
      </w:pPr>
      <w:r>
        <w:rPr>
          <w:rFonts w:ascii="Broadway" w:hAnsi="Broadway"/>
          <w:color w:val="70AD47" w:themeColor="accent6"/>
          <w:sz w:val="28"/>
          <w:szCs w:val="28"/>
        </w:rPr>
        <w:t xml:space="preserve"> </w:t>
      </w:r>
    </w:p>
    <w:p w:rsidR="005E3C19" w:rsidP="005E3C19" w:rsidRDefault="005E3C19" w14:paraId="40617123" w14:textId="1DF97336">
      <w:pPr>
        <w:jc w:val="right"/>
        <w:rPr>
          <w:rFonts w:ascii="Broadway" w:hAnsi="Broadway"/>
          <w:color w:val="70AD47" w:themeColor="accent6"/>
          <w:sz w:val="28"/>
          <w:szCs w:val="28"/>
        </w:rPr>
      </w:pPr>
      <w:r>
        <w:rPr>
          <w:noProof/>
        </w:rPr>
        <w:drawing>
          <wp:inline distT="0" distB="0" distL="0" distR="0" wp14:anchorId="05C5A2E1" wp14:editId="0B87A417">
            <wp:extent cx="2413437" cy="2398896"/>
            <wp:effectExtent l="0" t="0" r="6350" b="0"/>
            <wp:docPr id="1382934666" name="Picture 1382934666" descr="The First 1000 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irst 1000 Day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2788" cy="2447949"/>
                    </a:xfrm>
                    <a:prstGeom prst="rect">
                      <a:avLst/>
                    </a:prstGeom>
                    <a:noFill/>
                    <a:ln>
                      <a:noFill/>
                    </a:ln>
                  </pic:spPr>
                </pic:pic>
              </a:graphicData>
            </a:graphic>
          </wp:inline>
        </w:drawing>
      </w:r>
    </w:p>
    <w:p w:rsidRPr="005E3C19" w:rsidR="005E3C19" w:rsidP="005E3C19" w:rsidRDefault="005E3C19" w14:paraId="65D392C0" w14:textId="39301D6B">
      <w:pPr>
        <w:jc w:val="right"/>
        <w:rPr>
          <w:rFonts w:ascii="Comic Sans MS" w:hAnsi="Comic Sans MS"/>
          <w:sz w:val="16"/>
          <w:szCs w:val="16"/>
        </w:rPr>
      </w:pPr>
      <w:r w:rsidRPr="144B503F" w:rsidR="005E3C19">
        <w:rPr>
          <w:rFonts w:ascii="Comic Sans MS" w:hAnsi="Comic Sans MS"/>
          <w:sz w:val="16"/>
          <w:szCs w:val="16"/>
        </w:rPr>
        <w:t>Logans Plate (</w:t>
      </w:r>
      <w:r w:rsidRPr="144B503F" w:rsidR="4FDF5C1D">
        <w:rPr>
          <w:rFonts w:ascii="Comic Sans MS" w:hAnsi="Comic Sans MS"/>
          <w:sz w:val="16"/>
          <w:szCs w:val="16"/>
        </w:rPr>
        <w:t>2019) Image</w:t>
      </w:r>
      <w:r w:rsidRPr="144B503F" w:rsidR="005E3C19">
        <w:rPr>
          <w:rFonts w:ascii="Comic Sans MS" w:hAnsi="Comic Sans MS"/>
          <w:sz w:val="16"/>
          <w:szCs w:val="16"/>
        </w:rPr>
        <w:t xml:space="preserve"> 2</w:t>
      </w:r>
    </w:p>
    <w:p w:rsidR="006C232B" w:rsidP="006C232B" w:rsidRDefault="006C232B" w14:paraId="36DE310E" w14:textId="77777777">
      <w:pPr>
        <w:rPr>
          <w:rFonts w:ascii="Broadway" w:hAnsi="Broadway"/>
          <w:color w:val="70AD47" w:themeColor="accent6"/>
          <w:sz w:val="28"/>
          <w:szCs w:val="28"/>
        </w:rPr>
      </w:pPr>
    </w:p>
    <w:p w:rsidRPr="006C232B" w:rsidR="006C232B" w:rsidP="006C232B" w:rsidRDefault="006C232B" w14:paraId="5625CD84" w14:textId="6D68B723">
      <w:pPr>
        <w:jc w:val="right"/>
        <w:rPr>
          <w:rFonts w:ascii="Broadway" w:hAnsi="Broadway"/>
          <w:color w:val="70AD47" w:themeColor="accent6"/>
          <w:sz w:val="28"/>
          <w:szCs w:val="28"/>
        </w:rPr>
      </w:pPr>
    </w:p>
    <w:p w:rsidR="005E3C19" w:rsidP="005E3C19" w:rsidRDefault="005E3C19" w14:paraId="220D9C10" w14:textId="77777777">
      <w:pPr>
        <w:rPr>
          <w:rFonts w:ascii="Comic Sans MS" w:hAnsi="Comic Sans MS"/>
          <w:b/>
          <w:bCs/>
          <w:sz w:val="32"/>
          <w:szCs w:val="32"/>
        </w:rPr>
      </w:pPr>
      <w:r w:rsidRPr="005E3C19">
        <w:rPr>
          <w:rFonts w:ascii="Comic Sans MS" w:hAnsi="Comic Sans MS"/>
          <w:b/>
          <w:bCs/>
          <w:color w:val="70AD47" w:themeColor="accent6"/>
          <w:sz w:val="32"/>
          <w:szCs w:val="32"/>
        </w:rPr>
        <w:t xml:space="preserve">Introduction </w:t>
      </w:r>
    </w:p>
    <w:p w:rsidRPr="000F734A" w:rsidR="005E3C19" w:rsidP="005E3C19" w:rsidRDefault="005E3C19" w14:paraId="410A9E5A" w14:textId="77777777">
      <w:pPr>
        <w:rPr>
          <w:rFonts w:ascii="Comic Sans MS" w:hAnsi="Comic Sans MS"/>
        </w:rPr>
      </w:pPr>
      <w:r w:rsidRPr="000F734A">
        <w:rPr>
          <w:rFonts w:ascii="Comic Sans MS" w:hAnsi="Comic Sans MS"/>
        </w:rPr>
        <w:t>What are the first 1000 days?</w:t>
      </w:r>
    </w:p>
    <w:p w:rsidRPr="000F734A" w:rsidR="005E3C19" w:rsidP="005E3C19" w:rsidRDefault="005E3C19" w14:paraId="4F69CC0B" w14:textId="77777777">
      <w:pPr>
        <w:ind w:left="720"/>
        <w:rPr>
          <w:rFonts w:ascii="Comic Sans MS" w:hAnsi="Comic Sans MS"/>
        </w:rPr>
      </w:pPr>
      <w:r w:rsidRPr="000F734A">
        <w:rPr>
          <w:rFonts w:ascii="Comic Sans MS" w:hAnsi="Comic Sans MS"/>
        </w:rPr>
        <w:t>The first 1,000 days, from conception to two years of age, is a critical period of growth and development. Exposures to dietary, environmental, hormonal, and other stressors during this window have been associated with an increased risk of poor health outcomes, some of which are irreversible. (Karakochuk et al 2017)</w:t>
      </w:r>
    </w:p>
    <w:p w:rsidRPr="000F734A" w:rsidR="005E3C19" w:rsidP="005E3C19" w:rsidRDefault="005E3C19" w14:paraId="28C5AAAC" w14:textId="77777777">
      <w:pPr>
        <w:rPr>
          <w:rFonts w:ascii="Comic Sans MS" w:hAnsi="Comic Sans MS"/>
        </w:rPr>
      </w:pPr>
      <w:r w:rsidRPr="000F734A">
        <w:rPr>
          <w:rFonts w:ascii="Comic Sans MS" w:hAnsi="Comic Sans MS"/>
        </w:rPr>
        <w:t>The first 1000 days encompass the prenatal period (pregnancy) and the first two years of a child's life. The first 1000 days is a critical period in human development that spans from conception to a child's second birthday. This period is widely viewed Penh (2019) as a crucial window of opportunity to shape a child's future health, growth, and cognitive development. The concept emphasizes the significance of proper nutrition, healthcare, and stimulation during this period.</w:t>
      </w:r>
    </w:p>
    <w:p w:rsidRPr="000F734A" w:rsidR="005E3C19" w:rsidP="005E3C19" w:rsidRDefault="005E3C19" w14:paraId="423158CF" w14:textId="2EA7F4F1">
      <w:pPr>
        <w:rPr>
          <w:rFonts w:ascii="Comic Sans MS" w:hAnsi="Comic Sans MS"/>
        </w:rPr>
      </w:pPr>
      <w:r w:rsidRPr="33418A90" w:rsidR="005E3C19">
        <w:rPr>
          <w:rFonts w:ascii="Comic Sans MS" w:hAnsi="Comic Sans MS"/>
        </w:rPr>
        <w:t>Efforts to promote the well-being of mothers and children during the first 1000 days often focus on interventions such as prenatal care, proper maternal nutrition, breastfeeding support, and early childhood education. Recognizing the importance of this critical window, various health and development programs around the world prioriti</w:t>
      </w:r>
      <w:r w:rsidRPr="33418A90" w:rsidR="4E28DD7A">
        <w:rPr>
          <w:rFonts w:ascii="Comic Sans MS" w:hAnsi="Comic Sans MS"/>
        </w:rPr>
        <w:t>s</w:t>
      </w:r>
      <w:r w:rsidRPr="33418A90" w:rsidR="005E3C19">
        <w:rPr>
          <w:rFonts w:ascii="Comic Sans MS" w:hAnsi="Comic Sans MS"/>
        </w:rPr>
        <w:t xml:space="preserve">e interventions that target the first 1000 days to give children </w:t>
      </w:r>
      <w:r w:rsidRPr="33418A90" w:rsidR="005E3C19">
        <w:rPr>
          <w:rFonts w:ascii="Comic Sans MS" w:hAnsi="Comic Sans MS"/>
        </w:rPr>
        <w:t>a strong foundation</w:t>
      </w:r>
      <w:r w:rsidRPr="33418A90" w:rsidR="005E3C19">
        <w:rPr>
          <w:rFonts w:ascii="Comic Sans MS" w:hAnsi="Comic Sans MS"/>
        </w:rPr>
        <w:t xml:space="preserve"> for a healthy and productive life.</w:t>
      </w:r>
    </w:p>
    <w:p w:rsidRPr="000F734A" w:rsidR="00DE2DF7" w:rsidP="34F5420D" w:rsidRDefault="00DE2DF7" w14:paraId="1856EFF9" w14:textId="71D0050B">
      <w:pPr>
        <w:pStyle w:val="Normal"/>
        <w:rPr>
          <w:rFonts w:ascii="Comic Sans MS" w:hAnsi="Comic Sans MS"/>
        </w:rPr>
      </w:pPr>
      <w:r w:rsidRPr="34F5420D" w:rsidR="005E3C19">
        <w:rPr>
          <w:rFonts w:ascii="Comic Sans MS" w:hAnsi="Comic Sans MS"/>
        </w:rPr>
        <w:t>There are many factors that can negatively affect the first 1000 days such as stress, trauma, poor nutrition, and environment. (</w:t>
      </w:r>
      <w:r w:rsidRPr="34F5420D" w:rsidR="005E3C19">
        <w:rPr>
          <w:rFonts w:ascii="Comic Sans MS" w:hAnsi="Comic Sans MS"/>
        </w:rPr>
        <w:t>Pregancybirthbaby</w:t>
      </w:r>
      <w:r w:rsidRPr="34F5420D" w:rsidR="005E3C19">
        <w:rPr>
          <w:rFonts w:ascii="Comic Sans MS" w:hAnsi="Comic Sans MS"/>
        </w:rPr>
        <w:t xml:space="preserve"> 2021) and help should be sought to try and prevent this. </w:t>
      </w:r>
      <w:r w:rsidR="005E3C19">
        <w:drawing>
          <wp:anchor distT="0" distB="0" distL="114300" distR="114300" simplePos="0" relativeHeight="251658240" behindDoc="0" locked="0" layoutInCell="1" allowOverlap="1" wp14:editId="72800870" wp14:anchorId="475FF7D5">
            <wp:simplePos x="0" y="0"/>
            <wp:positionH relativeFrom="column">
              <wp:align>right</wp:align>
            </wp:positionH>
            <wp:positionV relativeFrom="paragraph">
              <wp:posOffset>0</wp:posOffset>
            </wp:positionV>
            <wp:extent cx="2383078" cy="1691217"/>
            <wp:effectExtent l="0" t="0" r="0" b="0"/>
            <wp:wrapSquare wrapText="bothSides"/>
            <wp:docPr id="1239860352" name="" title=""/>
            <wp:cNvGraphicFramePr>
              <a:graphicFrameLocks noChangeAspect="1"/>
            </wp:cNvGraphicFramePr>
            <a:graphic>
              <a:graphicData uri="http://schemas.openxmlformats.org/drawingml/2006/picture">
                <pic:pic>
                  <pic:nvPicPr>
                    <pic:cNvPr id="0" name=""/>
                    <pic:cNvPicPr/>
                  </pic:nvPicPr>
                  <pic:blipFill>
                    <a:blip r:embed="R1bb930e8f60d4957">
                      <a:extLst>
                        <a:ext xmlns:a="http://schemas.openxmlformats.org/drawingml/2006/main" uri="{28A0092B-C50C-407E-A947-70E740481C1C}">
                          <a14:useLocalDpi val="0"/>
                        </a:ext>
                      </a:extLst>
                    </a:blip>
                    <a:stretch>
                      <a:fillRect/>
                    </a:stretch>
                  </pic:blipFill>
                  <pic:spPr>
                    <a:xfrm>
                      <a:off x="0" y="0"/>
                      <a:ext cx="2383078" cy="1691217"/>
                    </a:xfrm>
                    <a:prstGeom prst="rect">
                      <a:avLst/>
                    </a:prstGeom>
                  </pic:spPr>
                </pic:pic>
              </a:graphicData>
            </a:graphic>
            <wp14:sizeRelH relativeFrom="page">
              <wp14:pctWidth>0</wp14:pctWidth>
            </wp14:sizeRelH>
            <wp14:sizeRelV relativeFrom="page">
              <wp14:pctHeight>0</wp14:pctHeight>
            </wp14:sizeRelV>
          </wp:anchor>
        </w:drawing>
      </w:r>
      <w:r w:rsidRPr="34F5420D" w:rsidR="005E3C19">
        <w:rPr>
          <w:rFonts w:ascii="Comic Sans MS" w:hAnsi="Comic Sans MS"/>
        </w:rPr>
        <w:t>Without good health and nutrition</w:t>
      </w:r>
      <w:r w:rsidRPr="34F5420D" w:rsidR="0D39C3EF">
        <w:rPr>
          <w:rFonts w:ascii="Comic Sans MS" w:hAnsi="Comic Sans MS"/>
        </w:rPr>
        <w:t>,</w:t>
      </w:r>
      <w:r w:rsidRPr="34F5420D" w:rsidR="005E3C19">
        <w:rPr>
          <w:rFonts w:ascii="Comic Sans MS" w:hAnsi="Comic Sans MS"/>
        </w:rPr>
        <w:t xml:space="preserve"> concerns can show themselves as frequent childhood illnesses, long term illness, poor mental health, stunted growth or even death.</w:t>
      </w:r>
    </w:p>
    <w:p w:rsidR="6D909EFA" w:rsidP="33418A90" w:rsidRDefault="6D909EFA" w14:paraId="5E88FFD4" w14:textId="128D4C23">
      <w:pPr>
        <w:pStyle w:val="Normal"/>
        <w:pBdr>
          <w:top w:val="single" w:color="000000" w:sz="4" w:space="4"/>
          <w:left w:val="single" w:color="000000" w:sz="4" w:space="4"/>
          <w:bottom w:val="single" w:color="000000" w:sz="4" w:space="4"/>
          <w:right w:val="single" w:color="000000" w:sz="4" w:space="4"/>
        </w:pBdr>
        <w:rPr>
          <w:rFonts w:ascii="Comic Sans MS" w:hAnsi="Comic Sans MS"/>
        </w:rPr>
      </w:pPr>
      <w:r w:rsidRPr="33418A90" w:rsidR="6D909EFA">
        <w:rPr>
          <w:rFonts w:ascii="Comic Sans MS" w:hAnsi="Comic Sans MS"/>
        </w:rPr>
        <w:t xml:space="preserve">                        </w:t>
      </w:r>
      <w:r w:rsidRPr="33418A90" w:rsidR="06915CF1">
        <w:rPr>
          <w:rFonts w:ascii="Comic Sans MS" w:hAnsi="Comic Sans MS"/>
        </w:rPr>
        <w:t xml:space="preserve">       </w:t>
      </w:r>
      <w:r w:rsidRPr="33418A90" w:rsidR="176DDADE">
        <w:rPr>
          <w:rFonts w:ascii="Comic Sans MS" w:hAnsi="Comic Sans MS"/>
        </w:rPr>
        <w:t xml:space="preserve">                                   </w:t>
      </w:r>
      <w:r w:rsidRPr="33418A90" w:rsidR="6D909EFA">
        <w:rPr>
          <w:rFonts w:ascii="Comic Sans MS" w:hAnsi="Comic Sans MS"/>
        </w:rPr>
        <w:t>Ausnutria</w:t>
      </w:r>
      <w:r w:rsidRPr="33418A90" w:rsidR="6D909EFA">
        <w:rPr>
          <w:rFonts w:ascii="Comic Sans MS" w:hAnsi="Comic Sans MS"/>
        </w:rPr>
        <w:t xml:space="preserve"> Nutrition </w:t>
      </w:r>
      <w:r w:rsidRPr="33418A90" w:rsidR="5BDA2416">
        <w:rPr>
          <w:rFonts w:ascii="Comic Sans MS" w:hAnsi="Comic Sans MS"/>
        </w:rPr>
        <w:t>Insitute (ND</w:t>
      </w:r>
      <w:r w:rsidRPr="33418A90" w:rsidR="6D909EFA">
        <w:rPr>
          <w:rFonts w:ascii="Comic Sans MS" w:hAnsi="Comic Sans MS"/>
        </w:rPr>
        <w:t>) Image 3</w:t>
      </w:r>
    </w:p>
    <w:p w:rsidR="00701FFD" w:rsidP="144B503F" w:rsidRDefault="007F2082" w14:paraId="29875600" w14:textId="3F4D3B12">
      <w:pPr>
        <w:pStyle w:val="Normal"/>
        <w:rPr>
          <w:rFonts w:ascii="Comic Sans MS" w:hAnsi="Comic Sans MS"/>
        </w:rPr>
      </w:pPr>
      <w:r w:rsidRPr="33418A90" w:rsidR="005E3C19">
        <w:rPr>
          <w:rFonts w:ascii="Comic Sans MS" w:hAnsi="Comic Sans MS"/>
        </w:rPr>
        <w:t>During the first 10</w:t>
      </w:r>
      <w:r w:rsidRPr="33418A90" w:rsidR="005E3C19">
        <w:rPr>
          <w:rFonts w:ascii="Comic Sans MS" w:hAnsi="Comic Sans MS"/>
        </w:rPr>
        <w:t xml:space="preserve">00 days, key developmental processes take place, including the formation and growth of vital organs, brain development, and the establishment </w:t>
      </w:r>
      <w:r w:rsidRPr="33418A90" w:rsidR="0D8430CE">
        <w:rPr>
          <w:rFonts w:ascii="Comic Sans MS" w:hAnsi="Comic Sans MS"/>
        </w:rPr>
        <w:t>of the</w:t>
      </w:r>
      <w:r w:rsidRPr="33418A90" w:rsidR="005E3C19">
        <w:rPr>
          <w:rFonts w:ascii="Comic Sans MS" w:hAnsi="Comic Sans MS"/>
        </w:rPr>
        <w:t xml:space="preserve"> immune system. Good nutrition, responsive caregiving, and a supportive environment are factors that contribute to </w:t>
      </w:r>
      <w:r w:rsidRPr="33418A90" w:rsidR="005E3C19">
        <w:rPr>
          <w:rFonts w:ascii="Comic Sans MS" w:hAnsi="Comic Sans MS"/>
        </w:rPr>
        <w:t>optimal</w:t>
      </w:r>
      <w:r w:rsidRPr="33418A90" w:rsidR="005E3C19">
        <w:rPr>
          <w:rFonts w:ascii="Comic Sans MS" w:hAnsi="Comic Sans MS"/>
        </w:rPr>
        <w:t xml:space="preserve"> development during this period. </w:t>
      </w:r>
      <w:r w:rsidRPr="33418A90" w:rsidR="005E3C19">
        <w:rPr>
          <w:rFonts w:ascii="Comic Sans MS" w:hAnsi="Comic Sans MS"/>
        </w:rPr>
        <w:t>To ensure that these key stages of development take place</w:t>
      </w:r>
      <w:r w:rsidRPr="33418A90" w:rsidR="6E5E4934">
        <w:rPr>
          <w:rFonts w:ascii="Comic Sans MS" w:hAnsi="Comic Sans MS"/>
        </w:rPr>
        <w:t>,</w:t>
      </w:r>
      <w:r w:rsidRPr="33418A90" w:rsidR="005E3C19">
        <w:rPr>
          <w:rFonts w:ascii="Comic Sans MS" w:hAnsi="Comic Sans MS"/>
        </w:rPr>
        <w:t xml:space="preserve"> steps can be taken </w:t>
      </w:r>
      <w:r w:rsidRPr="33418A90" w:rsidR="005E3C19">
        <w:rPr>
          <w:rFonts w:ascii="Comic Sans MS" w:hAnsi="Comic Sans MS"/>
        </w:rPr>
        <w:t>very early</w:t>
      </w:r>
      <w:r w:rsidRPr="33418A90" w:rsidR="005E3C19">
        <w:rPr>
          <w:rFonts w:ascii="Comic Sans MS" w:hAnsi="Comic Sans MS"/>
        </w:rPr>
        <w:t xml:space="preserve"> on</w:t>
      </w:r>
      <w:r w:rsidRPr="33418A90" w:rsidR="67209CAA">
        <w:rPr>
          <w:rFonts w:ascii="Comic Sans MS" w:hAnsi="Comic Sans MS"/>
        </w:rPr>
        <w:t>,</w:t>
      </w:r>
      <w:r w:rsidRPr="33418A90" w:rsidR="005E3C19">
        <w:rPr>
          <w:rFonts w:ascii="Comic Sans MS" w:hAnsi="Comic Sans MS"/>
        </w:rPr>
        <w:t xml:space="preserve"> even before conception, making sure that the mother is healthy. During pregnancy</w:t>
      </w:r>
      <w:r w:rsidRPr="33418A90" w:rsidR="772F7F19">
        <w:rPr>
          <w:rFonts w:ascii="Comic Sans MS" w:hAnsi="Comic Sans MS"/>
        </w:rPr>
        <w:t>,</w:t>
      </w:r>
      <w:r w:rsidRPr="33418A90" w:rsidR="005E3C19">
        <w:rPr>
          <w:rFonts w:ascii="Comic Sans MS" w:hAnsi="Comic Sans MS"/>
        </w:rPr>
        <w:t xml:space="preserve"> support can be given to allow the mother to eat well and </w:t>
      </w:r>
      <w:r w:rsidRPr="33418A90" w:rsidR="005E3C19">
        <w:rPr>
          <w:rFonts w:ascii="Comic Sans MS" w:hAnsi="Comic Sans MS"/>
        </w:rPr>
        <w:t>provide</w:t>
      </w:r>
      <w:r w:rsidRPr="33418A90" w:rsidR="005E3C19">
        <w:rPr>
          <w:rFonts w:ascii="Comic Sans MS" w:hAnsi="Comic Sans MS"/>
        </w:rPr>
        <w:t xml:space="preserve"> all the nutrients that the baby will need for vital first steps in their development. From birth until their second birthday the environment will play a factor in their physical development, this could be at home, outside</w:t>
      </w:r>
      <w:r w:rsidRPr="33418A90" w:rsidR="4EB1EFB3">
        <w:rPr>
          <w:rFonts w:ascii="Comic Sans MS" w:hAnsi="Comic Sans MS"/>
        </w:rPr>
        <w:t>,</w:t>
      </w:r>
      <w:r w:rsidRPr="33418A90" w:rsidR="005E3C19">
        <w:rPr>
          <w:rFonts w:ascii="Comic Sans MS" w:hAnsi="Comic Sans MS"/>
        </w:rPr>
        <w:t xml:space="preserve"> or in a nursery setting. </w:t>
      </w:r>
    </w:p>
    <w:p w:rsidRPr="007F2082" w:rsidR="005E3C19" w:rsidP="007F2082" w:rsidRDefault="005E3C19" w14:paraId="0A307EEE" w14:textId="05CB4E61">
      <w:r w:rsidRPr="33418A90" w:rsidR="005E3C19">
        <w:rPr>
          <w:rFonts w:ascii="Comic Sans MS" w:hAnsi="Comic Sans MS"/>
        </w:rPr>
        <w:t>The serve and return process can support development in areas such as physical and emotional as well as language (harvard.edu 2011). The serve and return can also support development of a healthy attachment and we know from Bowlby this can support areas of development (Pound P.44).</w:t>
      </w:r>
      <w:r w:rsidRPr="33418A90" w:rsidR="702E3082">
        <w:rPr>
          <w:rFonts w:ascii="Comic Sans MS" w:hAnsi="Comic Sans MS"/>
        </w:rPr>
        <w:t xml:space="preserve"> A secure attachment for the care giver may support in </w:t>
      </w:r>
      <w:r w:rsidRPr="33418A90" w:rsidR="702E3082">
        <w:rPr>
          <w:rFonts w:ascii="Comic Sans MS" w:hAnsi="Comic Sans MS"/>
        </w:rPr>
        <w:t>providing</w:t>
      </w:r>
      <w:r w:rsidRPr="33418A90" w:rsidR="702E3082">
        <w:rPr>
          <w:rFonts w:ascii="Comic Sans MS" w:hAnsi="Comic Sans MS"/>
        </w:rPr>
        <w:t xml:space="preserve"> exceptional care and meeting the needs of the child.</w:t>
      </w:r>
    </w:p>
    <w:p w:rsidR="005E3C19" w:rsidP="005E3C19" w:rsidRDefault="005E3C19" w14:paraId="018235A0" w14:textId="021742C4">
      <w:pPr>
        <w:rPr>
          <w:rFonts w:ascii="Comic Sans MS" w:hAnsi="Comic Sans MS"/>
        </w:rPr>
      </w:pPr>
      <w:r w:rsidRPr="33418A90" w:rsidR="005E3C19">
        <w:rPr>
          <w:rFonts w:ascii="Comic Sans MS" w:hAnsi="Comic Sans MS"/>
        </w:rPr>
        <w:t xml:space="preserve">The first 1000 days is a window of opportunity for influencing a child's long-term health, development, and overall well-being. </w:t>
      </w:r>
      <w:r w:rsidRPr="33418A90" w:rsidR="55E7397F">
        <w:rPr>
          <w:rFonts w:ascii="Comic Sans MS" w:hAnsi="Comic Sans MS"/>
        </w:rPr>
        <w:t>T</w:t>
      </w:r>
      <w:r w:rsidRPr="33418A90" w:rsidR="005E3C19">
        <w:rPr>
          <w:rFonts w:ascii="Comic Sans MS" w:hAnsi="Comic Sans MS"/>
        </w:rPr>
        <w:t xml:space="preserve">he first 1000 days </w:t>
      </w:r>
      <w:r w:rsidRPr="33418A90" w:rsidR="005E3C19">
        <w:rPr>
          <w:rFonts w:ascii="Comic Sans MS" w:hAnsi="Comic Sans MS"/>
        </w:rPr>
        <w:t>provide</w:t>
      </w:r>
      <w:r w:rsidRPr="33418A90" w:rsidR="005E3C19">
        <w:rPr>
          <w:rFonts w:ascii="Comic Sans MS" w:hAnsi="Comic Sans MS"/>
        </w:rPr>
        <w:t xml:space="preserve"> a unique opportunity to shape a foundation for a healthy and thriving life. Interventions and investments in maternal and child health during this period can have long-lasting benefits for individuals and societies.</w:t>
      </w:r>
    </w:p>
    <w:p w:rsidR="00561C1C" w:rsidP="00561C1C" w:rsidRDefault="00561C1C" w14:paraId="2AA02040" w14:textId="77777777">
      <w:pPr>
        <w:rPr>
          <w:b/>
          <w:bCs/>
        </w:rPr>
      </w:pPr>
    </w:p>
    <w:p w:rsidR="00561C1C" w:rsidP="00561C1C" w:rsidRDefault="00561C1C" w14:paraId="5C020998" w14:textId="4253460F">
      <w:pPr>
        <w:rPr>
          <w:rFonts w:ascii="Comic Sans MS" w:hAnsi="Comic Sans MS"/>
          <w:b/>
          <w:bCs/>
          <w:color w:val="70AD47" w:themeColor="accent6"/>
          <w:sz w:val="32"/>
          <w:szCs w:val="32"/>
        </w:rPr>
      </w:pPr>
      <w:r w:rsidRPr="00561C1C">
        <w:rPr>
          <w:rFonts w:ascii="Comic Sans MS" w:hAnsi="Comic Sans MS"/>
          <w:b/>
          <w:bCs/>
          <w:color w:val="70AD47" w:themeColor="accent6"/>
          <w:sz w:val="32"/>
          <w:szCs w:val="32"/>
        </w:rPr>
        <w:t xml:space="preserve">What is </w:t>
      </w:r>
      <w:r w:rsidR="00DC3A53">
        <w:rPr>
          <w:rFonts w:ascii="Comic Sans MS" w:hAnsi="Comic Sans MS"/>
          <w:b/>
          <w:bCs/>
          <w:color w:val="70AD47" w:themeColor="accent6"/>
          <w:sz w:val="32"/>
          <w:szCs w:val="32"/>
        </w:rPr>
        <w:t>E</w:t>
      </w:r>
      <w:r w:rsidRPr="00561C1C">
        <w:rPr>
          <w:rFonts w:ascii="Comic Sans MS" w:hAnsi="Comic Sans MS"/>
          <w:b/>
          <w:bCs/>
          <w:color w:val="70AD47" w:themeColor="accent6"/>
          <w:sz w:val="32"/>
          <w:szCs w:val="32"/>
        </w:rPr>
        <w:t xml:space="preserve">xceptional </w:t>
      </w:r>
      <w:r w:rsidR="00DC3A53">
        <w:rPr>
          <w:rFonts w:ascii="Comic Sans MS" w:hAnsi="Comic Sans MS"/>
          <w:b/>
          <w:bCs/>
          <w:color w:val="70AD47" w:themeColor="accent6"/>
          <w:sz w:val="32"/>
          <w:szCs w:val="32"/>
        </w:rPr>
        <w:t>C</w:t>
      </w:r>
      <w:r w:rsidRPr="00561C1C">
        <w:rPr>
          <w:rFonts w:ascii="Comic Sans MS" w:hAnsi="Comic Sans MS"/>
          <w:b/>
          <w:bCs/>
          <w:color w:val="70AD47" w:themeColor="accent6"/>
          <w:sz w:val="32"/>
          <w:szCs w:val="32"/>
        </w:rPr>
        <w:t>are?</w:t>
      </w:r>
    </w:p>
    <w:p w:rsidRPr="00A042BE" w:rsidR="00DC3A53" w:rsidP="00DC3A53" w:rsidRDefault="00DC3A53" w14:paraId="4EADA936" w14:textId="221C5A39">
      <w:pPr>
        <w:ind w:left="720"/>
        <w:rPr>
          <w:rFonts w:ascii="Comic Sans MS" w:hAnsi="Comic Sans MS"/>
        </w:rPr>
      </w:pPr>
      <w:r w:rsidRPr="144B503F" w:rsidR="00DC3A53">
        <w:rPr>
          <w:rFonts w:ascii="Comic Sans MS" w:hAnsi="Comic Sans MS"/>
        </w:rPr>
        <w:t>Making Kids Feel Safe: Exceptional care means making these kids feel safe and happy. When they feel safe, they can play and learn better. Learning and Growing: They can learn and grow like other kids with special attention. They can learn new things and become better at different activities (</w:t>
      </w:r>
      <w:r w:rsidRPr="144B503F" w:rsidR="4E6F37EB">
        <w:rPr>
          <w:rFonts w:ascii="Comic Sans MS" w:hAnsi="Comic Sans MS"/>
        </w:rPr>
        <w:t>LinkedIn</w:t>
      </w:r>
      <w:r w:rsidRPr="144B503F" w:rsidR="00DC3A53">
        <w:rPr>
          <w:rFonts w:ascii="Comic Sans MS" w:hAnsi="Comic Sans MS"/>
        </w:rPr>
        <w:t xml:space="preserve"> 2023).</w:t>
      </w:r>
    </w:p>
    <w:p w:rsidRPr="00A042BE" w:rsidR="00DC3A53" w:rsidP="00DC3A53" w:rsidRDefault="00DC3A53" w14:paraId="77415DCC" w14:textId="77777777">
      <w:pPr>
        <w:rPr>
          <w:rFonts w:ascii="Comic Sans MS" w:hAnsi="Comic Sans MS"/>
        </w:rPr>
      </w:pPr>
      <w:r w:rsidRPr="00A042BE">
        <w:rPr>
          <w:rFonts w:ascii="Comic Sans MS" w:hAnsi="Comic Sans MS"/>
        </w:rPr>
        <w:t>Responsive caregiving and a nurturing environment during the first 1000 days contribute to the development of social and emotional bonds. These early relationships have a lasting impact on a child's mental and emotional well-being.</w:t>
      </w:r>
    </w:p>
    <w:p w:rsidRPr="00A042BE" w:rsidR="00DC3A53" w:rsidP="00DC3A53" w:rsidRDefault="00DC3A53" w14:paraId="21B84B81" w14:textId="5EA0DDC4">
      <w:pPr>
        <w:rPr>
          <w:rFonts w:ascii="Comic Sans MS" w:hAnsi="Comic Sans MS"/>
        </w:rPr>
      </w:pPr>
      <w:r w:rsidRPr="33418A90" w:rsidR="00DC3A53">
        <w:rPr>
          <w:rFonts w:ascii="Comic Sans MS" w:hAnsi="Comic Sans MS"/>
        </w:rPr>
        <w:t>Exceptional care can refer to care or support that go</w:t>
      </w:r>
      <w:r w:rsidRPr="33418A90" w:rsidR="1014E70E">
        <w:rPr>
          <w:rFonts w:ascii="Comic Sans MS" w:hAnsi="Comic Sans MS"/>
        </w:rPr>
        <w:t>es</w:t>
      </w:r>
      <w:r w:rsidRPr="33418A90" w:rsidR="00DC3A53">
        <w:rPr>
          <w:rFonts w:ascii="Comic Sans MS" w:hAnsi="Comic Sans MS"/>
        </w:rPr>
        <w:t xml:space="preserve"> </w:t>
      </w:r>
      <w:r w:rsidRPr="33418A90" w:rsidR="00F61FA7">
        <w:rPr>
          <w:rFonts w:ascii="Comic Sans MS" w:hAnsi="Comic Sans MS"/>
        </w:rPr>
        <w:t>beyond</w:t>
      </w:r>
      <w:r w:rsidRPr="33418A90" w:rsidR="00DC3A53">
        <w:rPr>
          <w:rFonts w:ascii="Comic Sans MS" w:hAnsi="Comic Sans MS"/>
        </w:rPr>
        <w:t xml:space="preserve"> the standard or expected level of care. It may involve providing outstanding and extraordinary attention, consideration, and quality to individuals receiving care. Exceptional care is characterized by a commitment to meeting the unique needs of each person, delivering services with compassion, and achieving outcomes that exceed typical expectations.</w:t>
      </w:r>
    </w:p>
    <w:p w:rsidR="003C3087" w:rsidP="00DC3A53" w:rsidRDefault="00DC3A53" w14:paraId="4C0328DC" w14:textId="6599C3D8">
      <w:pPr>
        <w:rPr>
          <w:rFonts w:ascii="Comic Sans MS" w:hAnsi="Comic Sans MS"/>
        </w:rPr>
      </w:pPr>
      <w:r w:rsidRPr="33418A90" w:rsidR="00DC3A53">
        <w:rPr>
          <w:rFonts w:ascii="Comic Sans MS" w:hAnsi="Comic Sans MS"/>
        </w:rPr>
        <w:t>A caregiver should create an emotionally stable environment where emotions can be learnt as well as explored to allow for t</w:t>
      </w:r>
      <w:r w:rsidRPr="33418A90" w:rsidR="1C22D87C">
        <w:rPr>
          <w:rFonts w:ascii="Comic Sans MS" w:hAnsi="Comic Sans MS"/>
        </w:rPr>
        <w:t>he child</w:t>
      </w:r>
      <w:r w:rsidRPr="33418A90" w:rsidR="00DC3A53">
        <w:rPr>
          <w:rFonts w:ascii="Comic Sans MS" w:hAnsi="Comic Sans MS"/>
        </w:rPr>
        <w:t xml:space="preserve"> to be more mentally aware as they develop. Within the setting</w:t>
      </w:r>
      <w:r w:rsidRPr="33418A90" w:rsidR="08483506">
        <w:rPr>
          <w:rFonts w:ascii="Comic Sans MS" w:hAnsi="Comic Sans MS"/>
        </w:rPr>
        <w:t>,</w:t>
      </w:r>
      <w:r w:rsidRPr="33418A90" w:rsidR="00DC3A53">
        <w:rPr>
          <w:rFonts w:ascii="Comic Sans MS" w:hAnsi="Comic Sans MS"/>
        </w:rPr>
        <w:t xml:space="preserve"> caregivers should encourage curiosity, this could be though questioning or having an environment that allows for exploration and thought-provoking play, the environment should be safe to learn and safe to allow learning through mistakes. An exceptional caregiver will have excellent communication not only with the child in their care but with the family, wider </w:t>
      </w:r>
      <w:r w:rsidRPr="33418A90" w:rsidR="00DC3A53">
        <w:rPr>
          <w:rFonts w:ascii="Comic Sans MS" w:hAnsi="Comic Sans MS"/>
        </w:rPr>
        <w:t>community</w:t>
      </w:r>
      <w:r w:rsidRPr="33418A90" w:rsidR="00DC3A53">
        <w:rPr>
          <w:rFonts w:ascii="Comic Sans MS" w:hAnsi="Comic Sans MS"/>
        </w:rPr>
        <w:t xml:space="preserve"> and outside agencies, this will allow for the caregiver to build strong bonds and further their understanding of the children in their care allowing areas of development to be nurtured and strengthen the sense of belonging. </w:t>
      </w:r>
    </w:p>
    <w:p w:rsidR="003C3087" w:rsidP="00DC3A53" w:rsidRDefault="003C3087" w14:paraId="24D4289F" w14:textId="77777777">
      <w:pPr>
        <w:rPr>
          <w:rFonts w:ascii="Comic Sans MS" w:hAnsi="Comic Sans MS"/>
        </w:rPr>
      </w:pPr>
    </w:p>
    <w:p w:rsidR="003C3087" w:rsidP="00DC3A53" w:rsidRDefault="003C3087" w14:paraId="4D1AC84C" w14:textId="77777777">
      <w:pPr>
        <w:rPr>
          <w:rFonts w:ascii="Comic Sans MS" w:hAnsi="Comic Sans MS"/>
        </w:rPr>
      </w:pPr>
    </w:p>
    <w:p w:rsidR="003C3087" w:rsidP="00DC3A53" w:rsidRDefault="003C3087" w14:paraId="15E264D8" w14:textId="77777777">
      <w:pPr>
        <w:rPr>
          <w:rFonts w:ascii="Comic Sans MS" w:hAnsi="Comic Sans MS"/>
        </w:rPr>
      </w:pPr>
    </w:p>
    <w:p w:rsidRPr="00A042BE" w:rsidR="00DC3A53" w:rsidP="00DC3A53" w:rsidRDefault="00DC3A53" w14:paraId="36355906" w14:textId="1E5226F7">
      <w:pPr>
        <w:rPr>
          <w:rFonts w:ascii="Comic Sans MS" w:hAnsi="Comic Sans MS"/>
        </w:rPr>
      </w:pPr>
      <w:r w:rsidRPr="33418A90" w:rsidR="00DC3A53">
        <w:rPr>
          <w:rFonts w:ascii="Comic Sans MS" w:hAnsi="Comic Sans MS"/>
        </w:rPr>
        <w:t>The caregiver should show respect and understanding for the child</w:t>
      </w:r>
      <w:r w:rsidRPr="33418A90" w:rsidR="7ACB3D0C">
        <w:rPr>
          <w:rFonts w:ascii="Comic Sans MS" w:hAnsi="Comic Sans MS"/>
        </w:rPr>
        <w:t>,</w:t>
      </w:r>
      <w:r w:rsidRPr="33418A90" w:rsidR="00DC3A53">
        <w:rPr>
          <w:rFonts w:ascii="Comic Sans MS" w:hAnsi="Comic Sans MS"/>
        </w:rPr>
        <w:t xml:space="preserve"> allow</w:t>
      </w:r>
      <w:r w:rsidRPr="33418A90" w:rsidR="4E304F95">
        <w:rPr>
          <w:rFonts w:ascii="Comic Sans MS" w:hAnsi="Comic Sans MS"/>
        </w:rPr>
        <w:t>ing</w:t>
      </w:r>
      <w:r w:rsidRPr="33418A90" w:rsidR="00DC3A53">
        <w:rPr>
          <w:rFonts w:ascii="Comic Sans MS" w:hAnsi="Comic Sans MS"/>
        </w:rPr>
        <w:t xml:space="preserve"> them to increase in confidence for making choices and developing, this will then allow for the caregiver to have a positive impact o</w:t>
      </w:r>
      <w:r w:rsidRPr="33418A90" w:rsidR="0D379E7C">
        <w:rPr>
          <w:rFonts w:ascii="Comic Sans MS" w:hAnsi="Comic Sans MS"/>
        </w:rPr>
        <w:t>n</w:t>
      </w:r>
      <w:r w:rsidRPr="33418A90" w:rsidR="00DC3A53">
        <w:rPr>
          <w:rFonts w:ascii="Comic Sans MS" w:hAnsi="Comic Sans MS"/>
        </w:rPr>
        <w:t xml:space="preserve"> the wellbeing of the child </w:t>
      </w:r>
      <w:r w:rsidRPr="33418A90" w:rsidR="0EAC5702">
        <w:rPr>
          <w:rFonts w:ascii="Comic Sans MS" w:hAnsi="Comic Sans MS"/>
        </w:rPr>
        <w:t>providing</w:t>
      </w:r>
      <w:r w:rsidRPr="33418A90" w:rsidR="00DC3A53">
        <w:rPr>
          <w:rFonts w:ascii="Comic Sans MS" w:hAnsi="Comic Sans MS"/>
        </w:rPr>
        <w:t xml:space="preserve"> the opportunity of good mental health moving forward. To ensure that children in the setting are meeting outcomes and making progress in their development</w:t>
      </w:r>
      <w:r w:rsidRPr="33418A90" w:rsidR="743ACA6E">
        <w:rPr>
          <w:rFonts w:ascii="Comic Sans MS" w:hAnsi="Comic Sans MS"/>
        </w:rPr>
        <w:t>,</w:t>
      </w:r>
      <w:r w:rsidRPr="33418A90" w:rsidR="00DC3A53">
        <w:rPr>
          <w:rFonts w:ascii="Comic Sans MS" w:hAnsi="Comic Sans MS"/>
        </w:rPr>
        <w:t xml:space="preserve"> the caregiver needs to have a good understanding of the curriculum and ensure that they regularly receiv</w:t>
      </w:r>
      <w:r w:rsidRPr="33418A90" w:rsidR="2B313165">
        <w:rPr>
          <w:rFonts w:ascii="Comic Sans MS" w:hAnsi="Comic Sans MS"/>
        </w:rPr>
        <w:t>e</w:t>
      </w:r>
      <w:r w:rsidRPr="33418A90" w:rsidR="00DC3A53">
        <w:rPr>
          <w:rFonts w:ascii="Comic Sans MS" w:hAnsi="Comic Sans MS"/>
        </w:rPr>
        <w:t xml:space="preserve"> training, this will allow for developmental steps to be achieved and for the caregiver to recognise gaps in attainment where interventions may be </w:t>
      </w:r>
      <w:r w:rsidRPr="33418A90" w:rsidR="00DC3A53">
        <w:rPr>
          <w:rFonts w:ascii="Comic Sans MS" w:hAnsi="Comic Sans MS"/>
        </w:rPr>
        <w:t>required</w:t>
      </w:r>
      <w:r w:rsidRPr="33418A90" w:rsidR="00DC3A53">
        <w:rPr>
          <w:rFonts w:ascii="Comic Sans MS" w:hAnsi="Comic Sans MS"/>
        </w:rPr>
        <w:t>. (Welsh Government 2021)</w:t>
      </w:r>
    </w:p>
    <w:p w:rsidRPr="00A042BE" w:rsidR="00DC3A53" w:rsidP="00DC3A53" w:rsidRDefault="00DC3A53" w14:paraId="37A507C2" w14:textId="6D2F6A9A">
      <w:pPr>
        <w:rPr>
          <w:rFonts w:ascii="Comic Sans MS" w:hAnsi="Comic Sans MS"/>
        </w:rPr>
      </w:pPr>
      <w:r w:rsidRPr="33418A90" w:rsidR="00DC3A53">
        <w:rPr>
          <w:rFonts w:ascii="Comic Sans MS" w:hAnsi="Comic Sans MS"/>
        </w:rPr>
        <w:t>Smidt (2015) talks about how through observation caregivers can support a child’s development and support them in planning and shaping their future (Smidt 2015 P.13) and we know from Bowlby</w:t>
      </w:r>
      <w:r w:rsidRPr="33418A90" w:rsidR="1B18B89D">
        <w:rPr>
          <w:rFonts w:ascii="Comic Sans MS" w:hAnsi="Comic Sans MS"/>
        </w:rPr>
        <w:t xml:space="preserve"> research</w:t>
      </w:r>
      <w:r w:rsidRPr="33418A90" w:rsidR="00DC3A53">
        <w:rPr>
          <w:rFonts w:ascii="Comic Sans MS" w:hAnsi="Comic Sans MS"/>
        </w:rPr>
        <w:t xml:space="preserve"> that if a secure attachment is developed then developmental steps can be made with much ease. From studies by firstthingsfirst.org (ND) We know that the brain development is at its most rapid in the first five years and by the age of three the child’s brain is 80% the size of an adult brain, all experiences both negative and positive affect the development (</w:t>
      </w:r>
      <w:r w:rsidRPr="33418A90" w:rsidR="00DC3A53">
        <w:rPr>
          <w:rFonts w:ascii="Comic Sans MS" w:hAnsi="Comic Sans MS"/>
        </w:rPr>
        <w:t>firstthngsfirst</w:t>
      </w:r>
      <w:r w:rsidRPr="33418A90" w:rsidR="00DC3A53">
        <w:rPr>
          <w:rFonts w:ascii="Comic Sans MS" w:hAnsi="Comic Sans MS"/>
        </w:rPr>
        <w:t xml:space="preserve"> ND) neurologically, emotionally, and physically.</w:t>
      </w:r>
    </w:p>
    <w:p w:rsidRPr="00A042BE" w:rsidR="00DC3A53" w:rsidP="00DC3A53" w:rsidRDefault="00DC3A53" w14:paraId="51276961" w14:textId="020D30F3">
      <w:pPr>
        <w:rPr>
          <w:rFonts w:ascii="Comic Sans MS" w:hAnsi="Comic Sans MS"/>
        </w:rPr>
      </w:pPr>
      <w:r w:rsidRPr="00A042BE">
        <w:rPr>
          <w:rFonts w:ascii="Comic Sans MS" w:hAnsi="Comic Sans MS"/>
        </w:rPr>
        <w:t>The Pikler approach is believed to allow children to develop at their own pace and as discussed by Varmos (2015)</w:t>
      </w:r>
    </w:p>
    <w:p w:rsidRPr="00A042BE" w:rsidR="00DC3A53" w:rsidP="00DC3A53" w:rsidRDefault="008F3A3B" w14:paraId="70028826" w14:textId="1759456F">
      <w:pPr>
        <w:jc w:val="center"/>
        <w:rPr>
          <w:rFonts w:ascii="Comic Sans MS" w:hAnsi="Comic Sans MS"/>
        </w:rPr>
      </w:pPr>
      <w:r>
        <w:rPr>
          <w:noProof/>
        </w:rPr>
        <w:drawing>
          <wp:anchor distT="0" distB="0" distL="114300" distR="114300" simplePos="0" relativeHeight="251658242" behindDoc="1" locked="0" layoutInCell="1" allowOverlap="1" wp14:anchorId="7C70806F" wp14:editId="2576BB0E">
            <wp:simplePos x="0" y="0"/>
            <wp:positionH relativeFrom="margin">
              <wp:posOffset>4543063</wp:posOffset>
            </wp:positionH>
            <wp:positionV relativeFrom="paragraph">
              <wp:posOffset>1554593</wp:posOffset>
            </wp:positionV>
            <wp:extent cx="1494155" cy="1490345"/>
            <wp:effectExtent l="0" t="0" r="0" b="0"/>
            <wp:wrapTight wrapText="bothSides">
              <wp:wrapPolygon edited="0">
                <wp:start x="0" y="0"/>
                <wp:lineTo x="0" y="21259"/>
                <wp:lineTo x="21205" y="21259"/>
                <wp:lineTo x="21205" y="0"/>
                <wp:lineTo x="0" y="0"/>
              </wp:wrapPolygon>
            </wp:wrapTight>
            <wp:docPr id="993903203" name="Picture 993903203" descr="Who is Emmi Pikler? – Spr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o is Emmi Pikler? – Sprou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94155" cy="14903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042BE" w:rsidR="00DC3A53">
        <w:rPr>
          <w:rFonts w:ascii="Comic Sans MS" w:hAnsi="Comic Sans MS"/>
        </w:rPr>
        <w:t xml:space="preserve">“The adult should not make the baby sit up or make him stand and walk. Furthermore, the baby should not be confined to a chair, pram, or walker. He should never be put in a situation where he is passive. He can reach the </w:t>
      </w:r>
      <w:r w:rsidRPr="00A042BE" w:rsidR="00DC3A53">
        <w:rPr>
          <w:rFonts w:ascii="Comic Sans MS" w:hAnsi="Comic Sans MS"/>
        </w:rPr>
        <w:t>different stages</w:t>
      </w:r>
      <w:r w:rsidRPr="00A042BE" w:rsidR="00DC3A53">
        <w:rPr>
          <w:rFonts w:ascii="Comic Sans MS" w:hAnsi="Comic Sans MS"/>
        </w:rPr>
        <w:t xml:space="preserve"> of motor development by himself. This gives the child an embodied knowledge and a sense of himself, as well as a feeling of security.”</w:t>
      </w:r>
      <w:r w:rsidR="00C875FD">
        <w:rPr>
          <w:rFonts w:ascii="Comic Sans MS" w:hAnsi="Comic Sans MS"/>
        </w:rPr>
        <w:t xml:space="preserve">        </w:t>
      </w:r>
    </w:p>
    <w:p w:rsidRPr="00A042BE" w:rsidR="00DC3A53" w:rsidP="00C47AF4" w:rsidRDefault="00DC3A53" w14:paraId="2C2E18CF" w14:textId="6F118653">
      <w:pPr>
        <w:rPr>
          <w:rFonts w:ascii="Comic Sans MS" w:hAnsi="Comic Sans MS"/>
        </w:rPr>
      </w:pPr>
      <w:r w:rsidRPr="144B503F" w:rsidR="00DC3A53">
        <w:rPr>
          <w:rFonts w:ascii="Comic Sans MS" w:hAnsi="Comic Sans MS"/>
        </w:rPr>
        <w:t>Pikler spent much time with families embedding this approach and “who fought for the well-being of babies</w:t>
      </w:r>
      <w:r w:rsidRPr="144B503F" w:rsidR="4565F222">
        <w:rPr>
          <w:rFonts w:ascii="Comic Sans MS" w:hAnsi="Comic Sans MS"/>
        </w:rPr>
        <w:t>” (</w:t>
      </w:r>
      <w:r w:rsidRPr="144B503F" w:rsidR="00DC3A53">
        <w:rPr>
          <w:rFonts w:ascii="Comic Sans MS" w:hAnsi="Comic Sans MS"/>
        </w:rPr>
        <w:t>Varmos</w:t>
      </w:r>
      <w:r w:rsidRPr="144B503F" w:rsidR="00DC3A53">
        <w:rPr>
          <w:rFonts w:ascii="Comic Sans MS" w:hAnsi="Comic Sans MS"/>
        </w:rPr>
        <w:t xml:space="preserve"> ,2015), this is something that continues to shape the practice of many care givers.</w:t>
      </w:r>
      <w:r w:rsidRPr="144B503F" w:rsidR="00C47AF4">
        <w:rPr>
          <w:rFonts w:ascii="Comic Sans MS" w:hAnsi="Comic Sans MS"/>
        </w:rPr>
        <w:t xml:space="preserve">                                      </w:t>
      </w:r>
    </w:p>
    <w:p w:rsidRPr="00A042BE" w:rsidR="00DC3A53" w:rsidP="00DC3A53" w:rsidRDefault="00601743" w14:paraId="7F7A928A" w14:textId="23929FCB">
      <w:pPr>
        <w:rPr>
          <w:rFonts w:ascii="Comic Sans MS" w:hAnsi="Comic Sans MS"/>
          <w:lang w:eastAsia="en-GB"/>
        </w:rPr>
      </w:pPr>
      <w:r w:rsidRPr="00601743">
        <w:rPr>
          <w:rFonts w:ascii="Comic Sans MS" w:hAnsi="Comic Sans MS"/>
          <w:noProof/>
          <w:lang w:eastAsia="en-GB"/>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3" behindDoc="0" locked="0" layoutInCell="1" allowOverlap="1" wp14:anchorId="2BC9686E" wp14:editId="35579E7C">
                <wp:simplePos xmlns:wp="http://schemas.openxmlformats.org/drawingml/2006/wordprocessingDrawing" x="0" y="0"/>
                <wp:positionH xmlns:wp="http://schemas.openxmlformats.org/drawingml/2006/wordprocessingDrawing" relativeFrom="column">
                  <wp:posOffset>4011295</wp:posOffset>
                </wp:positionH>
                <wp:positionV xmlns:wp="http://schemas.openxmlformats.org/drawingml/2006/wordprocessingDrawing" relativeFrom="paragraph">
                  <wp:posOffset>1282700</wp:posOffset>
                </wp:positionV>
                <wp:extent cx="2240280" cy="1125220"/>
                <wp:effectExtent l="0" t="0" r="26670" b="17780"/>
                <wp:wrapSquare xmlns:wp="http://schemas.openxmlformats.org/drawingml/2006/wordprocessingDrawing" wrapText="bothSides"/>
                <wp:docPr xmlns:wp="http://schemas.openxmlformats.org/drawingml/2006/wordprocessingDrawing" id="262308249" name="Text Box 262308249"/>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2240280" cy="1125220"/>
                        </a:xfrm>
                        <a:prstGeom prst="rect">
                          <a:avLst/>
                        </a:prstGeom>
                        <a:solidFill>
                          <a:srgbClr val="FFFFFF"/>
                        </a:solidFill>
                        <a:ln w="9525">
                          <a:solidFill>
                            <a:srgbClr val="000000"/>
                          </a:solidFill>
                          <a:miter/>
                        </a:ln>
                      </wps:spPr>
                      <wps:txbx>
                        <w:txbxContent>
                          <w:p w:rsidR="00CB1CF6" w:rsidP="00CB1CF6" w:rsidRDefault="00CB1CF6">
                            <w:pPr>
                              <w:spacing w:line="256" w:lineRule="auto"/>
                              <w:rPr>
                                <w:rFonts w:ascii="Comic Sans MS" w:hAnsi="Comic Sans MS"/>
                                <w:kern w:val="0"/>
                                <w:sz w:val="16"/>
                                <w:szCs w:val="16"/>
                                <w14:ligatures xmlns:w14="http://schemas.microsoft.com/office/word/2010/wordml" w14:val="none"/>
                              </w:rPr>
                            </w:pPr>
                            <w:r>
                              <w:rPr>
                                <w:rFonts w:ascii="Comic Sans MS" w:hAnsi="Comic Sans MS"/>
                                <w:sz w:val="16"/>
                                <w:szCs w:val="16"/>
                              </w:rPr>
                              <w:t>Emmi Pikler.Tomco(2024) goes on to tell us “</w:t>
                            </w:r>
                            <w:r>
                              <w:rPr>
                                <w:rFonts w:ascii="Comic Sans MS" w:hAnsi="Comic Sans MS"/>
                                <w:color w:val="3D3C3C"/>
                                <w:sz w:val="16"/>
                                <w:szCs w:val="16"/>
                              </w:rPr>
                              <w:t>Emmi Pikler was a Hungarian Paediatrician who researched both the emotional and physical components of natural gross motor development in newborns and infants”</w:t>
                            </w:r>
                          </w:p>
                        </w:txbxContent>
                      </wps:txbx>
                      <wps:bodyPr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00A042BE" w:rsidR="3D450CE9">
        <w:rPr>
          <w:rFonts w:ascii="Comic Sans MS" w:hAnsi="Comic Sans MS"/>
          <w:lang w:eastAsia="en-GB"/>
        </w:rPr>
        <w:t xml:space="preserve">An</w:t>
      </w:r>
      <w:r w:rsidRPr="00A042BE" w:rsidR="00DC3A53">
        <w:rPr>
          <w:rFonts w:ascii="Comic Sans MS" w:hAnsi="Comic Sans MS"/>
          <w:lang w:eastAsia="en-GB"/>
        </w:rPr>
        <w:t xml:space="preserve"> exceptional caregiver is someone who not only fulfils the aspects of their role but also embodies qualities that contribute to a positive and supportive care experience for </w:t>
      </w:r>
      <w:r w:rsidRPr="00A042BE" w:rsidR="00DC3A53">
        <w:rPr>
          <w:rFonts w:ascii="Comic Sans MS" w:hAnsi="Comic Sans MS"/>
        </w:rPr>
        <w:t>children in their care</w:t>
      </w:r>
      <w:r w:rsidRPr="00A042BE" w:rsidR="00DC3A53">
        <w:rPr>
          <w:rFonts w:ascii="Comic Sans MS" w:hAnsi="Comic Sans MS"/>
          <w:lang w:eastAsia="en-GB"/>
        </w:rPr>
        <w:t xml:space="preserve">. Their dedication and commitment make a significant difference </w:t>
      </w:r>
      <w:r w:rsidRPr="00A042BE" w:rsidR="00DC3A53">
        <w:rPr>
          <w:rFonts w:ascii="Comic Sans MS" w:hAnsi="Comic Sans MS"/>
        </w:rPr>
        <w:t>to</w:t>
      </w:r>
      <w:r w:rsidRPr="00A042BE" w:rsidR="00DC3A53">
        <w:rPr>
          <w:rFonts w:ascii="Comic Sans MS" w:hAnsi="Comic Sans MS"/>
          <w:lang w:eastAsia="en-GB"/>
        </w:rPr>
        <w:t xml:space="preserve"> the lives of individuals who rely on caregiving </w:t>
      </w:r>
      <w:r w:rsidRPr="00A042BE" w:rsidR="00DC3A53">
        <w:rPr>
          <w:rFonts w:ascii="Comic Sans MS" w:hAnsi="Comic Sans MS"/>
        </w:rPr>
        <w:t>from the earliest point in their lives.</w:t>
      </w:r>
    </w:p>
    <w:p w:rsidR="00DC3A53" w:rsidP="33418A90" w:rsidRDefault="00DC3A53" w14:paraId="1C54B411" w14:textId="2F90DAC5">
      <w:pPr>
        <w:rPr>
          <w:rFonts w:ascii="Comic Sans MS" w:hAnsi="Comic Sans MS"/>
        </w:rPr>
      </w:pPr>
      <w:r w:rsidRPr="33418A90" w:rsidR="04FFA903">
        <w:rPr>
          <w:rFonts w:ascii="Comic Sans MS" w:hAnsi="Comic Sans MS"/>
        </w:rPr>
        <w:t>The</w:t>
      </w:r>
      <w:r w:rsidRPr="33418A90" w:rsidR="00DC3A53">
        <w:rPr>
          <w:rFonts w:ascii="Comic Sans MS" w:hAnsi="Comic Sans MS"/>
        </w:rPr>
        <w:t xml:space="preserve"> goal of exceptional care should be to enhance the overall experience and outcomes for children in the setting. It requires a commitment to continuous improvement, ongoing education, </w:t>
      </w:r>
      <w:r w:rsidRPr="33418A90" w:rsidR="40DADF32">
        <w:rPr>
          <w:rFonts w:ascii="Comic Sans MS" w:hAnsi="Comic Sans MS"/>
        </w:rPr>
        <w:t>with</w:t>
      </w:r>
      <w:r w:rsidRPr="33418A90" w:rsidR="00DC3A53">
        <w:rPr>
          <w:rFonts w:ascii="Comic Sans MS" w:hAnsi="Comic Sans MS"/>
        </w:rPr>
        <w:t xml:space="preserve"> a child-centred approach.</w:t>
      </w:r>
    </w:p>
    <w:p w:rsidRPr="00AA29B3" w:rsidR="00AA29B3" w:rsidP="00AA29B3" w:rsidRDefault="00AA29B3" w14:paraId="5A307EAE" w14:textId="4C26F835">
      <w:pPr>
        <w:rPr>
          <w:rFonts w:ascii="Comic Sans MS" w:hAnsi="Comic Sans MS"/>
          <w:b/>
          <w:bCs/>
          <w:color w:val="70AD47" w:themeColor="accent6"/>
          <w:sz w:val="32"/>
          <w:szCs w:val="32"/>
        </w:rPr>
      </w:pPr>
      <w:r w:rsidRPr="00AA29B3">
        <w:rPr>
          <w:rFonts w:ascii="Comic Sans MS" w:hAnsi="Comic Sans MS"/>
          <w:b/>
          <w:bCs/>
          <w:color w:val="70AD47" w:themeColor="accent6"/>
          <w:sz w:val="32"/>
          <w:szCs w:val="32"/>
        </w:rPr>
        <w:t>Professional Partnerships</w:t>
      </w:r>
    </w:p>
    <w:p w:rsidRPr="00C05250" w:rsidR="00AA29B3" w:rsidP="00AA29B3" w:rsidRDefault="00AA29B3" w14:paraId="1178BC7E" w14:textId="62F502F7">
      <w:pPr>
        <w:rPr>
          <w:rFonts w:ascii="Comic Sans MS" w:hAnsi="Comic Sans MS"/>
        </w:rPr>
      </w:pPr>
      <w:r w:rsidRPr="33418A90" w:rsidR="00AA29B3">
        <w:rPr>
          <w:rFonts w:ascii="Comic Sans MS" w:hAnsi="Comic Sans MS"/>
        </w:rPr>
        <w:t>During the period of the first 1000</w:t>
      </w:r>
      <w:r w:rsidRPr="33418A90" w:rsidR="61B4F3DF">
        <w:rPr>
          <w:rFonts w:ascii="Comic Sans MS" w:hAnsi="Comic Sans MS"/>
        </w:rPr>
        <w:t xml:space="preserve"> days</w:t>
      </w:r>
      <w:r w:rsidRPr="33418A90" w:rsidR="00AA29B3">
        <w:rPr>
          <w:rFonts w:ascii="Comic Sans MS" w:hAnsi="Comic Sans MS"/>
        </w:rPr>
        <w:t xml:space="preserve"> the role of an early year’s practitioner becomes particularly important in supporting both children and their families. For development and milestones to be met there will be partnerships that will need to be formed around a child, such as parents, practitioner</w:t>
      </w:r>
      <w:r w:rsidRPr="33418A90" w:rsidR="11AB234C">
        <w:rPr>
          <w:rFonts w:ascii="Comic Sans MS" w:hAnsi="Comic Sans MS"/>
        </w:rPr>
        <w:t>,</w:t>
      </w:r>
      <w:r w:rsidRPr="33418A90" w:rsidR="00AA29B3">
        <w:rPr>
          <w:rFonts w:ascii="Comic Sans MS" w:hAnsi="Comic Sans MS"/>
        </w:rPr>
        <w:t xml:space="preserve"> healthcare professionals and further external agencies when </w:t>
      </w:r>
      <w:r w:rsidRPr="33418A90" w:rsidR="00AA29B3">
        <w:rPr>
          <w:rFonts w:ascii="Comic Sans MS" w:hAnsi="Comic Sans MS"/>
        </w:rPr>
        <w:t>required</w:t>
      </w:r>
      <w:r w:rsidRPr="33418A90" w:rsidR="00AA29B3">
        <w:rPr>
          <w:rFonts w:ascii="Comic Sans MS" w:hAnsi="Comic Sans MS"/>
        </w:rPr>
        <w:t>, all these people will have the child at the centre</w:t>
      </w:r>
      <w:r w:rsidRPr="33418A90" w:rsidR="4B8B571E">
        <w:rPr>
          <w:rFonts w:ascii="Comic Sans MS" w:hAnsi="Comic Sans MS"/>
        </w:rPr>
        <w:t xml:space="preserve"> of</w:t>
      </w:r>
      <w:r w:rsidRPr="33418A90" w:rsidR="00AA29B3">
        <w:rPr>
          <w:rFonts w:ascii="Comic Sans MS" w:hAnsi="Comic Sans MS"/>
        </w:rPr>
        <w:t xml:space="preserve"> all decisions that are being made. </w:t>
      </w:r>
    </w:p>
    <w:p w:rsidRPr="00C05250" w:rsidR="00AA29B3" w:rsidP="00AA29B3" w:rsidRDefault="00AA29B3" w14:paraId="5FE3FB19" w14:textId="5128B522">
      <w:pPr>
        <w:rPr>
          <w:rFonts w:ascii="Comic Sans MS" w:hAnsi="Comic Sans MS"/>
        </w:rPr>
      </w:pPr>
      <w:r w:rsidRPr="00C05250">
        <w:rPr>
          <w:rFonts w:ascii="Comic Sans MS" w:hAnsi="Comic Sans MS"/>
        </w:rPr>
        <w:t>Early years practitioners focus on the holistic development of children, encompassing cognitive, physical, social, and emotional aspects. They should design and plan activities that stimulate various areas of a child's development. Practitioners should continually observe and assess each child's progress to identify their strengths and areas that may need additional support. This helps in tailoring teaching methods to meet individual needs and ensure support is provided appropriately and effectively. Wien (2008) discusses the Reggio Emilia approach and how practitioners should consider the learning environment as a 3</w:t>
      </w:r>
      <w:r w:rsidRPr="00C05250">
        <w:rPr>
          <w:rFonts w:ascii="Comic Sans MS" w:hAnsi="Comic Sans MS"/>
          <w:vertAlign w:val="superscript"/>
        </w:rPr>
        <w:t>rd</w:t>
      </w:r>
      <w:r w:rsidRPr="00C05250">
        <w:rPr>
          <w:rFonts w:ascii="Comic Sans MS" w:hAnsi="Comic Sans MS"/>
        </w:rPr>
        <w:t xml:space="preserve"> teacher, allowing for seamless learning that flows and where the settings and environments and designed to be aesthetically pleasing and inviting, encouraging exploration and creativity.</w:t>
      </w:r>
    </w:p>
    <w:p w:rsidRPr="00C05250" w:rsidR="00AA29B3" w:rsidP="00AA29B3" w:rsidRDefault="00AA29B3" w14:paraId="4824D94E" w14:textId="338809AE">
      <w:pPr>
        <w:rPr>
          <w:rFonts w:ascii="Comic Sans MS" w:hAnsi="Comic Sans MS"/>
        </w:rPr>
      </w:pPr>
      <w:r w:rsidRPr="00C05250" w:rsidR="00AA29B3">
        <w:rPr>
          <w:rFonts w:ascii="Comic Sans MS" w:hAnsi="Comic Sans MS"/>
        </w:rPr>
        <w:t xml:space="preserve">Early years practitioners should regularly and actively engage with parents and families, recognising them as partners in their child's education. They </w:t>
      </w:r>
      <w:r w:rsidRPr="00C05250" w:rsidR="505EBF50">
        <w:rPr>
          <w:rFonts w:ascii="Comic Sans MS" w:hAnsi="Comic Sans MS"/>
        </w:rPr>
        <w:t xml:space="preserve">should </w:t>
      </w:r>
      <w:r w:rsidRPr="00C05250" w:rsidR="00AA29B3">
        <w:rPr>
          <w:rFonts w:ascii="Comic Sans MS" w:hAnsi="Comic Sans MS"/>
        </w:rPr>
        <w:t xml:space="preserve">share information, provide resources, and collaborate to support the child's overall development. Practitioners can offer guidance and resources to parents, </w:t>
      </w:r>
      <w:r w:rsidRPr="00C05250" w:rsidR="00AA29B3">
        <w:rPr>
          <w:rFonts w:ascii="Comic Sans MS" w:hAnsi="Comic Sans MS"/>
        </w:rPr>
        <w:t>assisting</w:t>
      </w:r>
      <w:r w:rsidRPr="00C05250" w:rsidR="00AA29B3">
        <w:rPr>
          <w:rFonts w:ascii="Comic Sans MS" w:hAnsi="Comic Sans MS"/>
        </w:rPr>
        <w:t xml:space="preserve"> them in understanding their child's developmental milestones and providing </w:t>
      </w:r>
      <w:r w:rsidRPr="00C05250" w:rsidR="0210533A">
        <w:rPr>
          <w:rFonts w:ascii="Comic Sans MS" w:hAnsi="Comic Sans MS"/>
        </w:rPr>
        <w:t>advice</w:t>
      </w:r>
      <w:r w:rsidRPr="00C05250" w:rsidR="00AA29B3">
        <w:rPr>
          <w:rFonts w:ascii="Comic Sans MS" w:hAnsi="Comic Sans MS"/>
        </w:rPr>
        <w:t xml:space="preserve"> for effective parenting during the first 1000 days. This level of communication can support transparency and build trusting relationships which can be important where more sensitive areas may need to be discussed (</w:t>
      </w:r>
      <w:r w:rsidRPr="00C05250" w:rsidR="00AA29B3">
        <w:rPr>
          <w:rFonts w:ascii="Comic Sans MS" w:hAnsi="Comic Sans MS" w:cs="Helvetica"/>
          <w:color w:val="555555"/>
          <w:shd w:val="clear" w:color="auto" w:fill="FFFFFF"/>
        </w:rPr>
        <w:t>Brodie, 2018).</w:t>
      </w:r>
    </w:p>
    <w:p w:rsidRPr="00C05250" w:rsidR="008F2FED" w:rsidP="00AA29B3" w:rsidRDefault="00AA29B3" w14:paraId="34A069CC" w14:textId="77777777">
      <w:pPr>
        <w:rPr>
          <w:rFonts w:ascii="Comic Sans MS" w:hAnsi="Comic Sans MS"/>
        </w:rPr>
      </w:pPr>
      <w:r w:rsidRPr="00C05250">
        <w:rPr>
          <w:rFonts w:ascii="Comic Sans MS" w:hAnsi="Comic Sans MS"/>
        </w:rPr>
        <w:t>Through assessment and observation practitioners play a crucial role in early identification of any developmental challenges, learning difficulties or missed milestones. Timely and well-planned intervention and support can have a significant impact on a child's future success allowing the best possible opportunity for future success. During the early years there may be agencies that will be called upon for support within areas of development. If necessary, early years practitioners may collaborate with specialists such as speech therapists, occupational therapists, or psychologists to ensure that children receive the appropriate support and are meeting the needs of the child.</w:t>
      </w:r>
    </w:p>
    <w:p w:rsidRPr="00C05250" w:rsidR="00AA29B3" w:rsidP="00AA29B3" w:rsidRDefault="00AA29B3" w14:paraId="48B15C67" w14:textId="59BEED59">
      <w:pPr>
        <w:rPr>
          <w:rFonts w:ascii="Comic Sans MS" w:hAnsi="Comic Sans MS"/>
        </w:rPr>
      </w:pPr>
      <w:r w:rsidRPr="33418A90" w:rsidR="00AA29B3">
        <w:rPr>
          <w:rFonts w:ascii="Comic Sans MS" w:hAnsi="Comic Sans MS"/>
          <w:sz w:val="22"/>
          <w:szCs w:val="22"/>
        </w:rPr>
        <w:t>As well as working with external agencies</w:t>
      </w:r>
      <w:r w:rsidRPr="33418A90" w:rsidR="15947544">
        <w:rPr>
          <w:rFonts w:ascii="Comic Sans MS" w:hAnsi="Comic Sans MS"/>
          <w:sz w:val="22"/>
          <w:szCs w:val="22"/>
        </w:rPr>
        <w:t>,</w:t>
      </w:r>
      <w:r w:rsidRPr="33418A90" w:rsidR="00AA29B3">
        <w:rPr>
          <w:rFonts w:ascii="Comic Sans MS" w:hAnsi="Comic Sans MS"/>
          <w:sz w:val="22"/>
          <w:szCs w:val="22"/>
        </w:rPr>
        <w:t xml:space="preserve"> practitioners should work within the curriculum to design and implement developmentally </w:t>
      </w:r>
      <w:r w:rsidRPr="33418A90" w:rsidR="00AA29B3">
        <w:rPr>
          <w:rFonts w:ascii="Comic Sans MS" w:hAnsi="Comic Sans MS"/>
          <w:sz w:val="22"/>
          <w:szCs w:val="22"/>
        </w:rPr>
        <w:t>appropriate activities</w:t>
      </w:r>
      <w:r w:rsidRPr="33418A90" w:rsidR="00AA29B3">
        <w:rPr>
          <w:rFonts w:ascii="Comic Sans MS" w:hAnsi="Comic Sans MS"/>
          <w:sz w:val="22"/>
          <w:szCs w:val="22"/>
        </w:rPr>
        <w:t xml:space="preserve"> that</w:t>
      </w:r>
      <w:r w:rsidRPr="33418A90" w:rsidR="00AA29B3">
        <w:rPr>
          <w:rFonts w:ascii="Comic Sans MS" w:hAnsi="Comic Sans MS"/>
          <w:sz w:val="24"/>
          <w:szCs w:val="24"/>
        </w:rPr>
        <w:t xml:space="preserve"> </w:t>
      </w:r>
      <w:r w:rsidRPr="33418A90" w:rsidR="00AA29B3">
        <w:rPr>
          <w:rFonts w:ascii="Comic Sans MS" w:hAnsi="Comic Sans MS"/>
          <w:sz w:val="22"/>
          <w:szCs w:val="22"/>
        </w:rPr>
        <w:t>are aligned with the unique needs and abilities of young children. Practitioners</w:t>
      </w:r>
      <w:r w:rsidRPr="33418A90" w:rsidR="00AA29B3">
        <w:rPr>
          <w:rFonts w:ascii="Comic Sans MS" w:hAnsi="Comic Sans MS"/>
          <w:sz w:val="24"/>
          <w:szCs w:val="24"/>
        </w:rPr>
        <w:t xml:space="preserve"> </w:t>
      </w:r>
      <w:r w:rsidRPr="33418A90" w:rsidR="00AA29B3">
        <w:rPr>
          <w:rFonts w:ascii="Comic Sans MS" w:hAnsi="Comic Sans MS"/>
        </w:rPr>
        <w:t>within the early years should prioritise play-based learning strategies that promote creativity, imagination, and social skills (Brodie,2018).</w:t>
      </w:r>
    </w:p>
    <w:p w:rsidRPr="00C05250" w:rsidR="00AA29B3" w:rsidP="00AA29B3" w:rsidRDefault="00AA29B3" w14:paraId="5732B7CE" w14:textId="77777777">
      <w:pPr>
        <w:rPr>
          <w:rFonts w:ascii="Comic Sans MS" w:hAnsi="Comic Sans MS"/>
        </w:rPr>
      </w:pPr>
      <w:r w:rsidRPr="00C05250">
        <w:rPr>
          <w:rFonts w:ascii="Comic Sans MS" w:hAnsi="Comic Sans MS"/>
        </w:rPr>
        <w:t>Practitioners in the early years play a role in promoting healthy habits such as proper nutrition, hygiene, and physical activity to ensure the overall well-being of children. Often outside agencies such as immunisation teams and sports coaches will come to the setting to support teaching and learning alongside the practitioner in the setting. Practitioners should monitor and communicate with parents about the child's health, development and milestones ensuring that any health concerns are addressed promptly and followed up when required, again ensuring that the needs of the child are being met at the setting and the home environment (UNICEF 1989).</w:t>
      </w:r>
    </w:p>
    <w:p w:rsidRPr="00A042BE" w:rsidR="00AA29B3" w:rsidP="00AA29B3" w:rsidRDefault="00AA29B3" w14:paraId="4FC23240" w14:textId="222D6522">
      <w:pPr>
        <w:rPr>
          <w:rFonts w:ascii="Comic Sans MS" w:hAnsi="Comic Sans MS"/>
          <w:sz w:val="24"/>
          <w:szCs w:val="24"/>
        </w:rPr>
      </w:pPr>
      <w:r w:rsidRPr="00C05250">
        <w:rPr>
          <w:rFonts w:ascii="Comic Sans MS" w:hAnsi="Comic Sans MS"/>
        </w:rPr>
        <w:t>The need for professional partnerships ties in with Bronfenbrenner's ecological systems theory and can provide a framework for understanding the various influences on a child's development, and it can be linked to the role of early years practitioners in supporting children and their families during the first 1000 days. Bronfenbrenner's theory consists of multiple systems, each with its own set of influences (Hayes, N, O'Toole, L, &amp; Halpenny, 2017).</w:t>
      </w:r>
      <w:r w:rsidRPr="00A042BE">
        <w:rPr>
          <w:rFonts w:ascii="Comic Sans MS" w:hAnsi="Comic Sans MS"/>
          <w:sz w:val="24"/>
          <w:szCs w:val="24"/>
        </w:rPr>
        <w:t xml:space="preserve"> </w:t>
      </w:r>
      <w:r w:rsidR="00FD6F10">
        <w:rPr>
          <w:noProof/>
        </w:rPr>
        <w:drawing>
          <wp:anchor distT="0" distB="0" distL="114300" distR="114300" simplePos="0" relativeHeight="251658244" behindDoc="0" locked="0" layoutInCell="1" allowOverlap="1" wp14:anchorId="67E94522" wp14:editId="3D3836A6">
            <wp:simplePos x="0" y="0"/>
            <wp:positionH relativeFrom="column">
              <wp:posOffset>0</wp:posOffset>
            </wp:positionH>
            <wp:positionV relativeFrom="paragraph">
              <wp:posOffset>1374140</wp:posOffset>
            </wp:positionV>
            <wp:extent cx="1832610" cy="1828800"/>
            <wp:effectExtent l="0" t="0" r="0" b="0"/>
            <wp:wrapSquare wrapText="bothSides"/>
            <wp:docPr id="2037670244" name="Picture 203767024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ictur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32610" cy="1828800"/>
                    </a:xfrm>
                    <a:prstGeom prst="rect">
                      <a:avLst/>
                    </a:prstGeom>
                    <a:noFill/>
                    <a:ln>
                      <a:noFill/>
                    </a:ln>
                  </pic:spPr>
                </pic:pic>
              </a:graphicData>
            </a:graphic>
          </wp:anchor>
        </w:drawing>
      </w:r>
    </w:p>
    <w:p w:rsidRPr="00A042BE" w:rsidR="00AA29B3" w:rsidP="144B503F" w:rsidRDefault="00310D9E" w14:textId="0C3735BB" w14:paraId="31443A63" w14:noSpellErr="1">
      <w:pPr>
        <w:rPr>
          <w:rFonts w:ascii="Comic Sans MS" w:hAnsi="Comic Sans MS" w:cs="Segoe UI"/>
          <w:color w:val="374151"/>
          <w:sz w:val="24"/>
          <w:szCs w:val="24"/>
        </w:rPr>
      </w:pPr>
      <w:r w:rsidRPr="00165225">
        <w:rPr>
          <w:rFonts w:ascii="Comic Sans MS" w:hAnsi="Comic Sans MS"/>
          <w:noProof/>
          <w:sz w:val="24"/>
          <w:szCs w:val="24"/>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5" behindDoc="0" locked="0" layoutInCell="1" allowOverlap="1" wp14:anchorId="13A494D5" wp14:editId="7CF481A0">
                <wp:simplePos xmlns:wp="http://schemas.openxmlformats.org/drawingml/2006/wordprocessingDrawing" x="0" y="0"/>
                <wp:positionH xmlns:wp="http://schemas.openxmlformats.org/drawingml/2006/wordprocessingDrawing" relativeFrom="column">
                  <wp:posOffset>2019300</wp:posOffset>
                </wp:positionH>
                <wp:positionV xmlns:wp="http://schemas.openxmlformats.org/drawingml/2006/wordprocessingDrawing" relativeFrom="paragraph">
                  <wp:posOffset>76200</wp:posOffset>
                </wp:positionV>
                <wp:extent cx="3124835" cy="640080"/>
                <wp:effectExtent l="0" t="0" r="18415" b="26670"/>
                <wp:wrapSquare xmlns:wp="http://schemas.openxmlformats.org/drawingml/2006/wordprocessingDrawing" wrapText="bothSides"/>
                <wp:docPr xmlns:wp="http://schemas.openxmlformats.org/drawingml/2006/wordprocessingDrawing" id="415235946" name="Text Box 415235946"/>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3124835" cy="640080"/>
                        </a:xfrm>
                        <a:prstGeom prst="rect">
                          <a:avLst/>
                        </a:prstGeom>
                        <a:solidFill>
                          <a:srgbClr val="FFFFFF"/>
                        </a:solidFill>
                        <a:ln w="9525">
                          <a:solidFill>
                            <a:srgbClr val="000000"/>
                          </a:solidFill>
                          <a:miter/>
                        </a:ln>
                      </wps:spPr>
                      <wps:txbx>
                        <w:txbxContent>
                          <w:p w:rsidR="00CE3486" w:rsidP="00CE3486" w:rsidRDefault="00CE3486">
                            <w:pPr>
                              <w:spacing w:line="256" w:lineRule="auto"/>
                              <w:rPr>
                                <w:rFonts w:ascii="Comic Sans MS" w:hAnsi="Comic Sans MS"/>
                                <w:kern w:val="0"/>
                                <w:sz w:val="16"/>
                                <w:szCs w:val="16"/>
                                <w14:ligatures xmlns:w14="http://schemas.microsoft.com/office/word/2010/wordml" w14:val="none"/>
                              </w:rPr>
                            </w:pPr>
                            <w:r>
                              <w:rPr>
                                <w:rFonts w:ascii="Comic Sans MS" w:hAnsi="Comic Sans MS"/>
                                <w:sz w:val="16"/>
                                <w:szCs w:val="16"/>
                              </w:rPr>
                              <w:t xml:space="preserve">The Theory of Bronfenbrenner will often guide the practitioner in allowing child centred support using multiple systems. Knapp </w:t>
                            </w:r>
                            <w:r>
                              <w:rPr>
                                <w:rFonts w:ascii="Comic Sans MS" w:hAnsi="Comic Sans MS"/>
                                <w:i/>
                                <w:iCs/>
                                <w:sz w:val="16"/>
                                <w:szCs w:val="16"/>
                              </w:rPr>
                              <w:t>et al</w:t>
                            </w:r>
                            <w:r>
                              <w:rPr>
                                <w:rFonts w:ascii="Comic Sans MS" w:hAnsi="Comic Sans MS"/>
                                <w:sz w:val="16"/>
                                <w:szCs w:val="16"/>
                              </w:rPr>
                              <w:t xml:space="preserve"> (ND)  Image  4</w:t>
                            </w:r>
                          </w:p>
                        </w:txbxContent>
                      </wps:txbx>
                      <wps:bodyPr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mc:AlternateContent>
      </w:r>
    </w:p>
    <w:p w:rsidRPr="00C05250" w:rsidR="00AA29B3" w:rsidP="144B503F" w:rsidRDefault="00AA29B3" w14:paraId="154EFCC9" w14:textId="7BE39ED1">
      <w:pPr>
        <w:pStyle w:val="Normal"/>
        <w:rPr>
          <w:rFonts w:ascii="Comic Sans MS" w:hAnsi="Comic Sans MS"/>
        </w:rPr>
      </w:pPr>
      <w:r w:rsidRPr="33418A90" w:rsidR="00AA29B3">
        <w:rPr>
          <w:rFonts w:ascii="Comic Sans MS" w:hAnsi="Comic Sans MS"/>
        </w:rPr>
        <w:t xml:space="preserve">In the context of supporting children and families in the first 1000 days, Practitioners </w:t>
      </w:r>
      <w:r w:rsidRPr="33418A90" w:rsidR="00BC0D2C">
        <w:rPr>
          <w:rFonts w:ascii="Comic Sans MS" w:hAnsi="Comic Sans MS"/>
        </w:rPr>
        <w:t xml:space="preserve">should </w:t>
      </w:r>
      <w:r w:rsidRPr="33418A90" w:rsidR="00AA29B3">
        <w:rPr>
          <w:rFonts w:ascii="Comic Sans MS" w:hAnsi="Comic Sans MS"/>
        </w:rPr>
        <w:t>recognise the interconnectedness of family, community, and cultural influences on a child's development</w:t>
      </w:r>
      <w:r w:rsidRPr="33418A90" w:rsidR="780E5B14">
        <w:rPr>
          <w:rFonts w:ascii="Comic Sans MS" w:hAnsi="Comic Sans MS"/>
        </w:rPr>
        <w:t>, b</w:t>
      </w:r>
      <w:r w:rsidRPr="33418A90" w:rsidR="00AA29B3">
        <w:rPr>
          <w:rFonts w:ascii="Comic Sans MS" w:hAnsi="Comic Sans MS"/>
        </w:rPr>
        <w:t>y understanding what may shape a child's early experiences and the affects that these experiences can have for future development. The collaboration between teachers, families, and community resources aligns with Bronfenbrenner's emphasis on the importance of multiple systems in influencing a child's development.</w:t>
      </w:r>
    </w:p>
    <w:p w:rsidR="00AB111F" w:rsidP="00AA29B3" w:rsidRDefault="00AB111F" w14:paraId="3C3D8F4A" w14:textId="77777777">
      <w:pPr>
        <w:rPr>
          <w:rFonts w:ascii="Comic Sans MS" w:hAnsi="Comic Sans MS"/>
          <w:sz w:val="24"/>
          <w:szCs w:val="24"/>
        </w:rPr>
      </w:pPr>
    </w:p>
    <w:p w:rsidRPr="00C05250" w:rsidR="00AA29B3" w:rsidP="33418A90" w:rsidRDefault="00010F38" w14:paraId="6FA69FC0" w14:textId="19F69F23">
      <w:pPr>
        <w:rPr>
          <w:rFonts w:ascii="Comic Sans MS" w:hAnsi="Comic Sans MS"/>
        </w:rPr>
      </w:pPr>
      <w:r w:rsidRPr="00C05250">
        <w:rPr>
          <w:rFonts w:ascii="Comic Sans MS" w:hAnsi="Comic Sans MS"/>
          <w:noProof/>
        </w:rPr>
        <mc:AlternateContent>
          <mc:Choice Requires="wps">
            <w:drawing>
              <wp:anchor distT="45720" distB="45720" distL="114300" distR="114300" simplePos="0" relativeHeight="251658247" behindDoc="0" locked="0" layoutInCell="1" allowOverlap="1" wp14:anchorId="57ACF635" wp14:editId="4DD387CD">
                <wp:simplePos x="0" y="0"/>
                <wp:positionH relativeFrom="column">
                  <wp:posOffset>80645</wp:posOffset>
                </wp:positionH>
                <wp:positionV relativeFrom="paragraph">
                  <wp:posOffset>2771775</wp:posOffset>
                </wp:positionV>
                <wp:extent cx="1955800" cy="266065"/>
                <wp:effectExtent l="0" t="0" r="25400" b="19685"/>
                <wp:wrapSquare wrapText="bothSides"/>
                <wp:docPr id="1314316493" name="Text Box 13143164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266065"/>
                        </a:xfrm>
                        <a:prstGeom prst="rect">
                          <a:avLst/>
                        </a:prstGeom>
                        <a:solidFill>
                          <a:srgbClr val="FFFFFF"/>
                        </a:solidFill>
                        <a:ln w="9525">
                          <a:solidFill>
                            <a:srgbClr val="000000"/>
                          </a:solidFill>
                          <a:miter lim="800000"/>
                          <a:headEnd/>
                          <a:tailEnd/>
                        </a:ln>
                      </wps:spPr>
                      <wps:txbx>
                        <w:txbxContent>
                          <w:p w:rsidR="001E4D13" w:rsidRDefault="00432010" w14:paraId="1CF9024C" w14:textId="1EDF1B88">
                            <w:r>
                              <w:t xml:space="preserve">CNET (2022) </w:t>
                            </w:r>
                            <w:r w:rsidR="00010F38">
                              <w:t xml:space="preserve">Image 5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AA9FADE">
              <v:shape id="Text Box 1314316493" style="position:absolute;margin-left:6.35pt;margin-top:218.25pt;width:154pt;height:20.9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0"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" w14:anchorId="57ACF635">
                <v:textbox>
                  <w:txbxContent>
                    <w:p w:rsidR="001E4D13" w:rsidRDefault="00432010" w14:paraId="493886FD" w14:textId="1EDF1B88">
                      <w:r>
                        <w:t xml:space="preserve">CNET (2022) </w:t>
                      </w:r>
                      <w:r w:rsidR="00010F38">
                        <w:t xml:space="preserve">Image 5 </w:t>
                      </w:r>
                    </w:p>
                  </w:txbxContent>
                </v:textbox>
                <w10:wrap type="square"/>
              </v:shape>
            </w:pict>
          </mc:Fallback>
        </mc:AlternateContent>
      </w:r>
      <w:r w:rsidRPr="00C05250">
        <w:rPr>
          <w:noProof/>
        </w:rPr>
        <w:drawing>
          <wp:anchor distT="0" distB="0" distL="114300" distR="114300" simplePos="0" relativeHeight="251658246" behindDoc="0" locked="0" layoutInCell="1" allowOverlap="1" wp14:anchorId="4649E155" wp14:editId="1669106B">
            <wp:simplePos x="0" y="0"/>
            <wp:positionH relativeFrom="margin">
              <wp:align>left</wp:align>
            </wp:positionH>
            <wp:positionV relativeFrom="paragraph">
              <wp:posOffset>1388608</wp:posOffset>
            </wp:positionV>
            <wp:extent cx="2291715" cy="1289050"/>
            <wp:effectExtent l="0" t="0" r="0" b="6350"/>
            <wp:wrapSquare wrapText="bothSides"/>
            <wp:docPr id="1784261117" name="Picture 1784261117" descr="Expecting pregnant person holding rounded be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pecting pregnant person holding rounded bell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91715" cy="1289050"/>
                    </a:xfrm>
                    <a:prstGeom prst="rect">
                      <a:avLst/>
                    </a:prstGeom>
                    <a:noFill/>
                    <a:ln>
                      <a:noFill/>
                    </a:ln>
                  </pic:spPr>
                </pic:pic>
              </a:graphicData>
            </a:graphic>
          </wp:anchor>
        </w:drawing>
      </w:r>
      <w:r w:rsidRPr="00C05250" w:rsidR="00AA29B3">
        <w:rPr>
          <w:rFonts w:ascii="Comic Sans MS" w:hAnsi="Comic Sans MS"/>
        </w:rPr>
        <w:t xml:space="preserve">Development in the first 1000 days could be </w:t>
      </w:r>
      <w:r w:rsidRPr="00C05250" w:rsidR="00AA29B3">
        <w:rPr>
          <w:rFonts w:ascii="Comic Sans MS" w:hAnsi="Comic Sans MS"/>
        </w:rPr>
        <w:t xml:space="preserve">impacted</w:t>
      </w:r>
      <w:r w:rsidRPr="00C05250" w:rsidR="00AA29B3">
        <w:rPr>
          <w:rFonts w:ascii="Comic Sans MS" w:hAnsi="Comic Sans MS"/>
        </w:rPr>
        <w:t xml:space="preserve"> by </w:t>
      </w:r>
      <w:r w:rsidRPr="00C05250" w:rsidR="4897466E">
        <w:rPr>
          <w:rFonts w:ascii="Comic Sans MS" w:hAnsi="Comic Sans MS"/>
        </w:rPr>
        <w:t xml:space="preserve">m</w:t>
      </w:r>
      <w:r w:rsidRPr="00C05250" w:rsidR="00AA29B3">
        <w:rPr>
          <w:rFonts w:ascii="Comic Sans MS" w:hAnsi="Comic Sans MS"/>
        </w:rPr>
        <w:t xml:space="preserve">aternal factors and play a significant role in shaping a child's development during this time</w:t>
      </w:r>
      <w:r w:rsidRPr="00C05250" w:rsidR="28AF8D90">
        <w:rPr>
          <w:rFonts w:ascii="Comic Sans MS" w:hAnsi="Comic Sans MS"/>
        </w:rPr>
        <w:t xml:space="preserve">.</w:t>
      </w:r>
      <w:r w:rsidRPr="00C05250" w:rsidR="00AA29B3">
        <w:rPr>
          <w:rFonts w:ascii="Comic Sans MS" w:hAnsi="Comic Sans MS"/>
        </w:rPr>
        <w:t xml:space="preserve"> </w:t>
      </w:r>
      <w:r w:rsidRPr="00C05250" w:rsidR="28529601">
        <w:rPr>
          <w:rFonts w:ascii="Comic Sans MS" w:hAnsi="Comic Sans MS"/>
        </w:rPr>
        <w:t xml:space="preserve">F</w:t>
      </w:r>
      <w:r w:rsidRPr="00C05250" w:rsidR="00AA29B3">
        <w:rPr>
          <w:rFonts w:ascii="Comic Sans MS" w:hAnsi="Comic Sans MS"/>
        </w:rPr>
        <w:t xml:space="preserve">or any factors that may be negative then support should be put in place as quick as possible so that development is not negatively affected. Some maternal factors could include </w:t>
      </w:r>
      <w:r w:rsidRPr="00C05250" w:rsidR="55B25806">
        <w:rPr>
          <w:rFonts w:ascii="Comic Sans MS" w:hAnsi="Comic Sans MS"/>
        </w:rPr>
        <w:t xml:space="preserve">m</w:t>
      </w:r>
      <w:r w:rsidRPr="00C05250" w:rsidR="00AA29B3">
        <w:rPr>
          <w:rFonts w:ascii="Comic Sans MS" w:hAnsi="Comic Sans MS"/>
          <w:lang w:eastAsia="en-GB"/>
        </w:rPr>
        <w:t xml:space="preserve">aternal </w:t>
      </w:r>
      <w:r w:rsidRPr="33418A90" w:rsidR="00AA29B3">
        <w:rPr>
          <w:rFonts w:ascii="Comic Sans MS" w:hAnsi="Comic Sans MS"/>
          <w:sz w:val="22"/>
          <w:szCs w:val="22"/>
          <w:lang w:eastAsia="en-GB"/>
        </w:rPr>
        <w:t>nutrition</w:t>
      </w:r>
      <w:r w:rsidRPr="33418A90" w:rsidR="00C42B51">
        <w:rPr>
          <w:rFonts w:ascii="Comic Sans MS" w:hAnsi="Comic Sans MS"/>
          <w:sz w:val="22"/>
          <w:szCs w:val="22"/>
        </w:rPr>
        <w:t xml:space="preserve"> and e</w:t>
      </w:r>
      <w:r w:rsidRPr="33418A90" w:rsidR="00AA29B3">
        <w:rPr>
          <w:rFonts w:ascii="Comic Sans MS" w:hAnsi="Comic Sans MS"/>
          <w:sz w:val="22"/>
          <w:szCs w:val="22"/>
        </w:rPr>
        <w:t xml:space="preserve">nsuring </w:t>
      </w:r>
      <w:r w:rsidRPr="33418A90" w:rsidR="00AA29B3">
        <w:rPr>
          <w:rFonts w:ascii="Comic Sans MS" w:hAnsi="Comic Sans MS"/>
          <w:sz w:val="22"/>
          <w:szCs w:val="22"/>
          <w:lang w:eastAsia="en-GB"/>
        </w:rPr>
        <w:t xml:space="preserve">regular prenatal care. The level of education</w:t>
      </w:r>
      <w:r w:rsidRPr="00A042BE" w:rsidR="00AA29B3">
        <w:rPr>
          <w:rFonts w:ascii="Comic Sans MS" w:hAnsi="Comic Sans MS"/>
          <w:sz w:val="24"/>
          <w:szCs w:val="24"/>
          <w:lang w:eastAsia="en-GB"/>
        </w:rPr>
        <w:t xml:space="preserve"> </w:t>
      </w:r>
      <w:r w:rsidRPr="00C05250" w:rsidR="00AA29B3">
        <w:rPr>
          <w:rFonts w:ascii="Comic Sans MS" w:hAnsi="Comic Sans MS"/>
          <w:lang w:eastAsia="en-GB"/>
        </w:rPr>
        <w:t xml:space="preserve">of parenting should not be assumed to avoid poor health for mother and baby. Through prenatal care</w:t>
      </w:r>
      <w:r w:rsidRPr="00C05250" w:rsidR="7666EDA2">
        <w:rPr>
          <w:rFonts w:ascii="Comic Sans MS" w:hAnsi="Comic Sans MS"/>
          <w:lang w:eastAsia="en-GB"/>
        </w:rPr>
        <w:t xml:space="preserve">,</w:t>
      </w:r>
      <w:r w:rsidRPr="00C05250" w:rsidR="00AA29B3">
        <w:rPr>
          <w:rFonts w:ascii="Comic Sans MS" w:hAnsi="Comic Sans MS"/>
          <w:lang w:eastAsia="en-GB"/>
        </w:rPr>
        <w:t xml:space="preserve"> breastfeeding support can be </w:t>
      </w:r>
      <w:r w:rsidRPr="00C05250" w:rsidR="00AA29B3">
        <w:rPr>
          <w:rFonts w:ascii="Comic Sans MS" w:hAnsi="Comic Sans MS"/>
          <w:lang w:eastAsia="en-GB"/>
        </w:rPr>
        <w:t>provided</w:t>
      </w:r>
      <w:r w:rsidRPr="00C05250" w:rsidR="00AA29B3">
        <w:rPr>
          <w:rFonts w:ascii="Comic Sans MS" w:hAnsi="Comic Sans MS"/>
          <w:lang w:eastAsia="en-GB"/>
        </w:rPr>
        <w:t xml:space="preserve"> and checks on maternal mental health and wellbeing can be done.</w:t>
      </w:r>
      <w:r w:rsidRPr="00C05250" w:rsidR="00AA29B3">
        <w:rPr>
          <w:rFonts w:ascii="Comic Sans MS" w:hAnsi="Comic Sans MS"/>
        </w:rPr>
        <w:t xml:space="preserve"> Supporting maternal well-being across these factors can have a positive impact on the development of the child during the critical first 1000 days of life. It is essential to take</w:t>
      </w:r>
      <w:r w:rsidRPr="00C05250" w:rsidR="00AA29B3">
        <w:rPr>
          <w:rFonts w:ascii="Comic Sans MS" w:hAnsi="Comic Sans MS"/>
        </w:rPr>
        <w:t xml:space="preserve"> </w:t>
      </w:r>
      <w:r w:rsidRPr="00C05250" w:rsidR="00AA29B3">
        <w:rPr>
          <w:rFonts w:ascii="Comic Sans MS" w:hAnsi="Comic Sans MS"/>
        </w:rPr>
        <w:t xml:space="preserve">a holistic approac</w:t>
      </w:r>
      <w:r w:rsidRPr="00C05250" w:rsidR="00AA29B3">
        <w:rPr>
          <w:rFonts w:ascii="Comic Sans MS" w:hAnsi="Comic Sans MS"/>
        </w:rPr>
        <w:t xml:space="preserve">h</w:t>
      </w:r>
      <w:r w:rsidRPr="00C05250" w:rsidR="00AA29B3">
        <w:rPr>
          <w:rFonts w:ascii="Comic Sans MS" w:hAnsi="Comic Sans MS"/>
        </w:rPr>
        <w:t xml:space="preserve">, addressing various aspects of maternal health and </w:t>
      </w:r>
      <w:r w:rsidRPr="00C05250" w:rsidR="00AA29B3">
        <w:rPr>
          <w:rFonts w:ascii="Comic Sans MS" w:hAnsi="Comic Sans MS"/>
        </w:rPr>
        <w:t xml:space="preserve">providing</w:t>
      </w:r>
      <w:r w:rsidRPr="00C05250" w:rsidR="00AA29B3">
        <w:rPr>
          <w:rFonts w:ascii="Comic Sans MS" w:hAnsi="Comic Sans MS"/>
        </w:rPr>
        <w:t xml:space="preserve"> comprehensive support systems (Kattula D, Sarkar R,</w:t>
      </w:r>
      <w:r w:rsidRPr="00C05250" w:rsidR="00AA29B3">
        <w:rPr>
          <w:rFonts w:ascii="Comic Sans MS" w:hAnsi="Comic Sans MS"/>
        </w:rPr>
        <w:t xml:space="preserve"> </w:t>
      </w:r>
      <w:r w:rsidRPr="00C05250" w:rsidR="00AA29B3">
        <w:rPr>
          <w:rFonts w:ascii="Comic Sans MS" w:hAnsi="Comic Sans MS"/>
        </w:rPr>
        <w:t xml:space="preserve">Sivarathinaswam</w:t>
      </w:r>
      <w:r w:rsidRPr="00C05250" w:rsidR="00AA29B3">
        <w:rPr>
          <w:rFonts w:ascii="Comic Sans MS" w:hAnsi="Comic Sans MS"/>
        </w:rPr>
        <w:t xml:space="preserve">y</w:t>
      </w:r>
      <w:r w:rsidRPr="00C05250" w:rsidR="00AA29B3">
        <w:rPr>
          <w:rFonts w:ascii="Comic Sans MS" w:hAnsi="Comic Sans MS"/>
        </w:rPr>
        <w:t xml:space="preserve"> P, et al 2014).</w:t>
      </w:r>
    </w:p>
    <w:p w:rsidRPr="001527CF" w:rsidR="001527CF" w:rsidP="001527CF" w:rsidRDefault="001527CF" w14:paraId="6F9993DE" w14:textId="77777777">
      <w:pPr>
        <w:rPr>
          <w:rFonts w:ascii="Comic Sans MS" w:hAnsi="Comic Sans MS"/>
          <w:b/>
          <w:bCs/>
          <w:color w:val="70AD47" w:themeColor="accent6"/>
          <w:sz w:val="32"/>
          <w:szCs w:val="32"/>
        </w:rPr>
      </w:pPr>
      <w:r w:rsidRPr="001527CF">
        <w:rPr>
          <w:rFonts w:ascii="Comic Sans MS" w:hAnsi="Comic Sans MS"/>
          <w:b/>
          <w:bCs/>
          <w:color w:val="70AD47" w:themeColor="accent6"/>
          <w:sz w:val="32"/>
          <w:szCs w:val="32"/>
        </w:rPr>
        <w:t>Challenges</w:t>
      </w:r>
    </w:p>
    <w:p w:rsidRPr="00A32EDD" w:rsidR="001527CF" w:rsidP="001527CF" w:rsidRDefault="001527CF" w14:paraId="71CA9AC4" w14:textId="203085EA">
      <w:pPr>
        <w:rPr>
          <w:rFonts w:ascii="Comic Sans MS" w:hAnsi="Comic Sans MS"/>
        </w:rPr>
      </w:pPr>
      <w:r w:rsidRPr="33418A90" w:rsidR="001527CF">
        <w:rPr>
          <w:rFonts w:ascii="Comic Sans MS" w:hAnsi="Comic Sans MS"/>
        </w:rPr>
        <w:t xml:space="preserve">Providing </w:t>
      </w:r>
      <w:r w:rsidRPr="33418A90" w:rsidR="593657D8">
        <w:rPr>
          <w:rFonts w:ascii="Comic Sans MS" w:hAnsi="Comic Sans MS"/>
        </w:rPr>
        <w:t>exceptional</w:t>
      </w:r>
      <w:r w:rsidRPr="33418A90" w:rsidR="001527CF">
        <w:rPr>
          <w:rFonts w:ascii="Comic Sans MS" w:hAnsi="Comic Sans MS"/>
        </w:rPr>
        <w:t xml:space="preserve"> care during the first 1000 days is essential for ensuring a child's well-being and future outcomes. However, there may be several challenges associated with delivering this </w:t>
      </w:r>
      <w:r w:rsidRPr="33418A90" w:rsidR="0D381D06">
        <w:rPr>
          <w:rFonts w:ascii="Comic Sans MS" w:hAnsi="Comic Sans MS"/>
        </w:rPr>
        <w:t>exceptional</w:t>
      </w:r>
      <w:r w:rsidRPr="33418A90" w:rsidR="001527CF">
        <w:rPr>
          <w:rFonts w:ascii="Comic Sans MS" w:hAnsi="Comic Sans MS"/>
        </w:rPr>
        <w:t xml:space="preserve"> care during the first 1000 days.</w:t>
      </w:r>
    </w:p>
    <w:p w:rsidRPr="00A32EDD" w:rsidR="001527CF" w:rsidP="001527CF" w:rsidRDefault="001527CF" w14:paraId="04A0396F" w14:textId="24B5911A">
      <w:pPr>
        <w:rPr>
          <w:rFonts w:ascii="Comic Sans MS" w:hAnsi="Comic Sans MS"/>
        </w:rPr>
      </w:pPr>
      <w:r w:rsidRPr="33418A90" w:rsidR="001527CF">
        <w:rPr>
          <w:rFonts w:ascii="Comic Sans MS" w:hAnsi="Comic Sans MS"/>
        </w:rPr>
        <w:t>Regardless of where the child</w:t>
      </w:r>
      <w:r w:rsidRPr="33418A90" w:rsidR="001527CF">
        <w:rPr>
          <w:rFonts w:ascii="Comic Sans MS" w:hAnsi="Comic Sans MS"/>
        </w:rPr>
        <w:t xml:space="preserve"> is</w:t>
      </w:r>
      <w:r w:rsidRPr="33418A90" w:rsidR="1E26DB11">
        <w:rPr>
          <w:rFonts w:ascii="Comic Sans MS" w:hAnsi="Comic Sans MS"/>
        </w:rPr>
        <w:t>,</w:t>
      </w:r>
      <w:r w:rsidRPr="33418A90" w:rsidR="001527CF">
        <w:rPr>
          <w:rFonts w:ascii="Comic Sans MS" w:hAnsi="Comic Sans MS"/>
        </w:rPr>
        <w:t xml:space="preserve"> whether at home or in </w:t>
      </w:r>
      <w:r w:rsidRPr="33418A90" w:rsidR="26DFD4D9">
        <w:rPr>
          <w:rFonts w:ascii="Comic Sans MS" w:hAnsi="Comic Sans MS"/>
        </w:rPr>
        <w:t>the presence of a caregiver,</w:t>
      </w:r>
      <w:r w:rsidRPr="33418A90" w:rsidR="001527CF">
        <w:rPr>
          <w:rFonts w:ascii="Comic Sans MS" w:hAnsi="Comic Sans MS"/>
        </w:rPr>
        <w:t xml:space="preserve"> being in an enabling environment will support all areas of development. Exposure to environmental hazards, such as pollution and inadequate living conditions, can negatively affect a child's health and development. Early years alliance (2016) tells us that “An enabling environment is a rich and varied space where risks are minimised and well managed, and children are protected from harm and abuse.”</w:t>
      </w:r>
    </w:p>
    <w:p w:rsidRPr="00C51841" w:rsidR="00990663" w:rsidP="001527CF" w:rsidRDefault="00990663" w14:paraId="12203214" w14:textId="51A2C86F">
      <w:pPr>
        <w:rPr>
          <w:rFonts w:ascii="Comic Sans MS" w:hAnsi="Comic Sans MS"/>
          <w:sz w:val="24"/>
          <w:szCs w:val="24"/>
        </w:rPr>
      </w:pPr>
      <w:r w:rsidRPr="00990663">
        <w:rPr>
          <w:rFonts w:ascii="Comic Sans MS" w:hAnsi="Comic Sans MS"/>
          <w:noProof/>
          <w:sz w:val="24"/>
          <w:szCs w:val="24"/>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8" behindDoc="0" locked="0" layoutInCell="1" allowOverlap="1" wp14:anchorId="0A237582" wp14:editId="7B64E105">
                <wp:simplePos xmlns:wp="http://schemas.openxmlformats.org/drawingml/2006/wordprocessingDrawing" x="0" y="0"/>
                <wp:positionH xmlns:wp="http://schemas.openxmlformats.org/drawingml/2006/wordprocessingDrawing" relativeFrom="column">
                  <wp:posOffset>2037080</wp:posOffset>
                </wp:positionH>
                <wp:positionV xmlns:wp="http://schemas.openxmlformats.org/drawingml/2006/wordprocessingDrawing" relativeFrom="paragraph">
                  <wp:posOffset>168910</wp:posOffset>
                </wp:positionV>
                <wp:extent cx="3570605" cy="1104900"/>
                <wp:effectExtent l="0" t="0" r="10795" b="19050"/>
                <wp:wrapSquare xmlns:wp="http://schemas.openxmlformats.org/drawingml/2006/wordprocessingDrawing" wrapText="bothSides"/>
                <wp:docPr xmlns:wp="http://schemas.openxmlformats.org/drawingml/2006/wordprocessingDrawing" id="1508508482" name="Text Box 150850848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Group">
                    <wpg:wgp xmlns:wpg="http://schemas.microsoft.com/office/word/2010/wordprocessingGroup">
                      <wpg:cNvGrpSpPr/>
                      <wpg:grpSpPr>
                        <a:xfrm>
                          <a:off x="0" y="0"/>
                          <a:ext cx="3570605" cy="1104900"/>
                          <a:chOff x="0" y="0"/>
                          <a:chExt cx="3570605" cy="1104900"/>
                        </a:xfrm>
                      </wpg:grpSpPr>
                      <wps:wsp xmlns:wps="http://schemas.microsoft.com/office/word/2010/wordprocessingShape">
                        <wps:cNvPr id="2" name="Rectangle 2"/>
                        <wps:cNvSpPr>
                          <a:spLocks noChangeArrowheads="1"/>
                        </wps:cNvSpPr>
                        <wps:spPr>
                          <a:xfrm>
                            <a:off x="0" y="0"/>
                            <a:ext cx="3570605" cy="1104900"/>
                          </a:xfrm>
                          <a:prstGeom prst="rect">
                            <a:avLst/>
                          </a:prstGeom>
                          <a:solidFill>
                            <a:srgbClr val="FFFFFF"/>
                          </a:solidFill>
                          <a:ln w="9525">
                            <a:solidFill>
                              <a:srgbClr val="000000"/>
                            </a:solidFill>
                            <a:miter/>
                          </a:ln>
                        </wps:spPr>
                        <wps:txbx>
                          <w:txbxContent>
                            <w:p w:rsidR="0072760D" w:rsidP="0072760D" w:rsidRDefault="0072760D">
                              <w:pPr>
                                <w:spacing w:line="256" w:lineRule="auto"/>
                                <w:rPr>
                                  <w:rFonts w:ascii="Comic Sans MS" w:hAnsi="Comic Sans MS"/>
                                  <w:kern w:val="0"/>
                                  <w:sz w:val="18"/>
                                  <w:szCs w:val="18"/>
                                  <w14:ligatures xmlns:w14="http://schemas.microsoft.com/office/word/2010/wordml" w14:val="none"/>
                                </w:rPr>
                              </w:pPr>
                              <w:r>
                                <w:rPr>
                                  <w:rFonts w:ascii="Comic Sans MS" w:hAnsi="Comic Sans MS"/>
                                  <w:sz w:val="18"/>
                                  <w:szCs w:val="18"/>
                                </w:rPr>
                                <w:t>Image 6                                                                         Brook(2023) looks at different ways any environment can become an enabling environment “</w:t>
                              </w:r>
                              <w:r>
                                <w:rPr>
                                  <w:rFonts w:ascii="Comic Sans MS" w:hAnsi="Comic Sans MS"/>
                                  <w:color w:val="333333"/>
                                  <w:sz w:val="18"/>
                                  <w:szCs w:val="18"/>
                                </w:rPr>
                                <w:t> For young children, interest areas guide play, exploration and discovery which are all used to help children develop and learn!</w:t>
                              </w:r>
                            </w:p>
                          </w:txbxContent>
                        </wps:txbx>
                        <wps:bodyPr wrap="square" lIns="91440" tIns="45720" rIns="91440" bIns="45720" anchor="t">
                          <a:noAutofit/>
                        </wps:bodyPr>
                      </wps:wsp>
                      <wps:wsp xmlns:wps="http://schemas.microsoft.com/office/word/2010/wordprocessingShape">
                        <wps:cNvPr id="3" name="Rectangle 3"/>
                        <wps:cNvSpPr/>
                        <wps:spPr>
                          <a:xfrm flipV="1">
                            <a:off x="1455102" y="501650"/>
                            <a:ext cx="9525" cy="50800"/>
                          </a:xfrm>
                          <a:prstGeom prst="rect">
                            <a:avLst/>
                          </a:prstGeom>
                          <a:solidFill>
                            <a:schemeClr val="lt1"/>
                          </a:solidFill>
                          <a:ln>
                            <a:solidFill>
                              <a:srgbClr val="000000"/>
                            </a:solidFill>
                          </a:ln>
                        </wps:spPr>
                        <wps:bodyPr anchor="t"/>
                      </wps:wsp>
                    </wpg:wg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Pr>
          <w:noProof/>
        </w:rPr>
        <w:drawing>
          <wp:inline distT="0" distB="0" distL="0" distR="0" wp14:anchorId="149C5E20" wp14:editId="1160169D">
            <wp:extent cx="1671842" cy="1411242"/>
            <wp:effectExtent l="0" t="0" r="0" b="0"/>
            <wp:docPr id="1990598997" name="Picture 1990598997" descr="Moorevilla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oorevilla Nurser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82875" cy="1420556"/>
                    </a:xfrm>
                    <a:prstGeom prst="rect">
                      <a:avLst/>
                    </a:prstGeom>
                    <a:noFill/>
                    <a:ln>
                      <a:noFill/>
                    </a:ln>
                  </pic:spPr>
                </pic:pic>
              </a:graphicData>
            </a:graphic>
          </wp:inline>
        </w:drawing>
      </w:r>
    </w:p>
    <w:p w:rsidRPr="00A32EDD" w:rsidR="001527CF" w:rsidP="001527CF" w:rsidRDefault="001527CF" w14:paraId="11C7FDEA" w14:textId="180FF9D4">
      <w:pPr>
        <w:rPr>
          <w:rFonts w:ascii="Comic Sans MS" w:hAnsi="Comic Sans MS"/>
        </w:rPr>
      </w:pPr>
      <w:r w:rsidRPr="33418A90" w:rsidR="001527CF">
        <w:rPr>
          <w:rFonts w:ascii="Comic Sans MS" w:hAnsi="Comic Sans MS"/>
        </w:rPr>
        <w:t xml:space="preserve">Routines can often be a barrier of </w:t>
      </w:r>
      <w:r w:rsidRPr="33418A90" w:rsidR="7A78DEF3">
        <w:rPr>
          <w:rFonts w:ascii="Comic Sans MS" w:hAnsi="Comic Sans MS"/>
        </w:rPr>
        <w:t>exceptional</w:t>
      </w:r>
      <w:r w:rsidRPr="33418A90" w:rsidR="001527CF">
        <w:rPr>
          <w:rFonts w:ascii="Comic Sans MS" w:hAnsi="Comic Sans MS"/>
        </w:rPr>
        <w:t xml:space="preserve"> care, though a good stable routine is desirable there can be factors out of control such as illness or family circumstances. Simple routines that are established at home may not be something that are fostered at a setting, for example, sitting on the floor for snack in </w:t>
      </w:r>
      <w:r w:rsidRPr="33418A90" w:rsidR="414365C1">
        <w:rPr>
          <w:rFonts w:ascii="Comic Sans MS" w:hAnsi="Comic Sans MS"/>
        </w:rPr>
        <w:t xml:space="preserve">a </w:t>
      </w:r>
      <w:r w:rsidRPr="33418A90" w:rsidR="001527CF">
        <w:rPr>
          <w:rFonts w:ascii="Comic Sans MS" w:hAnsi="Comic Sans MS"/>
        </w:rPr>
        <w:t>setting but at the table for snack at home, this may be unsettling and confusing for a child. If a child can have a secure attachment and build a trusting relationship, then transit</w:t>
      </w:r>
      <w:r w:rsidRPr="33418A90" w:rsidR="012D88E6">
        <w:rPr>
          <w:rFonts w:ascii="Comic Sans MS" w:hAnsi="Comic Sans MS"/>
        </w:rPr>
        <w:t>ion</w:t>
      </w:r>
      <w:r w:rsidRPr="33418A90" w:rsidR="001527CF">
        <w:rPr>
          <w:rFonts w:ascii="Comic Sans MS" w:hAnsi="Comic Sans MS"/>
        </w:rPr>
        <w:t>ing between different routines may happen with more ease.</w:t>
      </w:r>
    </w:p>
    <w:p w:rsidR="00D5454C" w:rsidP="33418A90" w:rsidRDefault="001527CF" w14:paraId="5A74B99E" w14:textId="26D5B5EC">
      <w:pPr>
        <w:pStyle w:val="Normal"/>
        <w:rPr>
          <w:rFonts w:ascii="Comic Sans MS" w:hAnsi="Comic Sans MS"/>
          <w:sz w:val="24"/>
          <w:szCs w:val="24"/>
        </w:rPr>
      </w:pPr>
      <w:r w:rsidRPr="33418A90" w:rsidR="001527CF">
        <w:rPr>
          <w:rFonts w:ascii="Comic Sans MS" w:hAnsi="Comic Sans MS"/>
        </w:rPr>
        <w:t xml:space="preserve">In recent years </w:t>
      </w:r>
      <w:r w:rsidRPr="33418A90" w:rsidR="6463B7EF">
        <w:rPr>
          <w:rFonts w:ascii="Comic Sans MS" w:hAnsi="Comic Sans MS"/>
        </w:rPr>
        <w:t>COVID-19</w:t>
      </w:r>
      <w:r w:rsidRPr="33418A90" w:rsidR="001527CF">
        <w:rPr>
          <w:rFonts w:ascii="Comic Sans MS" w:hAnsi="Comic Sans MS"/>
        </w:rPr>
        <w:t xml:space="preserve"> has proven to be a significant barrier to development in the first 1000 days and further. The COVID-19 </w:t>
      </w:r>
      <w:r w:rsidRPr="33418A90" w:rsidR="2CDED300">
        <w:rPr>
          <w:rFonts w:ascii="Comic Sans MS" w:hAnsi="Comic Sans MS"/>
        </w:rPr>
        <w:t>pandemic had</w:t>
      </w:r>
      <w:r w:rsidRPr="33418A90" w:rsidR="001527CF">
        <w:rPr>
          <w:rFonts w:ascii="Comic Sans MS" w:hAnsi="Comic Sans MS"/>
        </w:rPr>
        <w:t xml:space="preserve"> a profound impact on various aspects of society, including its effects on early childhood development. While the long-term consequences are still being studied, there are several ways in which the pandemic has influenced early development.</w:t>
      </w:r>
      <w:r w:rsidRPr="33418A90" w:rsidR="001527CF">
        <w:rPr>
          <w:rFonts w:ascii="Comic Sans MS" w:hAnsi="Comic Sans MS"/>
          <w:sz w:val="24"/>
          <w:szCs w:val="24"/>
        </w:rPr>
        <w:t xml:space="preserve"> </w:t>
      </w:r>
      <w:r w:rsidRPr="33418A90" w:rsidR="001527CF">
        <w:rPr>
          <w:rFonts w:ascii="Comic Sans MS" w:hAnsi="Comic Sans MS"/>
        </w:rPr>
        <w:t>Children spent more time with family and potentially built much stronger bonds than would normally be expected,  this may then</w:t>
      </w:r>
      <w:r w:rsidRPr="33418A90" w:rsidR="3EAB36A9">
        <w:rPr>
          <w:rFonts w:ascii="Comic Sans MS" w:hAnsi="Comic Sans MS"/>
        </w:rPr>
        <w:t xml:space="preserve"> have</w:t>
      </w:r>
      <w:r w:rsidRPr="33418A90" w:rsidR="001527CF">
        <w:rPr>
          <w:rFonts w:ascii="Comic Sans MS" w:hAnsi="Comic Sans MS"/>
        </w:rPr>
        <w:t xml:space="preserve"> present</w:t>
      </w:r>
      <w:r w:rsidRPr="33418A90" w:rsidR="76DFF4A1">
        <w:rPr>
          <w:rFonts w:ascii="Comic Sans MS" w:hAnsi="Comic Sans MS"/>
        </w:rPr>
        <w:t>ed</w:t>
      </w:r>
      <w:r w:rsidRPr="33418A90" w:rsidR="001527CF">
        <w:rPr>
          <w:rFonts w:ascii="Comic Sans MS" w:hAnsi="Comic Sans MS"/>
        </w:rPr>
        <w:t xml:space="preserve"> as a challenge when a child was brought to a setting and separation anxiety</w:t>
      </w:r>
      <w:r w:rsidRPr="33418A90" w:rsidR="001527CF">
        <w:rPr>
          <w:rFonts w:ascii="Comic Sans MS" w:hAnsi="Comic Sans MS"/>
          <w:sz w:val="24"/>
          <w:szCs w:val="24"/>
        </w:rPr>
        <w:t xml:space="preserve"> </w:t>
      </w:r>
      <w:r w:rsidRPr="33418A90" w:rsidR="001527CF">
        <w:rPr>
          <w:rFonts w:ascii="Comic Sans MS" w:hAnsi="Comic Sans MS"/>
        </w:rPr>
        <w:t xml:space="preserve">was displayed from parent and child, this may mean that the setting will need to put new procedures in place to allow for more stay and play sessions and bring transitional objects with them until a relationship can begin to be formed. </w:t>
      </w:r>
      <w:r w:rsidRPr="33418A90" w:rsidR="10B68AB1">
        <w:rPr>
          <w:rFonts w:ascii="Comic Sans MS" w:hAnsi="Comic Sans MS"/>
        </w:rPr>
        <w:t>COVID-19</w:t>
      </w:r>
      <w:r w:rsidRPr="33418A90" w:rsidR="001527CF">
        <w:rPr>
          <w:rFonts w:ascii="Comic Sans MS" w:hAnsi="Comic Sans MS"/>
        </w:rPr>
        <w:t xml:space="preserve"> required people to wear masks which could have </w:t>
      </w:r>
      <w:r w:rsidRPr="33418A90" w:rsidR="001527CF">
        <w:rPr>
          <w:rFonts w:ascii="Comic Sans MS" w:hAnsi="Comic Sans MS"/>
        </w:rPr>
        <w:t>impacted</w:t>
      </w:r>
      <w:r w:rsidRPr="33418A90" w:rsidR="001527CF">
        <w:rPr>
          <w:rFonts w:ascii="Comic Sans MS" w:hAnsi="Comic Sans MS"/>
        </w:rPr>
        <w:t xml:space="preserve"> on the way a child viewed the world around them. Young children learn and develop through social interactions. The restrictions on social gatherings, playdates, and family visits may have limited opportunities for socialisation, potentially affecting social and emotional development (Tyrie, J. Knight, C. Borras, M 2021).</w:t>
      </w:r>
      <w:r w:rsidRPr="33418A90" w:rsidR="001527CF">
        <w:rPr>
          <w:rFonts w:ascii="Comic Sans MS" w:hAnsi="Comic Sans MS"/>
          <w:sz w:val="24"/>
          <w:szCs w:val="24"/>
        </w:rPr>
        <w:t xml:space="preserve"> </w:t>
      </w:r>
    </w:p>
    <w:p w:rsidR="009360D0" w:rsidP="009360D0" w:rsidRDefault="009360D0" w14:paraId="12CBD749" w14:textId="2E8324DF">
      <w:pPr>
        <w:jc w:val="right"/>
        <w:rPr>
          <w:rFonts w:ascii="Comic Sans MS" w:hAnsi="Comic Sans MS"/>
          <w:sz w:val="24"/>
          <w:szCs w:val="24"/>
        </w:rPr>
      </w:pPr>
      <w:r w:rsidRPr="009360D0">
        <w:rPr>
          <w:rFonts w:ascii="Comic Sans MS" w:hAnsi="Comic Sans MS"/>
          <w:noProof/>
          <w:sz w:val="24"/>
          <w:szCs w:val="24"/>
        </w:rPr>
        <mc:AlternateContent>
          <mc:Choice Requires="wps">
            <w:drawing>
              <wp:anchor distT="45720" distB="45720" distL="114300" distR="114300" simplePos="0" relativeHeight="251658249" behindDoc="0" locked="0" layoutInCell="1" allowOverlap="1" wp14:anchorId="3C609B29" wp14:editId="0ADEDD89">
                <wp:simplePos x="0" y="0"/>
                <wp:positionH relativeFrom="margin">
                  <wp:align>left</wp:align>
                </wp:positionH>
                <wp:positionV relativeFrom="paragraph">
                  <wp:posOffset>7620</wp:posOffset>
                </wp:positionV>
                <wp:extent cx="2750185" cy="1835785"/>
                <wp:effectExtent l="0" t="0" r="12065" b="12065"/>
                <wp:wrapSquare wrapText="bothSides"/>
                <wp:docPr id="396750740" name="Text Box 3967507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0185" cy="1835834"/>
                        </a:xfrm>
                        <a:prstGeom prst="rect">
                          <a:avLst/>
                        </a:prstGeom>
                        <a:solidFill>
                          <a:srgbClr val="FFFFFF"/>
                        </a:solidFill>
                        <a:ln w="9525">
                          <a:solidFill>
                            <a:srgbClr val="000000"/>
                          </a:solidFill>
                          <a:miter lim="800000"/>
                          <a:headEnd/>
                          <a:tailEnd/>
                        </a:ln>
                      </wps:spPr>
                      <wps:txbx>
                        <w:txbxContent>
                          <w:p w:rsidRPr="00211F05" w:rsidR="005B56B4" w:rsidP="005B56B4" w:rsidRDefault="005B56B4" w14:paraId="6CF0609F" w14:textId="77777777">
                            <w:r>
                              <w:t>Research from the NCBI (2022) tells us that while masks were necessary during the pandemic  care givers wearing masks could have “</w:t>
                            </w:r>
                            <w:r w:rsidRPr="00211F05">
                              <w:t>negative implications for children’s progress in education as well as when building relationships with peers and teachers during a sensitive period of development for both language and social-emotional skills</w:t>
                            </w:r>
                            <w:r>
                              <w:t>”</w:t>
                            </w:r>
                          </w:p>
                          <w:p w:rsidR="009360D0" w:rsidRDefault="009360D0" w14:paraId="69B88571" w14:textId="1887FC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DB779C3">
              <v:shape id="Text Box 396750740" style="position:absolute;left:0;text-align:left;margin-left:0;margin-top:.6pt;width:216.55pt;height:144.55pt;z-index:251658249;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spid="_x0000_s103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" w14:anchorId="3C609B29">
                <v:textbox>
                  <w:txbxContent>
                    <w:p w:rsidRPr="00211F05" w:rsidR="005B56B4" w:rsidP="005B56B4" w:rsidRDefault="005B56B4" w14:paraId="05CA5450" w14:textId="77777777">
                      <w:r>
                        <w:t>Research from the NCBI (2022) tells us that while masks were necessary during the pandemic  care givers wearing masks could have “</w:t>
                      </w:r>
                      <w:r w:rsidRPr="00211F05">
                        <w:t>negative implications for children’s progress in education as well as when building relationships with peers and teachers during a sensitive period of development for both language and social-emotional skills</w:t>
                      </w:r>
                      <w:r>
                        <w:t>”</w:t>
                      </w:r>
                    </w:p>
                    <w:p w:rsidR="009360D0" w:rsidRDefault="009360D0" w14:paraId="672A6659" w14:textId="1887FCAF"/>
                  </w:txbxContent>
                </v:textbox>
                <w10:wrap type="square" anchorx="margin"/>
              </v:shape>
            </w:pict>
          </mc:Fallback>
        </mc:AlternateContent>
      </w:r>
      <w:r>
        <w:rPr>
          <w:noProof/>
        </w:rPr>
        <w:drawing>
          <wp:inline distT="0" distB="0" distL="0" distR="0" wp14:anchorId="1CFBB73C" wp14:editId="7BD7658F">
            <wp:extent cx="2436550" cy="1598930"/>
            <wp:effectExtent l="0" t="0" r="1905" b="1270"/>
            <wp:docPr id="1470709572" name="Picture 1470709572" descr="daycare teacher wearing a mask at Bright Horiz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aycare teacher wearing a mask at Bright Horizon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45754" cy="1604970"/>
                    </a:xfrm>
                    <a:prstGeom prst="rect">
                      <a:avLst/>
                    </a:prstGeom>
                    <a:noFill/>
                    <a:ln>
                      <a:noFill/>
                    </a:ln>
                  </pic:spPr>
                </pic:pic>
              </a:graphicData>
            </a:graphic>
          </wp:inline>
        </w:drawing>
      </w:r>
    </w:p>
    <w:p w:rsidR="0080751A" w:rsidP="7A0D60E5" w:rsidRDefault="0080751A" w14:paraId="705BDCC1" w14:textId="42044645">
      <w:pPr>
        <w:pStyle w:val="Normal"/>
        <w:ind w:left="4320" w:firstLine="0"/>
        <w:rPr>
          <w:rFonts w:ascii="Comic Sans MS" w:hAnsi="Comic Sans MS"/>
          <w:sz w:val="24"/>
          <w:szCs w:val="24"/>
        </w:rPr>
      </w:pPr>
      <w:r w:rsidR="55F1A47A">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45720" distB="45720" distL="114300" distR="114300" wp14:anchorId="79F43A50" wp14:editId="72CE4FA3">
                <wp:extent xmlns:wp="http://schemas.openxmlformats.org/drawingml/2006/wordprocessingDrawing" cx="2377440" cy="442595"/>
                <wp:effectExtent xmlns:wp="http://schemas.openxmlformats.org/drawingml/2006/wordprocessingDrawing" l="0" t="0" r="22860" b="14605"/>
                <wp:docPr xmlns:wp="http://schemas.openxmlformats.org/drawingml/2006/wordprocessingDrawing" id="1001965812" name="Text Box 1332197976"/>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377440" cy="442595"/>
                        </a:xfrm>
                        <a:prstGeom prst="rect">
                          <a:avLst/>
                        </a:prstGeom>
                        <a:solidFill>
                          <a:srgbClr val="FFFFFF"/>
                        </a:solidFill>
                        <a:ln w="9525">
                          <a:solidFill>
                            <a:srgbClr val="000000"/>
                          </a:solidFill>
                          <a:miter lim="800000"/>
                          <a:headEnd/>
                          <a:tailEnd/>
                        </a:ln>
                      </wps:spPr>
                      <wps:txbx>
                        <w:txbxContent xmlns:w="http://schemas.openxmlformats.org/wordprocessingml/2006/main">
                          <w:p w:rsidR="0080751A" w:rsidRDefault="00CB788C">
                            <w:r>
                              <w:t xml:space="preserve">Image 7 </w:t>
                            </w:r>
                            <w:r w:rsidR="00A124AB">
                              <w:t>Bright Horizons(2020)</w:t>
                            </w:r>
                          </w:p>
                        </w:txbxContent>
                      </wps:txbx>
                      <wps:bodyPr rot="0" vert="horz" wrap="square" lIns="91440" tIns="45720" rIns="91440" bIns="45720" anchor="t" anchorCtr="0">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xmlns:mc="http://schemas.openxmlformats.org/markup-compatibility/2006"/>
        </mc:AlternateContent>
      </w:r>
    </w:p>
    <w:p w:rsidRPr="00A32EDD" w:rsidR="00432010" w:rsidP="00AA29B3" w:rsidRDefault="001527CF" w14:paraId="5AD3EB6D" w14:textId="70A13CEB">
      <w:pPr>
        <w:rPr>
          <w:rFonts w:ascii="Comic Sans MS" w:hAnsi="Comic Sans MS"/>
        </w:rPr>
      </w:pPr>
      <w:r w:rsidRPr="33418A90" w:rsidR="001527CF">
        <w:rPr>
          <w:rFonts w:ascii="Comic Sans MS" w:hAnsi="Comic Sans MS"/>
        </w:rPr>
        <w:t xml:space="preserve">The pressure on healthcare systems and concerns about virus may have led to challenges in accessing routine healthcare services, including vaccinations and check-ups. Children with special needs or developmental delays may have faced additional challenges due to disruptions in therapy services and support systems (Familyandchildcaretrust.org 2022). It is important to remember that while these challenges exist, many families and communities have demonstrated resilience and adaptability during these unprecedented times. Ongoing research is needed to fully understand the long-term effects of the pandemic on early childhood development and to inform strategies for mitigating any negative impacts. </w:t>
      </w:r>
      <w:r w:rsidRPr="33418A90" w:rsidR="001527CF">
        <w:rPr>
          <w:rFonts w:ascii="Comic Sans MS" w:hAnsi="Comic Sans MS"/>
        </w:rPr>
        <w:t>Supportive policies, community resources, and mental health services are crucial in helping families navigate these challenges and promote positive early development outcomes, and adaptability in</w:t>
      </w:r>
      <w:r w:rsidRPr="33418A90" w:rsidR="23153BED">
        <w:rPr>
          <w:rFonts w:ascii="Comic Sans MS" w:hAnsi="Comic Sans MS"/>
        </w:rPr>
        <w:t xml:space="preserve"> </w:t>
      </w:r>
      <w:r w:rsidRPr="33418A90" w:rsidR="001527CF">
        <w:rPr>
          <w:rFonts w:ascii="Comic Sans MS" w:hAnsi="Comic Sans MS"/>
        </w:rPr>
        <w:t xml:space="preserve">early years </w:t>
      </w:r>
      <w:r w:rsidRPr="33418A90" w:rsidR="49DC5CAF">
        <w:rPr>
          <w:rFonts w:ascii="Comic Sans MS" w:hAnsi="Comic Sans MS"/>
        </w:rPr>
        <w:t xml:space="preserve">settings </w:t>
      </w:r>
      <w:r w:rsidRPr="33418A90" w:rsidR="001527CF">
        <w:rPr>
          <w:rFonts w:ascii="Comic Sans MS" w:hAnsi="Comic Sans MS"/>
        </w:rPr>
        <w:t>and beyond needs to be mindful of the ongoing challenge that Covid 19 may still present.</w:t>
      </w:r>
    </w:p>
    <w:p w:rsidRPr="001A640C" w:rsidR="001A640C" w:rsidP="001A640C" w:rsidRDefault="001A640C" w14:paraId="35C150AB" w14:textId="77777777">
      <w:pPr>
        <w:rPr>
          <w:rFonts w:ascii="Comic Sans MS" w:hAnsi="Comic Sans MS" w:cstheme="minorHAnsi"/>
          <w:b/>
          <w:bCs/>
          <w:color w:val="70AD47" w:themeColor="accent6"/>
          <w:sz w:val="32"/>
          <w:szCs w:val="32"/>
        </w:rPr>
      </w:pPr>
      <w:r w:rsidRPr="001A640C">
        <w:rPr>
          <w:rFonts w:ascii="Comic Sans MS" w:hAnsi="Comic Sans MS" w:cstheme="minorHAnsi"/>
          <w:b/>
          <w:bCs/>
          <w:color w:val="70AD47" w:themeColor="accent6"/>
          <w:sz w:val="32"/>
          <w:szCs w:val="32"/>
        </w:rPr>
        <w:t>Play</w:t>
      </w:r>
    </w:p>
    <w:p w:rsidR="33C8CA4B" w:rsidP="144B503F" w:rsidRDefault="33C8CA4B" w14:paraId="3CB72FE0" w14:textId="36C696B6">
      <w:pPr>
        <w:rPr>
          <w:rFonts w:ascii="Comic Sans MS" w:hAnsi="Comic Sans MS" w:cs="Calibri" w:cstheme="minorAscii"/>
        </w:rPr>
      </w:pPr>
      <w:r w:rsidRPr="33418A90" w:rsidR="33C8CA4B">
        <w:rPr>
          <w:rFonts w:ascii="Comic Sans MS" w:hAnsi="Comic Sans MS" w:cs="Calibri" w:cstheme="minorAscii"/>
        </w:rPr>
        <w:t>During the first 1000 days</w:t>
      </w:r>
      <w:r w:rsidRPr="33418A90" w:rsidR="26F873D2">
        <w:rPr>
          <w:rFonts w:ascii="Comic Sans MS" w:hAnsi="Comic Sans MS" w:cs="Calibri" w:cstheme="minorAscii"/>
        </w:rPr>
        <w:t>,</w:t>
      </w:r>
      <w:r w:rsidRPr="33418A90" w:rsidR="33C8CA4B">
        <w:rPr>
          <w:rFonts w:ascii="Comic Sans MS" w:hAnsi="Comic Sans MS" w:cs="Calibri" w:cstheme="minorAscii"/>
        </w:rPr>
        <w:t xml:space="preserve"> play will be an integral part of holistic development for the child. Loose part play which is highly promoted by Montessori who “places an emphasis on hands-on learning and developing real-world skills.” </w:t>
      </w:r>
      <w:r w:rsidRPr="33418A90" w:rsidR="5533DBAD">
        <w:rPr>
          <w:rFonts w:ascii="Comic Sans MS" w:hAnsi="Comic Sans MS" w:cs="Calibri" w:cstheme="minorAscii"/>
        </w:rPr>
        <w:t>(Wikipedia</w:t>
      </w:r>
      <w:r w:rsidRPr="33418A90" w:rsidR="33C8CA4B">
        <w:rPr>
          <w:rFonts w:ascii="Comic Sans MS" w:hAnsi="Comic Sans MS" w:cs="Calibri" w:cstheme="minorAscii"/>
        </w:rPr>
        <w:t xml:space="preserve"> 2023 paragraph 1). The theory and methods behind Montessori are explored by</w:t>
      </w:r>
      <w:r w:rsidR="33C8CA4B">
        <w:rPr/>
        <w:t xml:space="preserve"> </w:t>
      </w:r>
      <w:hyperlink r:id="Rb0799c6c93304a0d">
        <w:r w:rsidRPr="33418A90" w:rsidR="33C8CA4B">
          <w:rPr>
            <w:rStyle w:val="Hyperlink"/>
            <w:rFonts w:ascii="Comic Sans MS" w:hAnsi="Comic Sans MS"/>
            <w:color w:val="auto"/>
            <w:u w:val="none"/>
          </w:rPr>
          <w:t>Bienen</w:t>
        </w:r>
      </w:hyperlink>
      <w:r w:rsidRPr="33418A90" w:rsidR="33C8CA4B">
        <w:rPr>
          <w:rFonts w:ascii="Comic Sans MS" w:hAnsi="Comic Sans MS" w:cs="Calibri" w:cstheme="minorAscii"/>
        </w:rPr>
        <w:t xml:space="preserve">  (2014) The Montessori method is based on the belief that children are naturally curious, self-directed learners, and the role of practitioner is to foster </w:t>
      </w:r>
      <w:r w:rsidRPr="33418A90" w:rsidR="28643032">
        <w:rPr>
          <w:rFonts w:ascii="Comic Sans MS" w:hAnsi="Comic Sans MS" w:cs="Calibri" w:cstheme="minorAscii"/>
        </w:rPr>
        <w:t>their abilities</w:t>
      </w:r>
      <w:r w:rsidRPr="33418A90" w:rsidR="33C8CA4B">
        <w:rPr>
          <w:rFonts w:ascii="Comic Sans MS" w:hAnsi="Comic Sans MS" w:cs="Calibri" w:cstheme="minorAscii"/>
        </w:rPr>
        <w:t xml:space="preserve"> and development. Montessori education places the child at the centre of the learning process. It recognizes the individuality of each child and tailors’ education to their</w:t>
      </w:r>
      <w:r w:rsidRPr="33418A90" w:rsidR="33C8CA4B">
        <w:rPr>
          <w:rFonts w:ascii="Comic Sans MS" w:hAnsi="Comic Sans MS" w:cs="Calibri" w:cstheme="minorAscii"/>
          <w:sz w:val="24"/>
          <w:szCs w:val="24"/>
        </w:rPr>
        <w:t xml:space="preserve"> </w:t>
      </w:r>
      <w:r w:rsidRPr="33418A90" w:rsidR="33C8CA4B">
        <w:rPr>
          <w:rFonts w:ascii="Comic Sans MS" w:hAnsi="Comic Sans MS" w:cs="Calibri" w:cstheme="minorAscii"/>
        </w:rPr>
        <w:t xml:space="preserve">unique needs and pace of the child’s development. Montessori believed that practitioners should encourage self-directed learning, allowing children to choose activities that interest them and work on them at their own pace. This allows independence and a sense of responsibility and autonomy. While children have the freedom to choose their activities, there are also clear limits and guidelines in the Montessori environment. This balance helps children develop self-discipline and respect for others. This freedom can bring with it a sense of risk, but this can be controlled in an enabling environment with </w:t>
      </w:r>
      <w:r w:rsidRPr="33418A90" w:rsidR="33C8CA4B">
        <w:rPr>
          <w:rFonts w:ascii="Comic Sans MS" w:hAnsi="Comic Sans MS" w:cs="Calibri" w:cstheme="minorAscii"/>
        </w:rPr>
        <w:t>appropriate staffing</w:t>
      </w:r>
      <w:r w:rsidRPr="33418A90" w:rsidR="33C8CA4B">
        <w:rPr>
          <w:rFonts w:ascii="Comic Sans MS" w:hAnsi="Comic Sans MS" w:cs="Calibri" w:cstheme="minorAscii"/>
        </w:rPr>
        <w:t>. Practical life activities are an integral part of Montessori education. Children engage in everyday tasks such as pouring, washing, and dressing themselves, which not only develops motor skills but also instils a sense of independence and responsibility.</w:t>
      </w:r>
    </w:p>
    <w:p w:rsidR="00BF3A22" w:rsidP="144B503F" w:rsidRDefault="000D61FA" w14:paraId="057C7938" w14:textId="7B4CBE78">
      <w:pPr>
        <w:pStyle w:val="Normal"/>
        <w:rPr>
          <w:rFonts w:ascii="Comic Sans MS" w:hAnsi="Comic Sans MS"/>
        </w:rPr>
      </w:pPr>
      <w:r w:rsidRPr="33418A90" w:rsidR="001A640C">
        <w:rPr>
          <w:rFonts w:ascii="Comic Sans MS" w:hAnsi="Comic Sans MS"/>
        </w:rPr>
        <w:t>This is also highly promoted by Goldschmied (2004) and the introduction of Treasure Baskets which provide childre</w:t>
      </w:r>
      <w:r w:rsidRPr="33418A90" w:rsidR="00BF3A22">
        <w:rPr>
          <w:rFonts w:ascii="Comic Sans MS" w:hAnsi="Comic Sans MS"/>
        </w:rPr>
        <w:t>n</w:t>
      </w:r>
      <w:r w:rsidRPr="33418A90" w:rsidR="001A640C">
        <w:rPr>
          <w:rFonts w:ascii="Comic Sans MS" w:hAnsi="Comic Sans MS"/>
        </w:rPr>
        <w:t xml:space="preserve"> with the opportunity to explore everyday objects again enhancing the opportunity for </w:t>
      </w:r>
      <w:r w:rsidRPr="33418A90" w:rsidR="563CDFDA">
        <w:rPr>
          <w:rFonts w:ascii="Comic Sans MS" w:hAnsi="Comic Sans MS"/>
        </w:rPr>
        <w:t>h</w:t>
      </w:r>
      <w:r w:rsidRPr="33418A90" w:rsidR="001A640C">
        <w:rPr>
          <w:rFonts w:ascii="Comic Sans MS" w:hAnsi="Comic Sans MS"/>
        </w:rPr>
        <w:t>euristic development. A treasure basket could include items of a particular theme may be from a kitchen including spoons, forks, cups and pans or something that may follow the sensory route with scarfs and textured balls bells and rattles, this type of sensory basket could be explored by a child independently within the f</w:t>
      </w:r>
      <w:r w:rsidRPr="33418A90" w:rsidR="00BF3A22">
        <w:rPr>
          <w:rFonts w:ascii="Comic Sans MS" w:hAnsi="Comic Sans MS"/>
        </w:rPr>
        <w:t>irst</w:t>
      </w:r>
      <w:r w:rsidRPr="33418A90" w:rsidR="001A640C">
        <w:rPr>
          <w:rFonts w:ascii="Comic Sans MS" w:hAnsi="Comic Sans MS"/>
        </w:rPr>
        <w:t xml:space="preserve"> 1000 days or in the early days with some support from</w:t>
      </w:r>
      <w:r w:rsidRPr="33418A90" w:rsidR="7F1620BF">
        <w:rPr>
          <w:rFonts w:ascii="Comic Sans MS" w:hAnsi="Comic Sans MS"/>
        </w:rPr>
        <w:t xml:space="preserve"> the caregiver.</w:t>
      </w:r>
    </w:p>
    <w:p w:rsidR="00BF3A22" w:rsidP="144B503F" w:rsidRDefault="000D61FA" w14:paraId="6CE49256" w14:textId="12CDC7F9">
      <w:pPr>
        <w:pStyle w:val="Normal"/>
        <w:rPr>
          <w:rFonts w:ascii="Comic Sans MS" w:hAnsi="Comic Sans MS"/>
        </w:rPr>
      </w:pPr>
    </w:p>
    <w:p w:rsidR="00BF3A22" w:rsidP="144B503F" w:rsidRDefault="000D61FA" w14:paraId="6E1A250F" w14:textId="53B3BC92">
      <w:pPr>
        <w:pStyle w:val="Normal"/>
      </w:pPr>
      <w:r w:rsidRPr="245AB3EF" w:rsidR="001A640C">
        <w:rPr>
          <w:rFonts w:ascii="Comic Sans MS" w:hAnsi="Comic Sans MS"/>
        </w:rPr>
        <w:t xml:space="preserve"> </w:t>
      </w:r>
      <w:r w:rsidRPr="245AB3EF" w:rsidR="3EAAA98A">
        <w:rPr>
          <w:rFonts w:ascii="Comic Sans MS" w:hAnsi="Comic Sans MS"/>
        </w:rPr>
        <w:t xml:space="preserve">         </w:t>
      </w:r>
      <w:r w:rsidR="3EAAA98A">
        <w:drawing>
          <wp:inline wp14:editId="263DE977" wp14:anchorId="4EF6BAEE">
            <wp:extent cx="1801989" cy="1351492"/>
            <wp:effectExtent l="0" t="0" r="0" b="0"/>
            <wp:docPr id="1931136628" name="" title=""/>
            <wp:cNvGraphicFramePr>
              <a:graphicFrameLocks noChangeAspect="1"/>
            </wp:cNvGraphicFramePr>
            <a:graphic>
              <a:graphicData uri="http://schemas.openxmlformats.org/drawingml/2006/picture">
                <pic:pic>
                  <pic:nvPicPr>
                    <pic:cNvPr id="0" name=""/>
                    <pic:cNvPicPr/>
                  </pic:nvPicPr>
                  <pic:blipFill>
                    <a:blip r:embed="Ra5f6339bdb634b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1989" cy="1351492"/>
                    </a:xfrm>
                    <a:prstGeom prst="rect">
                      <a:avLst/>
                    </a:prstGeom>
                  </pic:spPr>
                </pic:pic>
              </a:graphicData>
            </a:graphic>
          </wp:inline>
        </w:drawing>
      </w:r>
      <w:r w:rsidRPr="245AB3EF" w:rsidR="3EAAA98A">
        <w:rPr>
          <w:rFonts w:ascii="Comic Sans MS" w:hAnsi="Comic Sans MS"/>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45720" distB="45720" distL="114300" distR="114300" wp14:anchorId="6BD754EE" wp14:editId="0E1051D3">
                <wp:extent cx="2510577" cy="988272"/>
                <wp:effectExtent l="0" t="0" r="23495" b="23495"/>
                <wp:docPr xmlns:wp="http://schemas.openxmlformats.org/drawingml/2006/wordprocessingDrawing" id="1415712827" name="Text Box 642673448"/>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2510577" cy="988272"/>
                        </a:xfrm>
                        <a:prstGeom prst="rect">
                          <a:avLst/>
                        </a:prstGeom>
                        <a:solidFill>
                          <a:srgbClr val="FFFFFF"/>
                        </a:solidFill>
                        <a:ln w="9525">
                          <a:solidFill>
                            <a:srgbClr val="000000"/>
                          </a:solidFill>
                          <a:miter/>
                        </a:ln>
                      </wps:spPr>
                      <wps:txbx>
                        <w:txbxContent>
                          <w:p w:rsidR="00855080" w:rsidP="00855080" w:rsidRDefault="00855080">
                            <w:pPr>
                              <w:spacing w:line="254" w:lineRule="auto"/>
                              <w:rPr>
                                <w:rFonts w:ascii="Calibri" w:hAnsi="Calibri" w:cs="Calibri"/>
                                <w:kern w:val="0"/>
                                <w14:ligatures xmlns:w14="http://schemas.microsoft.com/office/word/2010/wordml" w14:val="none"/>
                              </w:rPr>
                            </w:pPr>
                            <w:r>
                              <w:rPr>
                                <w:rFonts w:ascii="Calibri" w:hAnsi="Calibri" w:cs="Calibri"/>
                              </w:rPr>
                              <w:t xml:space="preserve">An example of a Treasure Box that could be used to support development of senses from birth to 1000 days.             Jarrett </w:t>
                            </w:r>
                            <w:r>
                              <w:rPr>
                                <w:rFonts w:ascii="Calibri" w:hAnsi="Calibri" w:cs="Calibri"/>
                                <w:color w:val="000000"/>
                              </w:rPr>
                              <w:t>(</w:t>
                            </w:r>
                            <w:r>
                              <w:rPr>
                                <w:rFonts w:ascii="Calibri" w:hAnsi="Calibri" w:cs="Calibri"/>
                              </w:rPr>
                              <w:t>20</w:t>
                            </w:r>
                            <w:r>
                              <w:rPr>
                                <w:rFonts w:ascii="Calibri" w:hAnsi="Calibri" w:cs="Calibri"/>
                                <w:color w:val="000000"/>
                              </w:rPr>
                              <w:t>2</w:t>
                            </w:r>
                            <w:r>
                              <w:rPr>
                                <w:rFonts w:ascii="Calibri" w:hAnsi="Calibri" w:cs="Calibri"/>
                              </w:rPr>
                              <w:t>3</w:t>
                            </w:r>
                            <w:r>
                              <w:rPr>
                                <w:rFonts w:ascii="Calibri" w:hAnsi="Calibri" w:cs="Calibri"/>
                                <w:color w:val="000000"/>
                              </w:rPr>
                              <w:t>)</w:t>
                            </w:r>
                            <w:r>
                              <w:rPr>
                                <w:rFonts w:ascii="Calibri" w:hAnsi="Calibri" w:cs="Calibri"/>
                              </w:rPr>
                              <w:t xml:space="preserve"> image 8</w:t>
                            </w:r>
                          </w:p>
                        </w:txbxContent>
                      </wps:txbx>
                      <wps:bodyPr wrap="square" lIns="91440" tIns="45720" rIns="91440" bIns="45720" anchor="t">
                        <a:spAutoFit/>
                      </wps:bodyPr>
                    </wps:wsp>
                  </a:graphicData>
                </a:graphic>
              </wp:inline>
            </w:drawing>
          </mc:Choice>
          <mc:Fallback/>
        </mc:AlternateContent>
      </w:r>
      <w:r w:rsidRPr="245AB3EF" w:rsidR="3EAAA98A">
        <w:rPr>
          <w:rFonts w:ascii="Comic Sans MS" w:hAnsi="Comic Sans MS"/>
        </w:rPr>
        <w:t xml:space="preserve">  </w:t>
      </w:r>
    </w:p>
    <w:p w:rsidRPr="00441445" w:rsidR="001A640C" w:rsidP="144B503F" w:rsidRDefault="001A640C" w14:paraId="544090DA" w14:textId="51BCAE74">
      <w:pPr>
        <w:rPr>
          <w:rFonts w:ascii="Comic Sans MS" w:hAnsi="Comic Sans MS" w:cs="Calibri" w:cstheme="minorAscii"/>
        </w:rPr>
      </w:pPr>
      <w:r w:rsidRPr="33418A90" w:rsidR="001A640C">
        <w:rPr>
          <w:rFonts w:ascii="Comic Sans MS" w:hAnsi="Comic Sans MS" w:cs="Calibri" w:cstheme="minorAscii"/>
        </w:rPr>
        <w:t xml:space="preserve">Montessori </w:t>
      </w:r>
      <w:r w:rsidRPr="33418A90" w:rsidR="001A640C">
        <w:rPr>
          <w:rFonts w:ascii="Comic Sans MS" w:hAnsi="Comic Sans MS" w:cs="Calibri" w:cstheme="minorAscii"/>
        </w:rPr>
        <w:t>advises</w:t>
      </w:r>
      <w:r w:rsidRPr="33418A90" w:rsidR="001A640C">
        <w:rPr>
          <w:rFonts w:ascii="Comic Sans MS" w:hAnsi="Comic Sans MS" w:cs="Calibri" w:cstheme="minorAscii"/>
        </w:rPr>
        <w:t xml:space="preserve"> the role of the practitioner is to </w:t>
      </w:r>
      <w:r w:rsidRPr="33418A90" w:rsidR="001A640C">
        <w:rPr>
          <w:rFonts w:ascii="Comic Sans MS" w:hAnsi="Comic Sans MS" w:cs="Calibri" w:cstheme="minorAscii"/>
        </w:rPr>
        <w:t>facilitate</w:t>
      </w:r>
      <w:r w:rsidRPr="33418A90" w:rsidR="001A640C">
        <w:rPr>
          <w:rFonts w:ascii="Comic Sans MS" w:hAnsi="Comic Sans MS" w:cs="Calibri" w:cstheme="minorAscii"/>
        </w:rPr>
        <w:t xml:space="preserve"> learning rather than direct it. The aim should be around the whole child development and to nurture the whole child, fostering a love of learning, critical thinking skills, and a sense of social responsibility. Furthermore Pound (2006) discusses the influence that Montessori has around the world and how her theory has influenced learning and </w:t>
      </w:r>
      <w:r w:rsidRPr="33418A90" w:rsidR="001A640C">
        <w:rPr>
          <w:rFonts w:ascii="Comic Sans MS" w:hAnsi="Comic Sans MS" w:cs="Calibri" w:cstheme="minorAscii"/>
        </w:rPr>
        <w:t>support</w:t>
      </w:r>
      <w:r w:rsidRPr="33418A90" w:rsidR="11E2F8C2">
        <w:rPr>
          <w:rFonts w:ascii="Comic Sans MS" w:hAnsi="Comic Sans MS" w:cs="Calibri" w:cstheme="minorAscii"/>
        </w:rPr>
        <w:t>ed</w:t>
      </w:r>
      <w:r w:rsidRPr="33418A90" w:rsidR="001A640C">
        <w:rPr>
          <w:rFonts w:ascii="Comic Sans MS" w:hAnsi="Comic Sans MS" w:cs="Calibri" w:cstheme="minorAscii"/>
        </w:rPr>
        <w:t xml:space="preserve"> development</w:t>
      </w:r>
      <w:r w:rsidRPr="33418A90" w:rsidR="001A640C">
        <w:rPr>
          <w:rFonts w:ascii="Comic Sans MS" w:hAnsi="Comic Sans MS" w:cs="Calibri" w:cstheme="minorAscii"/>
        </w:rPr>
        <w:t xml:space="preserve"> of daily living skills though play being centred around </w:t>
      </w:r>
      <w:r w:rsidRPr="33418A90" w:rsidR="79A9B585">
        <w:rPr>
          <w:rFonts w:ascii="Comic Sans MS" w:hAnsi="Comic Sans MS" w:cs="Calibri" w:cstheme="minorAscii"/>
        </w:rPr>
        <w:t xml:space="preserve">environment, </w:t>
      </w:r>
      <w:r w:rsidRPr="33418A90" w:rsidR="79A9B585">
        <w:rPr>
          <w:rFonts w:ascii="Comic Sans MS" w:hAnsi="Comic Sans MS" w:cs="Calibri" w:cstheme="minorAscii"/>
        </w:rPr>
        <w:t>individuality</w:t>
      </w:r>
      <w:r w:rsidRPr="33418A90" w:rsidR="001A640C">
        <w:rPr>
          <w:rFonts w:ascii="Comic Sans MS" w:hAnsi="Comic Sans MS" w:cs="Calibri" w:cstheme="minorAscii"/>
        </w:rPr>
        <w:t xml:space="preserve"> and community.</w:t>
      </w:r>
    </w:p>
    <w:p w:rsidR="003A7573" w:rsidP="144B503F" w:rsidRDefault="001A640C" w14:paraId="5B2692FB" w14:textId="771118E0">
      <w:pPr>
        <w:rPr>
          <w:rFonts w:ascii="Comic Sans MS" w:hAnsi="Comic Sans MS" w:cs="Calibri" w:cstheme="minorAscii"/>
          <w:sz w:val="24"/>
          <w:szCs w:val="24"/>
        </w:rPr>
      </w:pPr>
      <w:r w:rsidRPr="33418A90" w:rsidR="001A640C">
        <w:rPr>
          <w:rFonts w:ascii="Comic Sans MS" w:hAnsi="Comic Sans MS" w:cs="Calibri" w:cstheme="minorAscii"/>
        </w:rPr>
        <w:t xml:space="preserve">Heuristic play mirrors the theory of Montessori by using everyday objects as part of play to support development. Twinkl (2022) </w:t>
      </w:r>
      <w:r w:rsidRPr="33418A90" w:rsidR="001A640C">
        <w:rPr>
          <w:rFonts w:ascii="Comic Sans MS" w:hAnsi="Comic Sans MS" w:cs="Calibri" w:cstheme="minorAscii"/>
        </w:rPr>
        <w:t>provides</w:t>
      </w:r>
      <w:r w:rsidRPr="33418A90" w:rsidR="001A640C">
        <w:rPr>
          <w:rFonts w:ascii="Comic Sans MS" w:hAnsi="Comic Sans MS" w:cs="Calibri" w:cstheme="minorAscii"/>
        </w:rPr>
        <w:t xml:space="preserve"> much guidance in implementing </w:t>
      </w:r>
      <w:r w:rsidRPr="33418A90" w:rsidR="0D298695">
        <w:rPr>
          <w:rFonts w:ascii="Comic Sans MS" w:hAnsi="Comic Sans MS" w:cs="Calibri" w:cstheme="minorAscii"/>
        </w:rPr>
        <w:t>heuristic play</w:t>
      </w:r>
      <w:r w:rsidRPr="33418A90" w:rsidR="001A640C">
        <w:rPr>
          <w:rFonts w:ascii="Comic Sans MS" w:hAnsi="Comic Sans MS" w:cs="Calibri" w:cstheme="minorAscii"/>
        </w:rPr>
        <w:t xml:space="preserve"> within the setting and explains “Heuristic play is an enriching type of play where babies and young children interact with everyday objects, rather than toys. The goal of heuristic play is to </w:t>
      </w:r>
      <w:r w:rsidRPr="33418A90" w:rsidR="001A640C">
        <w:rPr>
          <w:rFonts w:ascii="Comic Sans MS" w:hAnsi="Comic Sans MS" w:cs="Calibri" w:cstheme="minorAscii"/>
        </w:rPr>
        <w:t>provide</w:t>
      </w:r>
      <w:r w:rsidRPr="33418A90" w:rsidR="001A640C">
        <w:rPr>
          <w:rFonts w:ascii="Comic Sans MS" w:hAnsi="Comic Sans MS" w:cs="Calibri" w:cstheme="minorAscii"/>
        </w:rPr>
        <w:t xml:space="preserve"> a wide range of sensory stimulation to help children discover and learn things for themselves </w:t>
      </w:r>
      <w:r w:rsidRPr="33418A90" w:rsidR="2F6D8EAC">
        <w:rPr>
          <w:rFonts w:ascii="Comic Sans MS" w:hAnsi="Comic Sans MS" w:cs="Calibri" w:cstheme="minorAscii"/>
        </w:rPr>
        <w:t>“. Practitioner</w:t>
      </w:r>
      <w:r w:rsidRPr="33418A90" w:rsidR="001A640C">
        <w:rPr>
          <w:rFonts w:ascii="Comic Sans MS" w:hAnsi="Comic Sans MS" w:cs="Calibri" w:cstheme="minorAscii"/>
        </w:rPr>
        <w:t xml:space="preserve"> must ensure that play allows for exploration that may not happen in environments outside of the setting for several reasons such as living in a flat may not allow access to any outdoor areas, or the cost of living may not allow for families to </w:t>
      </w:r>
      <w:r w:rsidRPr="33418A90" w:rsidR="001A640C">
        <w:rPr>
          <w:rFonts w:ascii="Comic Sans MS" w:hAnsi="Comic Sans MS" w:cs="Calibri" w:cstheme="minorAscii"/>
        </w:rPr>
        <w:t>purchase</w:t>
      </w:r>
      <w:r w:rsidRPr="33418A90" w:rsidR="001A640C">
        <w:rPr>
          <w:rFonts w:ascii="Comic Sans MS" w:hAnsi="Comic Sans MS" w:cs="Calibri" w:cstheme="minorAscii"/>
        </w:rPr>
        <w:t xml:space="preserve"> everyday items. By building a good relationship with the child and family and having regular communication </w:t>
      </w:r>
      <w:r w:rsidRPr="33418A90" w:rsidR="46A2A228">
        <w:rPr>
          <w:rFonts w:ascii="Comic Sans MS" w:hAnsi="Comic Sans MS" w:cs="Calibri" w:cstheme="minorAscii"/>
        </w:rPr>
        <w:t>the setting</w:t>
      </w:r>
      <w:r w:rsidRPr="33418A90" w:rsidR="001A640C">
        <w:rPr>
          <w:rFonts w:ascii="Comic Sans MS" w:hAnsi="Comic Sans MS" w:cs="Calibri" w:cstheme="minorAscii"/>
        </w:rPr>
        <w:t xml:space="preserve"> can </w:t>
      </w:r>
      <w:r w:rsidRPr="33418A90" w:rsidR="001A640C">
        <w:rPr>
          <w:rFonts w:ascii="Comic Sans MS" w:hAnsi="Comic Sans MS" w:cs="Calibri" w:cstheme="minorAscii"/>
        </w:rPr>
        <w:t>provide</w:t>
      </w:r>
      <w:r w:rsidRPr="33418A90" w:rsidR="001A640C">
        <w:rPr>
          <w:rFonts w:ascii="Comic Sans MS" w:hAnsi="Comic Sans MS" w:cs="Calibri" w:cstheme="minorAscii"/>
        </w:rPr>
        <w:t xml:space="preserve"> potentially</w:t>
      </w:r>
      <w:r w:rsidRPr="33418A90" w:rsidR="0FDA558B">
        <w:rPr>
          <w:rFonts w:ascii="Comic Sans MS" w:hAnsi="Comic Sans MS" w:cs="Calibri" w:cstheme="minorAscii"/>
        </w:rPr>
        <w:t xml:space="preserve"> otherwise</w:t>
      </w:r>
      <w:r w:rsidRPr="33418A90" w:rsidR="001A640C">
        <w:rPr>
          <w:rFonts w:ascii="Comic Sans MS" w:hAnsi="Comic Sans MS" w:cs="Calibri" w:cstheme="minorAscii"/>
        </w:rPr>
        <w:t xml:space="preserve"> missed opportunities.</w:t>
      </w:r>
    </w:p>
    <w:p w:rsidRPr="00CF37A6" w:rsidR="001A640C" w:rsidP="33418A90" w:rsidRDefault="001A640C" w14:paraId="00338AF8" w14:textId="60E1B50E">
      <w:pPr>
        <w:rPr>
          <w:rFonts w:ascii="Comic Sans MS" w:hAnsi="Comic Sans MS" w:cs="Calibri" w:cstheme="minorAscii"/>
        </w:rPr>
      </w:pPr>
      <w:r w:rsidRPr="33418A90" w:rsidR="001A640C">
        <w:rPr>
          <w:rFonts w:ascii="Comic Sans MS" w:hAnsi="Comic Sans MS" w:cs="Calibri" w:cstheme="minorAscii"/>
        </w:rPr>
        <w:t xml:space="preserve">An example of some activities that can support development in the first 1000 days could be loose parts play and messy play that can provide engaging experiences with opportunities for holistic development Gascoyne (2018, Chapter 6) talks about how the mess of messy play in the indoors can be stressful for the practitioner and how play from the indoors can be taken to the outdoors thus allowing for more sensory play and more </w:t>
      </w:r>
      <w:r w:rsidRPr="33418A90" w:rsidR="6D927C59">
        <w:rPr>
          <w:rFonts w:ascii="Comic Sans MS" w:hAnsi="Comic Sans MS" w:cs="Calibri" w:cstheme="minorAscii"/>
        </w:rPr>
        <w:t xml:space="preserve">of the </w:t>
      </w:r>
      <w:r w:rsidRPr="33418A90" w:rsidR="001A640C">
        <w:rPr>
          <w:rFonts w:ascii="Comic Sans MS" w:hAnsi="Comic Sans MS" w:cs="Calibri" w:cstheme="minorAscii"/>
        </w:rPr>
        <w:t>senses being developed. Sensory play is further discussed by Action for children (2022) and the many areas sensory play can help develop such as fine and gross motor skills, communication, and emotional regulation.</w:t>
      </w:r>
    </w:p>
    <w:p w:rsidR="001A640C" w:rsidP="144B503F" w:rsidRDefault="001A640C" w14:paraId="5466F00F" w14:textId="61D1FFB7">
      <w:pPr>
        <w:rPr>
          <w:rFonts w:ascii="Comic Sans MS" w:hAnsi="Comic Sans MS" w:cs="Calibri" w:cstheme="minorAscii"/>
          <w:color w:val="374151"/>
        </w:rPr>
      </w:pPr>
      <w:r w:rsidRPr="33418A90" w:rsidR="001A640C">
        <w:rPr>
          <w:rFonts w:ascii="Comic Sans MS" w:hAnsi="Comic Sans MS" w:cs="Calibri" w:cstheme="minorAscii"/>
        </w:rPr>
        <w:t xml:space="preserve">The Curiosity Approach (2020) explores the increasing use of tuff trays in settings and the extensive advantages to this play, the article </w:t>
      </w:r>
      <w:r w:rsidRPr="33418A90" w:rsidR="00321934">
        <w:rPr>
          <w:rFonts w:ascii="Comic Sans MS" w:hAnsi="Comic Sans MS" w:cs="Calibri" w:cstheme="minorAscii"/>
        </w:rPr>
        <w:t>brings</w:t>
      </w:r>
      <w:r w:rsidRPr="33418A90" w:rsidR="001A640C">
        <w:rPr>
          <w:rFonts w:ascii="Comic Sans MS" w:hAnsi="Comic Sans MS" w:cs="Calibri" w:cstheme="minorAscii"/>
        </w:rPr>
        <w:t xml:space="preserve"> to our attention the need not to spend lengthy time getting the trays set up but allowing more for the experience of </w:t>
      </w:r>
      <w:r w:rsidRPr="33418A90" w:rsidR="006A5B1D">
        <w:rPr>
          <w:rFonts w:ascii="Comic Sans MS" w:hAnsi="Comic Sans MS" w:cs="Calibri" w:cstheme="minorAscii"/>
        </w:rPr>
        <w:t>doing. The</w:t>
      </w:r>
      <w:r w:rsidRPr="33418A90" w:rsidR="001A640C">
        <w:rPr>
          <w:rFonts w:ascii="Comic Sans MS" w:hAnsi="Comic Sans MS" w:cs="Calibri" w:cstheme="minorAscii"/>
        </w:rPr>
        <w:t xml:space="preserve"> Bright Wheel </w:t>
      </w:r>
      <w:r w:rsidRPr="33418A90" w:rsidR="4EAE353A">
        <w:rPr>
          <w:rFonts w:ascii="Comic Sans MS" w:hAnsi="Comic Sans MS" w:cs="Calibri" w:cstheme="minorAscii"/>
        </w:rPr>
        <w:t>Blog (</w:t>
      </w:r>
      <w:r w:rsidRPr="33418A90" w:rsidR="001A640C">
        <w:rPr>
          <w:rFonts w:ascii="Comic Sans MS" w:hAnsi="Comic Sans MS" w:cs="Calibri" w:cstheme="minorAscii"/>
        </w:rPr>
        <w:t xml:space="preserve">2023) </w:t>
      </w:r>
      <w:r w:rsidRPr="33418A90" w:rsidR="4AABBB19">
        <w:rPr>
          <w:rFonts w:ascii="Comic Sans MS" w:hAnsi="Comic Sans MS" w:cs="Calibri" w:cstheme="minorAscii"/>
        </w:rPr>
        <w:t>promotes</w:t>
      </w:r>
      <w:r w:rsidRPr="33418A90" w:rsidR="001A640C">
        <w:rPr>
          <w:rFonts w:ascii="Comic Sans MS" w:hAnsi="Comic Sans MS" w:cs="Calibri" w:cstheme="minorAscii"/>
        </w:rPr>
        <w:t xml:space="preserve"> the use of Tuff trays to support children to become Kinaesthetic learners who “prefer to learn using hands-on, tactile activities that allow them to interact with their environment and be active participants rather than passive observers when learning.” Allowing the development of becoming a Kinaesthetic learner contributes to a more inclusive and effective educational experience. By including hands-on activities and movement-based learning strategies, </w:t>
      </w:r>
      <w:r w:rsidRPr="33418A90" w:rsidR="38805C31">
        <w:rPr>
          <w:rFonts w:ascii="Comic Sans MS" w:hAnsi="Comic Sans MS" w:cs="Calibri" w:cstheme="minorAscii"/>
        </w:rPr>
        <w:t>practitioners</w:t>
      </w:r>
      <w:r w:rsidRPr="33418A90" w:rsidR="001A640C">
        <w:rPr>
          <w:rFonts w:ascii="Comic Sans MS" w:hAnsi="Comic Sans MS" w:cs="Calibri" w:cstheme="minorAscii"/>
        </w:rPr>
        <w:t xml:space="preserve"> can create a learning environment that meets the diverse needs of the child and enhances their overall academic experience and development</w:t>
      </w:r>
      <w:r w:rsidRPr="33418A90" w:rsidR="001A640C">
        <w:rPr>
          <w:rFonts w:ascii="Comic Sans MS" w:hAnsi="Comic Sans MS" w:cs="Calibri" w:cstheme="minorAscii"/>
          <w:color w:val="374151"/>
        </w:rPr>
        <w:t>.</w:t>
      </w:r>
    </w:p>
    <w:p w:rsidRPr="00CF37A6" w:rsidR="00321934" w:rsidP="001A640C" w:rsidRDefault="001F6230" w14:paraId="79F07E70" w14:textId="4CA7A03F">
      <w:pPr>
        <w:rPr>
          <w:rFonts w:ascii="Comic Sans MS" w:hAnsi="Comic Sans MS" w:cstheme="minorHAnsi"/>
          <w:color w:val="374151"/>
        </w:rPr>
      </w:pPr>
      <w:r w:rsidRPr="001F6230">
        <w:rPr>
          <w:rFonts w:ascii="Comic Sans MS" w:hAnsi="Comic Sans MS" w:cstheme="minorHAnsi"/>
          <w:noProof/>
          <w:color w:val="374151"/>
        </w:rPr>
        <mc:AlternateContent>
          <mc:Choice Requires="wps">
            <w:drawing>
              <wp:anchor distT="45720" distB="45720" distL="114300" distR="114300" simplePos="0" relativeHeight="251658252" behindDoc="0" locked="0" layoutInCell="1" allowOverlap="1" wp14:anchorId="55BB791C" wp14:editId="72B7113D">
                <wp:simplePos x="0" y="0"/>
                <wp:positionH relativeFrom="column">
                  <wp:posOffset>2536488</wp:posOffset>
                </wp:positionH>
                <wp:positionV relativeFrom="paragraph">
                  <wp:posOffset>440025</wp:posOffset>
                </wp:positionV>
                <wp:extent cx="2880360" cy="1156970"/>
                <wp:effectExtent l="0" t="0" r="15240" b="24130"/>
                <wp:wrapSquare wrapText="bothSides"/>
                <wp:docPr id="763429965" name="Text Box 7634299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0360" cy="1156970"/>
                        </a:xfrm>
                        <a:prstGeom prst="rect">
                          <a:avLst/>
                        </a:prstGeom>
                        <a:solidFill>
                          <a:srgbClr val="FFFFFF"/>
                        </a:solidFill>
                        <a:ln w="9525">
                          <a:solidFill>
                            <a:srgbClr val="000000"/>
                          </a:solidFill>
                          <a:miter lim="800000"/>
                          <a:headEnd/>
                          <a:tailEnd/>
                        </a:ln>
                      </wps:spPr>
                      <wps:txbx>
                        <w:txbxContent>
                          <w:p w:rsidR="001F6230" w:rsidRDefault="00A4730C" w14:paraId="1F367B2B" w14:textId="01FF7558">
                            <w:r>
                              <w:t xml:space="preserve">These images show some example of Tuff trays that can </w:t>
                            </w:r>
                            <w:r w:rsidR="004E22BD">
                              <w:t>support the development of senses</w:t>
                            </w:r>
                            <w:r w:rsidR="00380CA1">
                              <w:t xml:space="preserve">, cognitive development and fine and gross motor skills while allowing for </w:t>
                            </w:r>
                            <w:r w:rsidR="00666649">
                              <w:t>independence.</w:t>
                            </w:r>
                          </w:p>
                          <w:p w:rsidR="00666649" w:rsidRDefault="00545400" w14:paraId="413F5A2F" w14:textId="7213C772">
                            <w:r>
                              <w:t>Jarrett (20</w:t>
                            </w:r>
                            <w:r w:rsidR="00014719">
                              <w:t>2</w:t>
                            </w:r>
                            <w:r>
                              <w:t>3)</w:t>
                            </w:r>
                            <w:r w:rsidR="00C233A9">
                              <w:t xml:space="preserve"> </w:t>
                            </w:r>
                            <w:r w:rsidR="00C70AFC">
                              <w:t>I</w:t>
                            </w:r>
                            <w:r w:rsidR="00C233A9">
                              <w:t>mage 9</w:t>
                            </w:r>
                            <w:r w:rsidR="00C70AFC">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72EFA02">
              <v:shape id="Text Box 763429965" style="position:absolute;margin-left:199.7pt;margin-top:34.65pt;width:226.8pt;height:91.1pt;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5"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" w14:anchorId="55BB791C">
                <v:textbox>
                  <w:txbxContent>
                    <w:p w:rsidR="001F6230" w:rsidRDefault="00A4730C" w14:paraId="2533C3AB" w14:textId="01FF7558">
                      <w:r>
                        <w:t xml:space="preserve">These images show some example of Tuff trays that can </w:t>
                      </w:r>
                      <w:r w:rsidR="004E22BD">
                        <w:t>support the development of senses</w:t>
                      </w:r>
                      <w:r w:rsidR="00380CA1">
                        <w:t xml:space="preserve">, cognitive development and fine and gross motor skills while allowing for </w:t>
                      </w:r>
                      <w:r w:rsidR="00666649">
                        <w:t>independence.</w:t>
                      </w:r>
                    </w:p>
                    <w:p w:rsidR="00666649" w:rsidRDefault="00545400" w14:paraId="0289E6F6" w14:textId="7213C772">
                      <w:r>
                        <w:t>Jarrett (20</w:t>
                      </w:r>
                      <w:r w:rsidR="00014719">
                        <w:t>2</w:t>
                      </w:r>
                      <w:r>
                        <w:t>3)</w:t>
                      </w:r>
                      <w:r w:rsidR="00C233A9">
                        <w:t xml:space="preserve"> </w:t>
                      </w:r>
                      <w:r w:rsidR="00C70AFC">
                        <w:t>I</w:t>
                      </w:r>
                      <w:r w:rsidR="00C233A9">
                        <w:t>mage 9</w:t>
                      </w:r>
                      <w:r w:rsidR="00C70AFC">
                        <w:t>.</w:t>
                      </w:r>
                    </w:p>
                  </w:txbxContent>
                </v:textbox>
                <w10:wrap type="square"/>
              </v:shape>
            </w:pict>
          </mc:Fallback>
        </mc:AlternateContent>
      </w:r>
      <w:r>
        <w:rPr>
          <w:noProof/>
        </w:rPr>
        <w:drawing>
          <wp:inline distT="0" distB="0" distL="0" distR="0" wp14:anchorId="526C7DFF" wp14:editId="3B0FC3C1">
            <wp:extent cx="2198788" cy="2198788"/>
            <wp:effectExtent l="0" t="0" r="0" b="0"/>
            <wp:docPr id="816240187" name="Picture 816240187" descr="A collage of different ob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240187" name="Picture 8" descr="A collage of different object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05397" cy="2205397"/>
                    </a:xfrm>
                    <a:prstGeom prst="rect">
                      <a:avLst/>
                    </a:prstGeom>
                    <a:noFill/>
                    <a:ln>
                      <a:noFill/>
                    </a:ln>
                  </pic:spPr>
                </pic:pic>
              </a:graphicData>
            </a:graphic>
          </wp:inline>
        </w:drawing>
      </w:r>
    </w:p>
    <w:p w:rsidR="00545400" w:rsidP="144B503F" w:rsidRDefault="001A640C" w14:paraId="20E74FA4" w14:textId="28A483F2">
      <w:pPr>
        <w:pStyle w:val="Normal"/>
        <w:rPr>
          <w:rFonts w:ascii="Comic Sans MS" w:hAnsi="Comic Sans MS" w:cs="Calibri" w:cstheme="minorAscii"/>
        </w:rPr>
      </w:pPr>
      <w:r w:rsidRPr="33418A90" w:rsidR="001A640C">
        <w:rPr>
          <w:rFonts w:ascii="Comic Sans MS" w:hAnsi="Comic Sans MS" w:cs="Calibri" w:cstheme="minorAscii"/>
        </w:rPr>
        <w:t>The approach to the first 1000 days varies among countries based on cultural, socioeconomic, and healthcare system differences</w:t>
      </w:r>
      <w:r w:rsidRPr="33418A90" w:rsidR="49C5A1E1">
        <w:rPr>
          <w:rFonts w:ascii="Comic Sans MS" w:hAnsi="Comic Sans MS" w:cs="Calibri" w:cstheme="minorAscii"/>
        </w:rPr>
        <w:t xml:space="preserve">. </w:t>
      </w:r>
      <w:r w:rsidRPr="33418A90" w:rsidR="001A640C">
        <w:rPr>
          <w:rFonts w:ascii="Comic Sans MS" w:hAnsi="Comic Sans MS" w:cs="Calibri" w:cstheme="minorAscii"/>
        </w:rPr>
        <w:t xml:space="preserve"> It is important to note that the specific initiatives and policies vary widely among countries. Some nations have comprehensive healthcare systems with robust maternal and child health programs</w:t>
      </w:r>
      <w:r w:rsidRPr="33418A90" w:rsidR="6A732F48">
        <w:rPr>
          <w:rFonts w:ascii="Comic Sans MS" w:hAnsi="Comic Sans MS" w:cs="Calibri" w:cstheme="minorAscii"/>
        </w:rPr>
        <w:t>.</w:t>
      </w:r>
      <w:r w:rsidRPr="33418A90" w:rsidR="001A640C">
        <w:rPr>
          <w:rFonts w:ascii="Comic Sans MS" w:hAnsi="Comic Sans MS" w:cs="Calibri" w:cstheme="minorAscii"/>
        </w:rPr>
        <w:t xml:space="preserve"> </w:t>
      </w:r>
    </w:p>
    <w:p w:rsidRPr="00CF37A6" w:rsidR="001A640C" w:rsidP="144B503F" w:rsidRDefault="001A640C" w14:paraId="0C14507C" w14:textId="0953D483">
      <w:pPr>
        <w:rPr>
          <w:rFonts w:ascii="Comic Sans MS" w:hAnsi="Comic Sans MS" w:cs="Calibri" w:cstheme="minorAscii"/>
        </w:rPr>
      </w:pPr>
      <w:r w:rsidRPr="33418A90" w:rsidR="001A640C">
        <w:rPr>
          <w:rFonts w:ascii="Comic Sans MS" w:hAnsi="Comic Sans MS" w:cs="Calibri" w:cstheme="minorAscii"/>
        </w:rPr>
        <w:t xml:space="preserve">The Nordic countries have a robust program in place starting from conception where one of the key </w:t>
      </w:r>
      <w:r w:rsidRPr="33418A90" w:rsidR="6F0800B6">
        <w:rPr>
          <w:rFonts w:ascii="Comic Sans MS" w:hAnsi="Comic Sans MS" w:cs="Calibri" w:cstheme="minorAscii"/>
        </w:rPr>
        <w:t>f</w:t>
      </w:r>
      <w:r w:rsidRPr="33418A90" w:rsidR="001A640C">
        <w:rPr>
          <w:rFonts w:ascii="Comic Sans MS" w:hAnsi="Comic Sans MS" w:cs="Calibri" w:cstheme="minorAscii"/>
        </w:rPr>
        <w:t xml:space="preserve">ocus is maternal mental health,  Breivik </w:t>
      </w:r>
      <w:r w:rsidRPr="33418A90" w:rsidR="001A640C">
        <w:rPr>
          <w:rFonts w:ascii="Comic Sans MS" w:hAnsi="Comic Sans MS" w:cs="Calibri" w:cstheme="minorAscii"/>
          <w:i w:val="1"/>
          <w:iCs w:val="1"/>
        </w:rPr>
        <w:t xml:space="preserve">et al </w:t>
      </w:r>
      <w:r w:rsidRPr="33418A90" w:rsidR="001A640C">
        <w:rPr>
          <w:rFonts w:ascii="Comic Sans MS" w:hAnsi="Comic Sans MS" w:cs="Calibri" w:cstheme="minorAscii"/>
        </w:rPr>
        <w:t>(2021) continues to emphasise the support that is available for parents that are government supported</w:t>
      </w:r>
      <w:r w:rsidRPr="33418A90" w:rsidR="49416FBF">
        <w:rPr>
          <w:rFonts w:ascii="Comic Sans MS" w:hAnsi="Comic Sans MS" w:cs="Calibri" w:cstheme="minorAscii"/>
        </w:rPr>
        <w:t>,</w:t>
      </w:r>
      <w:r w:rsidRPr="33418A90" w:rsidR="001A640C">
        <w:rPr>
          <w:rFonts w:ascii="Comic Sans MS" w:hAnsi="Comic Sans MS" w:cs="Calibri" w:cstheme="minorAscii"/>
        </w:rPr>
        <w:t xml:space="preserve"> mental health being a focus into the preschool stage while others may face challenges due to resource constraints or other factors. International </w:t>
      </w:r>
      <w:r w:rsidRPr="33418A90" w:rsidR="26A03D93">
        <w:rPr>
          <w:rFonts w:ascii="Comic Sans MS" w:hAnsi="Comic Sans MS" w:cs="Calibri" w:cstheme="minorAscii"/>
        </w:rPr>
        <w:t>organisations such</w:t>
      </w:r>
      <w:r w:rsidRPr="33418A90" w:rsidR="001A640C">
        <w:rPr>
          <w:rFonts w:ascii="Comic Sans MS" w:hAnsi="Comic Sans MS" w:cs="Calibri" w:cstheme="minorAscii"/>
        </w:rPr>
        <w:t xml:space="preserve"> as UNICEF play a role in promoting best practices and providing support to countries in their efforts to improve maternal and child health during the first 1000 days.</w:t>
      </w:r>
    </w:p>
    <w:p w:rsidRPr="001A640C" w:rsidR="001A640C" w:rsidP="33418A90" w:rsidRDefault="001A640C" w14:paraId="02606F88" w14:textId="61F5F72D">
      <w:pPr>
        <w:rPr>
          <w:rFonts w:ascii="Comic Sans MS" w:hAnsi="Comic Sans MS" w:cs="Calibri" w:cstheme="minorAscii"/>
          <w:sz w:val="24"/>
          <w:szCs w:val="24"/>
        </w:rPr>
      </w:pPr>
      <w:r>
        <w:br/>
      </w:r>
      <w:r w:rsidRPr="33418A90" w:rsidR="001A640C">
        <w:rPr>
          <w:rFonts w:ascii="Comic Sans MS" w:hAnsi="Comic Sans MS" w:cs="Calibri" w:cstheme="minorAscii"/>
        </w:rPr>
        <w:t>The first 1000 days of life, spanning from conception to a child's second birthday, are critical and a period that significantly influences lifelong health, development, and well-being. This is a period of rapid growth and</w:t>
      </w:r>
      <w:r w:rsidRPr="33418A90" w:rsidR="001A640C">
        <w:rPr>
          <w:rFonts w:ascii="Comic Sans MS" w:hAnsi="Comic Sans MS" w:cs="Calibri" w:cstheme="minorAscii"/>
          <w:sz w:val="24"/>
          <w:szCs w:val="24"/>
        </w:rPr>
        <w:t xml:space="preserve"> </w:t>
      </w:r>
      <w:r w:rsidRPr="33418A90" w:rsidR="001A640C">
        <w:rPr>
          <w:rFonts w:ascii="Comic Sans MS" w:hAnsi="Comic Sans MS" w:cs="Calibri" w:cstheme="minorAscii"/>
        </w:rPr>
        <w:t xml:space="preserve">development, and </w:t>
      </w:r>
      <w:r w:rsidRPr="33418A90" w:rsidR="001A640C">
        <w:rPr>
          <w:rFonts w:ascii="Comic Sans MS" w:hAnsi="Comic Sans MS" w:cs="Calibri" w:cstheme="minorAscii"/>
        </w:rPr>
        <w:t>numerous</w:t>
      </w:r>
      <w:r w:rsidRPr="33418A90" w:rsidR="001A640C">
        <w:rPr>
          <w:rFonts w:ascii="Comic Sans MS" w:hAnsi="Comic Sans MS" w:cs="Calibri" w:cstheme="minorAscii"/>
        </w:rPr>
        <w:t xml:space="preserve"> factors during this time can have long-lasting effects on a child's physical, cognitive, and emotional outcomes that have been address</w:t>
      </w:r>
      <w:r w:rsidRPr="33418A90" w:rsidR="4C7BD77E">
        <w:rPr>
          <w:rFonts w:ascii="Comic Sans MS" w:hAnsi="Comic Sans MS" w:cs="Calibri" w:cstheme="minorAscii"/>
        </w:rPr>
        <w:t>ed</w:t>
      </w:r>
      <w:r w:rsidRPr="33418A90" w:rsidR="001A640C">
        <w:rPr>
          <w:rFonts w:ascii="Comic Sans MS" w:hAnsi="Comic Sans MS" w:cs="Calibri" w:cstheme="minorAscii"/>
        </w:rPr>
        <w:t xml:space="preserve"> in the scrap book. Investing in the well-being of children during the first 1000 days can have a profound impact on society. It can contribute to breaking the cycle of poverty, improving educational outcomes, and promoting overall health and resilience. Policymakers, healthcare providers, and communities play essential roles in creating environments that support </w:t>
      </w:r>
      <w:r w:rsidRPr="33418A90" w:rsidR="001A640C">
        <w:rPr>
          <w:rFonts w:ascii="Comic Sans MS" w:hAnsi="Comic Sans MS" w:cs="Calibri" w:cstheme="minorAscii"/>
        </w:rPr>
        <w:t>optimal</w:t>
      </w:r>
      <w:r w:rsidRPr="33418A90" w:rsidR="001A640C">
        <w:rPr>
          <w:rFonts w:ascii="Comic Sans MS" w:hAnsi="Comic Sans MS" w:cs="Calibri" w:cstheme="minorAscii"/>
        </w:rPr>
        <w:t xml:space="preserve"> development during this critical period.</w:t>
      </w:r>
    </w:p>
    <w:p w:rsidRPr="001A640C" w:rsidR="005E3C19" w:rsidP="33418A90" w:rsidRDefault="005E3C19" w14:paraId="7129D70F" w14:textId="61AC7C21">
      <w:pPr>
        <w:pStyle w:val="Normal"/>
        <w:rPr>
          <w:rFonts w:ascii="Comic Sans MS" w:hAnsi="Comic Sans MS" w:cs="Calibri" w:cstheme="minorAscii"/>
        </w:rPr>
      </w:pPr>
    </w:p>
    <w:p w:rsidRPr="001A640C" w:rsidR="005E3C19" w:rsidP="33418A90" w:rsidRDefault="005E3C19" w14:paraId="25C25DAE" w14:textId="3278E092">
      <w:pPr>
        <w:pStyle w:val="Normal"/>
        <w:rPr>
          <w:rFonts w:ascii="Comic Sans MS" w:hAnsi="Comic Sans MS" w:eastAsia="Comic Sans MS" w:cs="Comic Sans MS"/>
          <w:color w:val="70AD47" w:themeColor="accent6" w:themeTint="FF" w:themeShade="FF"/>
          <w:sz w:val="32"/>
          <w:szCs w:val="32"/>
        </w:rPr>
      </w:pPr>
    </w:p>
    <w:p w:rsidRPr="001A640C" w:rsidR="005E3C19" w:rsidP="33418A90" w:rsidRDefault="005E3C19" w14:paraId="4336AFE6" w14:textId="4ECB6D72">
      <w:pPr>
        <w:pStyle w:val="Normal"/>
        <w:rPr>
          <w:rFonts w:ascii="Comic Sans MS" w:hAnsi="Comic Sans MS" w:eastAsia="Comic Sans MS" w:cs="Comic Sans MS"/>
          <w:color w:val="70AD47" w:themeColor="accent6" w:themeTint="FF" w:themeShade="FF"/>
          <w:sz w:val="32"/>
          <w:szCs w:val="32"/>
        </w:rPr>
      </w:pPr>
    </w:p>
    <w:p w:rsidRPr="001A640C" w:rsidR="005E3C19" w:rsidP="33418A90" w:rsidRDefault="005E3C19" w14:paraId="785172FA" w14:textId="453E4ADC">
      <w:pPr>
        <w:pStyle w:val="Normal"/>
        <w:rPr>
          <w:rFonts w:ascii="Comic Sans MS" w:hAnsi="Comic Sans MS" w:eastAsia="Comic Sans MS" w:cs="Comic Sans MS"/>
          <w:color w:val="70AD47" w:themeColor="accent6" w:themeTint="FF" w:themeShade="FF"/>
          <w:sz w:val="32"/>
          <w:szCs w:val="32"/>
        </w:rPr>
      </w:pPr>
    </w:p>
    <w:p w:rsidRPr="001A640C" w:rsidR="005E3C19" w:rsidP="33418A90" w:rsidRDefault="005E3C19" w14:paraId="0217760D" w14:textId="2A49DD84">
      <w:pPr>
        <w:pStyle w:val="Normal"/>
        <w:rPr>
          <w:rFonts w:ascii="Comic Sans MS" w:hAnsi="Comic Sans MS" w:eastAsia="Comic Sans MS" w:cs="Comic Sans MS"/>
          <w:color w:val="70AD47" w:themeColor="accent6" w:themeTint="FF" w:themeShade="FF"/>
          <w:sz w:val="32"/>
          <w:szCs w:val="32"/>
        </w:rPr>
      </w:pPr>
      <w:r w:rsidRPr="33418A90" w:rsidR="7EB2B566">
        <w:rPr>
          <w:rFonts w:ascii="Comic Sans MS" w:hAnsi="Comic Sans MS" w:eastAsia="Comic Sans MS" w:cs="Comic Sans MS"/>
          <w:color w:val="70AD47" w:themeColor="accent6" w:themeTint="FF" w:themeShade="FF"/>
          <w:sz w:val="32"/>
          <w:szCs w:val="32"/>
        </w:rPr>
        <w:t>References</w:t>
      </w:r>
    </w:p>
    <w:p w:rsidRPr="001A640C" w:rsidR="005E3C19" w:rsidP="33418A90" w:rsidRDefault="005E3C19" w14:paraId="1A3FE381" w14:textId="48D7D6EB">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Action for children (2022). </w:t>
      </w:r>
      <w:r w:rsidRPr="33418A90" w:rsidR="7EB2B566">
        <w:rPr>
          <w:rFonts w:ascii="Times New Roman" w:hAnsi="Times New Roman" w:eastAsia="Times New Roman" w:cs="Times New Roman"/>
          <w:i w:val="1"/>
          <w:iCs w:val="1"/>
          <w:noProof w:val="0"/>
          <w:sz w:val="24"/>
          <w:szCs w:val="24"/>
          <w:lang w:val="en-GB"/>
        </w:rPr>
        <w:t>What Is Sensory Play and Why Is It important?</w:t>
      </w:r>
      <w:r w:rsidRPr="33418A90" w:rsidR="7EB2B566">
        <w:rPr>
          <w:rFonts w:ascii="Times New Roman" w:hAnsi="Times New Roman" w:eastAsia="Times New Roman" w:cs="Times New Roman"/>
          <w:noProof w:val="0"/>
          <w:sz w:val="24"/>
          <w:szCs w:val="24"/>
          <w:lang w:val="en-GB"/>
        </w:rPr>
        <w:t xml:space="preserve"> [online] Action for Children. Available at: </w:t>
      </w:r>
      <w:hyperlink r:id="R6a4424b917364901">
        <w:r w:rsidRPr="33418A90" w:rsidR="7EB2B566">
          <w:rPr>
            <w:rStyle w:val="Hyperlink"/>
            <w:rFonts w:ascii="Times New Roman" w:hAnsi="Times New Roman" w:eastAsia="Times New Roman" w:cs="Times New Roman"/>
            <w:noProof w:val="0"/>
            <w:sz w:val="24"/>
            <w:szCs w:val="24"/>
            <w:lang w:val="en-GB"/>
          </w:rPr>
          <w:t>https://www.actionforchildren.org.uk/blog/what-is-sensory-play-and-why-is-it-important/</w:t>
        </w:r>
      </w:hyperlink>
      <w:r w:rsidRPr="33418A90" w:rsidR="7EB2B566">
        <w:rPr>
          <w:rFonts w:ascii="Times New Roman" w:hAnsi="Times New Roman" w:eastAsia="Times New Roman" w:cs="Times New Roman"/>
          <w:noProof w:val="0"/>
          <w:sz w:val="24"/>
          <w:szCs w:val="24"/>
          <w:lang w:val="en-GB"/>
        </w:rPr>
        <w:t xml:space="preserve"> [Accessed 9 Jan. 2024].</w:t>
      </w:r>
    </w:p>
    <w:p w:rsidRPr="001A640C" w:rsidR="005E3C19" w:rsidP="33418A90" w:rsidRDefault="005E3C19" w14:paraId="387D5BA0" w14:textId="35CF3C37">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Anon (2023). </w:t>
      </w:r>
      <w:r w:rsidRPr="33418A90" w:rsidR="7EB2B566">
        <w:rPr>
          <w:rFonts w:ascii="Times New Roman" w:hAnsi="Times New Roman" w:eastAsia="Times New Roman" w:cs="Times New Roman"/>
          <w:i w:val="1"/>
          <w:iCs w:val="1"/>
          <w:noProof w:val="0"/>
          <w:sz w:val="24"/>
          <w:szCs w:val="24"/>
          <w:lang w:val="en-GB"/>
        </w:rPr>
        <w:t>Montessori education</w:t>
      </w:r>
      <w:r w:rsidRPr="33418A90" w:rsidR="7EB2B566">
        <w:rPr>
          <w:rFonts w:ascii="Times New Roman" w:hAnsi="Times New Roman" w:eastAsia="Times New Roman" w:cs="Times New Roman"/>
          <w:noProof w:val="0"/>
          <w:sz w:val="24"/>
          <w:szCs w:val="24"/>
          <w:lang w:val="en-GB"/>
        </w:rPr>
        <w:t xml:space="preserve">. [online] Wikipedia. Available at: </w:t>
      </w:r>
      <w:hyperlink w:anchor=":~:text=A%20Montessori%20classroom%20places%20an" r:id="Re21c223de1fb4818">
        <w:r w:rsidRPr="33418A90" w:rsidR="7EB2B566">
          <w:rPr>
            <w:rStyle w:val="Hyperlink"/>
            <w:rFonts w:ascii="Times New Roman" w:hAnsi="Times New Roman" w:eastAsia="Times New Roman" w:cs="Times New Roman"/>
            <w:noProof w:val="0"/>
            <w:sz w:val="24"/>
            <w:szCs w:val="24"/>
            <w:lang w:val="en-GB"/>
          </w:rPr>
          <w:t>https://en.wikipedia.org/wiki/Montessori_education#:~:text=A%20Montessori%20classroom%20places%20an</w:t>
        </w:r>
      </w:hyperlink>
      <w:r w:rsidRPr="33418A90" w:rsidR="7EB2B566">
        <w:rPr>
          <w:rFonts w:ascii="Times New Roman" w:hAnsi="Times New Roman" w:eastAsia="Times New Roman" w:cs="Times New Roman"/>
          <w:noProof w:val="0"/>
          <w:sz w:val="24"/>
          <w:szCs w:val="24"/>
          <w:lang w:val="en-GB"/>
        </w:rPr>
        <w:t xml:space="preserve"> [Accessed 8 Jan. 2024].</w:t>
      </w:r>
    </w:p>
    <w:p w:rsidRPr="001A640C" w:rsidR="005E3C19" w:rsidP="33418A90" w:rsidRDefault="005E3C19" w14:paraId="6A2C30AB" w14:textId="50FBAC91">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Ausnutria Nutrition Institute. (n.d.). </w:t>
      </w:r>
      <w:r w:rsidRPr="33418A90" w:rsidR="7EB2B566">
        <w:rPr>
          <w:rFonts w:ascii="Times New Roman" w:hAnsi="Times New Roman" w:eastAsia="Times New Roman" w:cs="Times New Roman"/>
          <w:i w:val="1"/>
          <w:iCs w:val="1"/>
          <w:noProof w:val="0"/>
          <w:sz w:val="24"/>
          <w:szCs w:val="24"/>
          <w:lang w:val="en-GB"/>
        </w:rPr>
        <w:t>Gentle nutrition for natural growth and development of infants</w:t>
      </w:r>
      <w:r w:rsidRPr="33418A90" w:rsidR="7EB2B566">
        <w:rPr>
          <w:rFonts w:ascii="Times New Roman" w:hAnsi="Times New Roman" w:eastAsia="Times New Roman" w:cs="Times New Roman"/>
          <w:noProof w:val="0"/>
          <w:sz w:val="24"/>
          <w:szCs w:val="24"/>
          <w:lang w:val="en-GB"/>
        </w:rPr>
        <w:t xml:space="preserve">. [online] Available at: </w:t>
      </w:r>
      <w:hyperlink r:id="R8398d07fedbb41c5">
        <w:r w:rsidRPr="33418A90" w:rsidR="7EB2B566">
          <w:rPr>
            <w:rStyle w:val="Hyperlink"/>
            <w:rFonts w:ascii="Times New Roman" w:hAnsi="Times New Roman" w:eastAsia="Times New Roman" w:cs="Times New Roman"/>
            <w:noProof w:val="0"/>
            <w:sz w:val="24"/>
            <w:szCs w:val="24"/>
            <w:lang w:val="en-GB"/>
          </w:rPr>
          <w:t>https://ausnutria-nutrition-institute.com/knowledge-base/gentle-nutrition/</w:t>
        </w:r>
      </w:hyperlink>
      <w:r w:rsidRPr="33418A90" w:rsidR="7EB2B566">
        <w:rPr>
          <w:rFonts w:ascii="Times New Roman" w:hAnsi="Times New Roman" w:eastAsia="Times New Roman" w:cs="Times New Roman"/>
          <w:noProof w:val="0"/>
          <w:sz w:val="24"/>
          <w:szCs w:val="24"/>
          <w:lang w:val="en-GB"/>
        </w:rPr>
        <w:t xml:space="preserve"> [Accessed 16 Jan. 2024]. Image 3.</w:t>
      </w:r>
    </w:p>
    <w:p w:rsidRPr="001A640C" w:rsidR="005E3C19" w:rsidP="33418A90" w:rsidRDefault="005E3C19" w14:paraId="7B615E33" w14:textId="0279EBE2">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Australia, H. (2021). </w:t>
      </w:r>
      <w:r w:rsidRPr="33418A90" w:rsidR="7EB2B566">
        <w:rPr>
          <w:rFonts w:ascii="Times New Roman" w:hAnsi="Times New Roman" w:eastAsia="Times New Roman" w:cs="Times New Roman"/>
          <w:i w:val="1"/>
          <w:iCs w:val="1"/>
          <w:noProof w:val="0"/>
          <w:sz w:val="24"/>
          <w:szCs w:val="24"/>
          <w:lang w:val="en-GB"/>
        </w:rPr>
        <w:t>The first 2 years of a baby’s life can impact their health and wellbeing later on. Here’s what you can do to give your child the best possible start.</w:t>
      </w:r>
      <w:r w:rsidRPr="33418A90" w:rsidR="7EB2B566">
        <w:rPr>
          <w:rFonts w:ascii="Times New Roman" w:hAnsi="Times New Roman" w:eastAsia="Times New Roman" w:cs="Times New Roman"/>
          <w:noProof w:val="0"/>
          <w:sz w:val="24"/>
          <w:szCs w:val="24"/>
          <w:lang w:val="en-GB"/>
        </w:rPr>
        <w:t xml:space="preserve"> [online] </w:t>
      </w:r>
      <w:hyperlink>
        <w:r w:rsidRPr="33418A90" w:rsidR="7EB2B566">
          <w:rPr>
            <w:rStyle w:val="Hyperlink"/>
            <w:rFonts w:ascii="Times New Roman" w:hAnsi="Times New Roman" w:eastAsia="Times New Roman" w:cs="Times New Roman"/>
            <w:noProof w:val="0"/>
            <w:sz w:val="24"/>
            <w:szCs w:val="24"/>
            <w:lang w:val="en-GB"/>
          </w:rPr>
          <w:t>www.pregnancybirthbaby.org.au</w:t>
        </w:r>
      </w:hyperlink>
      <w:r w:rsidRPr="33418A90" w:rsidR="7EB2B566">
        <w:rPr>
          <w:rFonts w:ascii="Times New Roman" w:hAnsi="Times New Roman" w:eastAsia="Times New Roman" w:cs="Times New Roman"/>
          <w:noProof w:val="0"/>
          <w:sz w:val="24"/>
          <w:szCs w:val="24"/>
          <w:lang w:val="en-GB"/>
        </w:rPr>
        <w:t xml:space="preserve">. Available at: </w:t>
      </w:r>
      <w:hyperlink r:id="Rdabef658b1534811">
        <w:r w:rsidRPr="33418A90" w:rsidR="7EB2B566">
          <w:rPr>
            <w:rStyle w:val="Hyperlink"/>
            <w:rFonts w:ascii="Times New Roman" w:hAnsi="Times New Roman" w:eastAsia="Times New Roman" w:cs="Times New Roman"/>
            <w:noProof w:val="0"/>
            <w:sz w:val="24"/>
            <w:szCs w:val="24"/>
            <w:lang w:val="en-GB"/>
          </w:rPr>
          <w:t>https://www.pregnancybirthbaby.org.au/the-first-1000-days</w:t>
        </w:r>
      </w:hyperlink>
      <w:r w:rsidRPr="33418A90" w:rsidR="7EB2B566">
        <w:rPr>
          <w:rFonts w:ascii="Times New Roman" w:hAnsi="Times New Roman" w:eastAsia="Times New Roman" w:cs="Times New Roman"/>
          <w:noProof w:val="0"/>
          <w:sz w:val="24"/>
          <w:szCs w:val="24"/>
          <w:lang w:val="en-GB"/>
        </w:rPr>
        <w:t xml:space="preserve"> [Accessed 6 Dec. 2023].</w:t>
      </w:r>
    </w:p>
    <w:p w:rsidRPr="001A640C" w:rsidR="005E3C19" w:rsidP="33418A90" w:rsidRDefault="005E3C19" w14:paraId="27C4FF01" w14:textId="3F0698BA">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Bienen, H. (2014). </w:t>
      </w:r>
      <w:r w:rsidRPr="33418A90" w:rsidR="7EB2B566">
        <w:rPr>
          <w:rFonts w:ascii="Times New Roman" w:hAnsi="Times New Roman" w:eastAsia="Times New Roman" w:cs="Times New Roman"/>
          <w:i w:val="1"/>
          <w:iCs w:val="1"/>
          <w:noProof w:val="0"/>
          <w:sz w:val="24"/>
          <w:szCs w:val="24"/>
          <w:lang w:val="en-GB"/>
        </w:rPr>
        <w:t>The Montessori Method</w:t>
      </w:r>
      <w:r w:rsidRPr="33418A90" w:rsidR="7EB2B566">
        <w:rPr>
          <w:rFonts w:ascii="Times New Roman" w:hAnsi="Times New Roman" w:eastAsia="Times New Roman" w:cs="Times New Roman"/>
          <w:noProof w:val="0"/>
          <w:sz w:val="24"/>
          <w:szCs w:val="24"/>
          <w:lang w:val="en-GB"/>
        </w:rPr>
        <w:t>. New Brunswick (U.S.A.): Transaction Publishers.</w:t>
      </w:r>
    </w:p>
    <w:p w:rsidRPr="001A640C" w:rsidR="005E3C19" w:rsidP="33418A90" w:rsidRDefault="005E3C19" w14:paraId="1333596A" w14:textId="7E55F71E">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Bourke, L., Lingwood, J., Gallagher-Mitchell, T. and López-Pérez, B. (2023). The effect of face mask wearing on language processing and emotion recognition in young children. </w:t>
      </w:r>
      <w:r w:rsidRPr="33418A90" w:rsidR="7EB2B566">
        <w:rPr>
          <w:rFonts w:ascii="Times New Roman" w:hAnsi="Times New Roman" w:eastAsia="Times New Roman" w:cs="Times New Roman"/>
          <w:i w:val="1"/>
          <w:iCs w:val="1"/>
          <w:noProof w:val="0"/>
          <w:sz w:val="24"/>
          <w:szCs w:val="24"/>
          <w:lang w:val="en-GB"/>
        </w:rPr>
        <w:t>Journal of Experimental Child Psychology</w:t>
      </w:r>
      <w:r w:rsidRPr="33418A90" w:rsidR="7EB2B566">
        <w:rPr>
          <w:rFonts w:ascii="Times New Roman" w:hAnsi="Times New Roman" w:eastAsia="Times New Roman" w:cs="Times New Roman"/>
          <w:noProof w:val="0"/>
          <w:sz w:val="24"/>
          <w:szCs w:val="24"/>
          <w:lang w:val="en-GB"/>
        </w:rPr>
        <w:t>, 226, p.105580. doi:https://doi.org/10.1016/j.jecp.2022.105580.</w:t>
      </w:r>
    </w:p>
    <w:p w:rsidRPr="001A640C" w:rsidR="005E3C19" w:rsidP="33418A90" w:rsidRDefault="005E3C19" w14:paraId="06053E31" w14:textId="46E0535F">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Breivik, K., Eng, H., Kaiser, S., Karjalainen, P., Kurki, M., </w:t>
      </w:r>
      <w:r w:rsidRPr="33418A90" w:rsidR="7EB2B566">
        <w:rPr>
          <w:rFonts w:ascii="Times New Roman" w:hAnsi="Times New Roman" w:eastAsia="Times New Roman" w:cs="Times New Roman"/>
          <w:noProof w:val="0"/>
          <w:sz w:val="24"/>
          <w:szCs w:val="24"/>
          <w:lang w:val="en-GB"/>
        </w:rPr>
        <w:t>Kyrrestad</w:t>
      </w:r>
      <w:r w:rsidRPr="33418A90" w:rsidR="7EB2B566">
        <w:rPr>
          <w:rFonts w:ascii="Times New Roman" w:hAnsi="Times New Roman" w:eastAsia="Times New Roman" w:cs="Times New Roman"/>
          <w:noProof w:val="0"/>
          <w:sz w:val="24"/>
          <w:szCs w:val="24"/>
          <w:lang w:val="en-GB"/>
        </w:rPr>
        <w:t xml:space="preserve">, H., </w:t>
      </w:r>
      <w:r w:rsidRPr="33418A90" w:rsidR="7EB2B566">
        <w:rPr>
          <w:rFonts w:ascii="Times New Roman" w:hAnsi="Times New Roman" w:eastAsia="Times New Roman" w:cs="Times New Roman"/>
          <w:noProof w:val="0"/>
          <w:sz w:val="24"/>
          <w:szCs w:val="24"/>
          <w:lang w:val="en-GB"/>
        </w:rPr>
        <w:t>Laajasalo</w:t>
      </w:r>
      <w:r w:rsidRPr="33418A90" w:rsidR="7EB2B566">
        <w:rPr>
          <w:rFonts w:ascii="Times New Roman" w:hAnsi="Times New Roman" w:eastAsia="Times New Roman" w:cs="Times New Roman"/>
          <w:noProof w:val="0"/>
          <w:sz w:val="24"/>
          <w:szCs w:val="24"/>
          <w:lang w:val="en-GB"/>
        </w:rPr>
        <w:t xml:space="preserve">, T., Martinussen, M., </w:t>
      </w:r>
      <w:r w:rsidRPr="33418A90" w:rsidR="7EB2B566">
        <w:rPr>
          <w:rFonts w:ascii="Times New Roman" w:hAnsi="Times New Roman" w:eastAsia="Times New Roman" w:cs="Times New Roman"/>
          <w:noProof w:val="0"/>
          <w:sz w:val="24"/>
          <w:szCs w:val="24"/>
          <w:lang w:val="en-GB"/>
        </w:rPr>
        <w:t>Merikukka</w:t>
      </w:r>
      <w:r w:rsidRPr="33418A90" w:rsidR="7EB2B566">
        <w:rPr>
          <w:rFonts w:ascii="Times New Roman" w:hAnsi="Times New Roman" w:eastAsia="Times New Roman" w:cs="Times New Roman"/>
          <w:noProof w:val="0"/>
          <w:sz w:val="24"/>
          <w:szCs w:val="24"/>
          <w:lang w:val="en-GB"/>
        </w:rPr>
        <w:t xml:space="preserve">, M., Peltonen, K., Dahl Pettersen, S., P. Rasmussen, L.-M., Reedtz, C. and </w:t>
      </w:r>
      <w:r w:rsidRPr="33418A90" w:rsidR="636A8A7D">
        <w:rPr>
          <w:rFonts w:ascii="Times New Roman" w:hAnsi="Times New Roman" w:eastAsia="Times New Roman" w:cs="Times New Roman"/>
          <w:noProof w:val="0"/>
          <w:sz w:val="24"/>
          <w:szCs w:val="24"/>
          <w:lang w:val="en-GB"/>
        </w:rPr>
        <w:t>Rye,</w:t>
      </w:r>
      <w:r w:rsidRPr="33418A90" w:rsidR="7EB2B566">
        <w:rPr>
          <w:rFonts w:ascii="Times New Roman" w:hAnsi="Times New Roman" w:eastAsia="Times New Roman" w:cs="Times New Roman"/>
          <w:noProof w:val="0"/>
          <w:sz w:val="24"/>
          <w:szCs w:val="24"/>
          <w:lang w:val="en-GB"/>
        </w:rPr>
        <w:t xml:space="preserve"> M. (2021). </w:t>
      </w:r>
      <w:r w:rsidRPr="33418A90" w:rsidR="7EB2B566">
        <w:rPr>
          <w:rFonts w:ascii="Times New Roman" w:hAnsi="Times New Roman" w:eastAsia="Times New Roman" w:cs="Times New Roman"/>
          <w:i w:val="1"/>
          <w:iCs w:val="1"/>
          <w:noProof w:val="0"/>
          <w:sz w:val="24"/>
          <w:szCs w:val="24"/>
          <w:lang w:val="en-GB"/>
        </w:rPr>
        <w:t>The First 1000 Days in the Nordic Countries</w:t>
      </w:r>
      <w:r w:rsidRPr="33418A90" w:rsidR="7EB2B566">
        <w:rPr>
          <w:rFonts w:ascii="Times New Roman" w:hAnsi="Times New Roman" w:eastAsia="Times New Roman" w:cs="Times New Roman"/>
          <w:noProof w:val="0"/>
          <w:sz w:val="24"/>
          <w:szCs w:val="24"/>
          <w:lang w:val="en-GB"/>
        </w:rPr>
        <w:t xml:space="preserve">. [online] pub.norden.org. Available at: </w:t>
      </w:r>
      <w:hyperlink r:id="R9d077bc49cc54bfd">
        <w:r w:rsidRPr="33418A90" w:rsidR="7EB2B566">
          <w:rPr>
            <w:rStyle w:val="Hyperlink"/>
            <w:rFonts w:ascii="Times New Roman" w:hAnsi="Times New Roman" w:eastAsia="Times New Roman" w:cs="Times New Roman"/>
            <w:noProof w:val="0"/>
            <w:sz w:val="24"/>
            <w:szCs w:val="24"/>
            <w:lang w:val="en-GB"/>
          </w:rPr>
          <w:t>https://pub.norden.org/nord2021-037/</w:t>
        </w:r>
      </w:hyperlink>
      <w:r w:rsidRPr="33418A90" w:rsidR="7EB2B566">
        <w:rPr>
          <w:rFonts w:ascii="Times New Roman" w:hAnsi="Times New Roman" w:eastAsia="Times New Roman" w:cs="Times New Roman"/>
          <w:noProof w:val="0"/>
          <w:sz w:val="24"/>
          <w:szCs w:val="24"/>
          <w:lang w:val="en-GB"/>
        </w:rPr>
        <w:t xml:space="preserve"> [Accessed 14 Jan. 2024].</w:t>
      </w:r>
    </w:p>
    <w:p w:rsidRPr="001A640C" w:rsidR="005E3C19" w:rsidP="33418A90" w:rsidRDefault="005E3C19" w14:paraId="07BCDED2" w14:textId="34C6E47C">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Brodie, K 2018, The Holistic Care and Development of Children from Birth to Three : An Essential Guide for Students and Practitioners, Taylor &amp; Francis Group, Milton. Available from: ProQuest Ebook Central.Page 207-227 [14 December 2023]. </w:t>
      </w:r>
    </w:p>
    <w:p w:rsidRPr="001A640C" w:rsidR="005E3C19" w:rsidP="33418A90" w:rsidRDefault="005E3C19" w14:paraId="081F3514" w14:textId="61F0B8EF">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Brook, C. (2023). </w:t>
      </w:r>
      <w:r w:rsidRPr="33418A90" w:rsidR="7EB2B566">
        <w:rPr>
          <w:rFonts w:ascii="Times New Roman" w:hAnsi="Times New Roman" w:eastAsia="Times New Roman" w:cs="Times New Roman"/>
          <w:i w:val="1"/>
          <w:iCs w:val="1"/>
          <w:noProof w:val="0"/>
          <w:sz w:val="24"/>
          <w:szCs w:val="24"/>
          <w:lang w:val="en-GB"/>
        </w:rPr>
        <w:t>Baby Room Indoor and Outdoor Set-Up Ideas for Early Years Settings</w:t>
      </w:r>
      <w:r w:rsidRPr="33418A90" w:rsidR="7EB2B566">
        <w:rPr>
          <w:rFonts w:ascii="Times New Roman" w:hAnsi="Times New Roman" w:eastAsia="Times New Roman" w:cs="Times New Roman"/>
          <w:noProof w:val="0"/>
          <w:sz w:val="24"/>
          <w:szCs w:val="24"/>
          <w:lang w:val="en-GB"/>
        </w:rPr>
        <w:t xml:space="preserve">. [online] Twinkl.co.uk. Available at: </w:t>
      </w:r>
      <w:hyperlink r:id="R9c0b82bb9bb544c9">
        <w:r w:rsidRPr="33418A90" w:rsidR="7EB2B566">
          <w:rPr>
            <w:rStyle w:val="Hyperlink"/>
            <w:rFonts w:ascii="Times New Roman" w:hAnsi="Times New Roman" w:eastAsia="Times New Roman" w:cs="Times New Roman"/>
            <w:noProof w:val="0"/>
            <w:sz w:val="24"/>
            <w:szCs w:val="24"/>
            <w:lang w:val="en-GB"/>
          </w:rPr>
          <w:t>https://www.twinkl.co.uk/blog/baby-room-indoor-and-outdoor-set-up-ideas-for-early-years-settings-pviblog</w:t>
        </w:r>
      </w:hyperlink>
      <w:r w:rsidRPr="33418A90" w:rsidR="7EB2B566">
        <w:rPr>
          <w:rFonts w:ascii="Times New Roman" w:hAnsi="Times New Roman" w:eastAsia="Times New Roman" w:cs="Times New Roman"/>
          <w:noProof w:val="0"/>
          <w:sz w:val="24"/>
          <w:szCs w:val="24"/>
          <w:lang w:val="en-GB"/>
        </w:rPr>
        <w:t xml:space="preserve"> [Accessed 17 Jan. 2024]. Image 6.</w:t>
      </w:r>
    </w:p>
    <w:p w:rsidRPr="001A640C" w:rsidR="005E3C19" w:rsidP="33418A90" w:rsidRDefault="005E3C19" w14:paraId="183BB7D9" w14:textId="734E4216">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Christensen, J. (2020). </w:t>
      </w:r>
      <w:r w:rsidRPr="33418A90" w:rsidR="7EB2B566">
        <w:rPr>
          <w:rFonts w:ascii="Times New Roman" w:hAnsi="Times New Roman" w:eastAsia="Times New Roman" w:cs="Times New Roman"/>
          <w:i w:val="1"/>
          <w:iCs w:val="1"/>
          <w:noProof w:val="0"/>
          <w:sz w:val="24"/>
          <w:szCs w:val="24"/>
          <w:lang w:val="en-GB"/>
        </w:rPr>
        <w:t>Masks &amp; Child Development: What You Need to Know</w:t>
      </w:r>
      <w:r w:rsidRPr="33418A90" w:rsidR="7EB2B566">
        <w:rPr>
          <w:rFonts w:ascii="Times New Roman" w:hAnsi="Times New Roman" w:eastAsia="Times New Roman" w:cs="Times New Roman"/>
          <w:noProof w:val="0"/>
          <w:sz w:val="24"/>
          <w:szCs w:val="24"/>
          <w:lang w:val="en-GB"/>
        </w:rPr>
        <w:t xml:space="preserve">. [online] </w:t>
      </w:r>
      <w:hyperlink>
        <w:r w:rsidRPr="33418A90" w:rsidR="7EB2B566">
          <w:rPr>
            <w:rStyle w:val="Hyperlink"/>
            <w:rFonts w:ascii="Times New Roman" w:hAnsi="Times New Roman" w:eastAsia="Times New Roman" w:cs="Times New Roman"/>
            <w:noProof w:val="0"/>
            <w:sz w:val="24"/>
            <w:szCs w:val="24"/>
            <w:lang w:val="en-GB"/>
          </w:rPr>
          <w:t>www.brighthorizons.com</w:t>
        </w:r>
      </w:hyperlink>
      <w:r w:rsidRPr="33418A90" w:rsidR="7EB2B566">
        <w:rPr>
          <w:rFonts w:ascii="Times New Roman" w:hAnsi="Times New Roman" w:eastAsia="Times New Roman" w:cs="Times New Roman"/>
          <w:noProof w:val="0"/>
          <w:sz w:val="24"/>
          <w:szCs w:val="24"/>
          <w:lang w:val="en-GB"/>
        </w:rPr>
        <w:t xml:space="preserve">. Available at: </w:t>
      </w:r>
      <w:hyperlink r:id="Rc97ba87f2c084d2f">
        <w:r w:rsidRPr="33418A90" w:rsidR="7EB2B566">
          <w:rPr>
            <w:rStyle w:val="Hyperlink"/>
            <w:rFonts w:ascii="Times New Roman" w:hAnsi="Times New Roman" w:eastAsia="Times New Roman" w:cs="Times New Roman"/>
            <w:noProof w:val="0"/>
            <w:sz w:val="24"/>
            <w:szCs w:val="24"/>
            <w:lang w:val="en-GB"/>
          </w:rPr>
          <w:t>https://www.brighthorizons.com/resources/blog/masks-child-development</w:t>
        </w:r>
      </w:hyperlink>
      <w:r w:rsidRPr="33418A90" w:rsidR="7EB2B566">
        <w:rPr>
          <w:rFonts w:ascii="Times New Roman" w:hAnsi="Times New Roman" w:eastAsia="Times New Roman" w:cs="Times New Roman"/>
          <w:noProof w:val="0"/>
          <w:sz w:val="24"/>
          <w:szCs w:val="24"/>
          <w:lang w:val="en-GB"/>
        </w:rPr>
        <w:t xml:space="preserve"> [Accessed 17 Jan. 2024]. Image 7.</w:t>
      </w:r>
    </w:p>
    <w:p w:rsidRPr="001A640C" w:rsidR="005E3C19" w:rsidP="33418A90" w:rsidRDefault="005E3C19" w14:paraId="4976335F" w14:textId="5BFC286B">
      <w:pPr>
        <w:spacing w:before="0" w:beforeAutospacing="off" w:after="0" w:afterAutospacing="off"/>
        <w:rPr>
          <w:rFonts w:ascii="Comic Sans MS" w:hAnsi="Comic Sans MS" w:eastAsia="Comic Sans MS" w:cs="Comic Sans MS"/>
          <w:noProof w:val="0"/>
          <w:sz w:val="22"/>
          <w:szCs w:val="22"/>
          <w:lang w:val="en-GB"/>
        </w:rPr>
      </w:pPr>
      <w:r w:rsidRPr="33418A90" w:rsidR="7EB2B566">
        <w:rPr>
          <w:rFonts w:ascii="Times New Roman" w:hAnsi="Times New Roman" w:eastAsia="Times New Roman" w:cs="Times New Roman"/>
          <w:noProof w:val="0"/>
          <w:sz w:val="22"/>
          <w:szCs w:val="22"/>
          <w:lang w:val="en-GB"/>
        </w:rPr>
        <w:t xml:space="preserve">Vamos, J. (2015) ‘Free to Move, Free to Be’, </w:t>
      </w:r>
      <w:r w:rsidRPr="33418A90" w:rsidR="7EB2B566">
        <w:rPr>
          <w:rFonts w:ascii="Times New Roman" w:hAnsi="Times New Roman" w:eastAsia="Times New Roman" w:cs="Times New Roman"/>
          <w:i w:val="1"/>
          <w:iCs w:val="1"/>
          <w:noProof w:val="0"/>
          <w:sz w:val="22"/>
          <w:szCs w:val="22"/>
          <w:lang w:val="en-GB"/>
        </w:rPr>
        <w:t>The American journal of psychoanalysis</w:t>
      </w:r>
      <w:r w:rsidRPr="33418A90" w:rsidR="7EB2B566">
        <w:rPr>
          <w:rFonts w:ascii="Times New Roman" w:hAnsi="Times New Roman" w:eastAsia="Times New Roman" w:cs="Times New Roman"/>
          <w:noProof w:val="0"/>
          <w:sz w:val="22"/>
          <w:szCs w:val="22"/>
          <w:lang w:val="en-GB"/>
        </w:rPr>
        <w:t>, 75(1), pp. 65–75. Available at:</w:t>
      </w:r>
      <w:r w:rsidRPr="33418A90" w:rsidR="7EB2B566">
        <w:rPr>
          <w:rFonts w:ascii="Comic Sans MS" w:hAnsi="Comic Sans MS" w:eastAsia="Comic Sans MS" w:cs="Comic Sans MS"/>
          <w:noProof w:val="0"/>
          <w:sz w:val="22"/>
          <w:szCs w:val="22"/>
          <w:lang w:val="en-GB"/>
        </w:rPr>
        <w:t xml:space="preserve"> </w:t>
      </w:r>
      <w:hyperlink r:id="R2a667ac713524252">
        <w:r w:rsidRPr="33418A90" w:rsidR="7EB2B566">
          <w:rPr>
            <w:rStyle w:val="Hyperlink"/>
            <w:rFonts w:ascii="Comic Sans MS" w:hAnsi="Comic Sans MS" w:eastAsia="Comic Sans MS" w:cs="Comic Sans MS"/>
            <w:noProof w:val="0"/>
            <w:sz w:val="22"/>
            <w:szCs w:val="22"/>
            <w:lang w:val="en-GB"/>
          </w:rPr>
          <w:t>https://doi.org/10.1057/ajp.2014.60</w:t>
        </w:r>
      </w:hyperlink>
      <w:r w:rsidRPr="33418A90" w:rsidR="7EB2B566">
        <w:rPr>
          <w:rFonts w:ascii="Comic Sans MS" w:hAnsi="Comic Sans MS" w:eastAsia="Comic Sans MS" w:cs="Comic Sans MS"/>
          <w:noProof w:val="0"/>
          <w:sz w:val="22"/>
          <w:szCs w:val="22"/>
          <w:lang w:val="en-GB"/>
        </w:rPr>
        <w:t>.</w:t>
      </w:r>
      <w:r>
        <w:br/>
      </w:r>
    </w:p>
    <w:p w:rsidRPr="001A640C" w:rsidR="005E3C19" w:rsidP="33418A90" w:rsidRDefault="005E3C19" w14:paraId="00C69CD2" w14:textId="5FD538FE">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Early Years Alliance (2016). </w:t>
      </w:r>
      <w:r w:rsidRPr="33418A90" w:rsidR="7EB2B566">
        <w:rPr>
          <w:rFonts w:ascii="Times New Roman" w:hAnsi="Times New Roman" w:eastAsia="Times New Roman" w:cs="Times New Roman"/>
          <w:i w:val="1"/>
          <w:iCs w:val="1"/>
          <w:noProof w:val="0"/>
          <w:sz w:val="24"/>
          <w:szCs w:val="24"/>
          <w:lang w:val="en-GB"/>
        </w:rPr>
        <w:t>Enabling Environments</w:t>
      </w:r>
      <w:r w:rsidRPr="33418A90" w:rsidR="7EB2B566">
        <w:rPr>
          <w:rFonts w:ascii="Times New Roman" w:hAnsi="Times New Roman" w:eastAsia="Times New Roman" w:cs="Times New Roman"/>
          <w:noProof w:val="0"/>
          <w:sz w:val="24"/>
          <w:szCs w:val="24"/>
          <w:lang w:val="en-GB"/>
        </w:rPr>
        <w:t xml:space="preserve">. [online] Early Years Alliance. Available at: </w:t>
      </w:r>
      <w:hyperlink w:anchor=":~:text=An%20enabling%20environment%20is%20a" r:id="R3e9705659c894a68">
        <w:r w:rsidRPr="33418A90" w:rsidR="7EB2B566">
          <w:rPr>
            <w:rStyle w:val="Hyperlink"/>
            <w:rFonts w:ascii="Times New Roman" w:hAnsi="Times New Roman" w:eastAsia="Times New Roman" w:cs="Times New Roman"/>
            <w:noProof w:val="0"/>
            <w:sz w:val="24"/>
            <w:szCs w:val="24"/>
            <w:lang w:val="en-GB"/>
          </w:rPr>
          <w:t>https://www.eyalliance.org.uk/enabling-environments#:~:text=An%20enabling%20environment%20is%20a</w:t>
        </w:r>
      </w:hyperlink>
      <w:r w:rsidRPr="33418A90" w:rsidR="7EB2B566">
        <w:rPr>
          <w:rFonts w:ascii="Times New Roman" w:hAnsi="Times New Roman" w:eastAsia="Times New Roman" w:cs="Times New Roman"/>
          <w:noProof w:val="0"/>
          <w:sz w:val="24"/>
          <w:szCs w:val="24"/>
          <w:lang w:val="en-GB"/>
        </w:rPr>
        <w:t xml:space="preserve"> [Accessed 20 Dec. 2023].</w:t>
      </w:r>
    </w:p>
    <w:p w:rsidRPr="001A640C" w:rsidR="005E3C19" w:rsidP="33418A90" w:rsidRDefault="005E3C19" w14:paraId="1768854A" w14:textId="579CAC74">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Era, A. (2023). </w:t>
      </w:r>
      <w:r w:rsidRPr="33418A90" w:rsidR="7EB2B566">
        <w:rPr>
          <w:rFonts w:ascii="Times New Roman" w:hAnsi="Times New Roman" w:eastAsia="Times New Roman" w:cs="Times New Roman"/>
          <w:i w:val="1"/>
          <w:iCs w:val="1"/>
          <w:noProof w:val="0"/>
          <w:sz w:val="24"/>
          <w:szCs w:val="24"/>
          <w:lang w:val="en-GB"/>
        </w:rPr>
        <w:t>Exceptional Care for Exceptional Kids: Why Do We Need Special Needs Daycare?</w:t>
      </w:r>
      <w:r w:rsidRPr="33418A90" w:rsidR="7EB2B566">
        <w:rPr>
          <w:rFonts w:ascii="Times New Roman" w:hAnsi="Times New Roman" w:eastAsia="Times New Roman" w:cs="Times New Roman"/>
          <w:noProof w:val="0"/>
          <w:sz w:val="24"/>
          <w:szCs w:val="24"/>
          <w:lang w:val="en-GB"/>
        </w:rPr>
        <w:t xml:space="preserve"> [online] </w:t>
      </w:r>
      <w:hyperlink>
        <w:r w:rsidRPr="33418A90" w:rsidR="7EB2B566">
          <w:rPr>
            <w:rStyle w:val="Hyperlink"/>
            <w:rFonts w:ascii="Times New Roman" w:hAnsi="Times New Roman" w:eastAsia="Times New Roman" w:cs="Times New Roman"/>
            <w:noProof w:val="0"/>
            <w:sz w:val="24"/>
            <w:szCs w:val="24"/>
            <w:lang w:val="en-GB"/>
          </w:rPr>
          <w:t>www.linkedin.com</w:t>
        </w:r>
      </w:hyperlink>
      <w:r w:rsidRPr="33418A90" w:rsidR="7EB2B566">
        <w:rPr>
          <w:rFonts w:ascii="Times New Roman" w:hAnsi="Times New Roman" w:eastAsia="Times New Roman" w:cs="Times New Roman"/>
          <w:noProof w:val="0"/>
          <w:sz w:val="24"/>
          <w:szCs w:val="24"/>
          <w:lang w:val="en-GB"/>
        </w:rPr>
        <w:t xml:space="preserve">. Available at: </w:t>
      </w:r>
      <w:hyperlink w:anchor=":~:text=Making%20Kids%20Feel%20Safe%3A%20Exceptional" r:id="R23be1ea29c9d479d">
        <w:r w:rsidRPr="33418A90" w:rsidR="7EB2B566">
          <w:rPr>
            <w:rStyle w:val="Hyperlink"/>
            <w:rFonts w:ascii="Times New Roman" w:hAnsi="Times New Roman" w:eastAsia="Times New Roman" w:cs="Times New Roman"/>
            <w:noProof w:val="0"/>
            <w:sz w:val="24"/>
            <w:szCs w:val="24"/>
            <w:lang w:val="en-GB"/>
          </w:rPr>
          <w:t>https://www.linkedin.com/pulse/exceptional-care-kids-why-do-we-need-special-needs-daycare-era#:~:text=Making%20Kids%20Feel%20Safe%3A%20Exceptional</w:t>
        </w:r>
      </w:hyperlink>
      <w:r w:rsidRPr="33418A90" w:rsidR="7EB2B566">
        <w:rPr>
          <w:rFonts w:ascii="Times New Roman" w:hAnsi="Times New Roman" w:eastAsia="Times New Roman" w:cs="Times New Roman"/>
          <w:noProof w:val="0"/>
          <w:sz w:val="24"/>
          <w:szCs w:val="24"/>
          <w:lang w:val="en-GB"/>
        </w:rPr>
        <w:t xml:space="preserve"> [Accessed 8 Dec. 2023].</w:t>
      </w:r>
    </w:p>
    <w:p w:rsidRPr="001A640C" w:rsidR="005E3C19" w:rsidP="33418A90" w:rsidRDefault="005E3C19" w14:paraId="1CC125BA" w14:textId="034CE9A4">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Family and Child Care Trust (2022). </w:t>
      </w:r>
      <w:r w:rsidRPr="33418A90" w:rsidR="7EB2B566">
        <w:rPr>
          <w:rFonts w:ascii="Times New Roman" w:hAnsi="Times New Roman" w:eastAsia="Times New Roman" w:cs="Times New Roman"/>
          <w:i w:val="1"/>
          <w:iCs w:val="1"/>
          <w:noProof w:val="0"/>
          <w:sz w:val="24"/>
          <w:szCs w:val="24"/>
          <w:lang w:val="en-GB"/>
        </w:rPr>
        <w:t>A Complex System of Childcare Support Is Causing Too Many Families to Miss out</w:t>
      </w:r>
      <w:r w:rsidRPr="33418A90" w:rsidR="7EB2B566">
        <w:rPr>
          <w:rFonts w:ascii="Times New Roman" w:hAnsi="Times New Roman" w:eastAsia="Times New Roman" w:cs="Times New Roman"/>
          <w:noProof w:val="0"/>
          <w:sz w:val="24"/>
          <w:szCs w:val="24"/>
          <w:lang w:val="en-GB"/>
        </w:rPr>
        <w:t xml:space="preserve">. [online] Family and Childcare Trust. Available at: </w:t>
      </w:r>
      <w:hyperlink w:anchor=":~:text=Children%20struggled%20to%20adapt%20to" r:id="Rd6d3995615c34679">
        <w:r w:rsidRPr="33418A90" w:rsidR="7EB2B566">
          <w:rPr>
            <w:rStyle w:val="Hyperlink"/>
            <w:rFonts w:ascii="Times New Roman" w:hAnsi="Times New Roman" w:eastAsia="Times New Roman" w:cs="Times New Roman"/>
            <w:noProof w:val="0"/>
            <w:sz w:val="24"/>
            <w:szCs w:val="24"/>
            <w:lang w:val="en-GB"/>
          </w:rPr>
          <w:t>https://www.familyandchildcaretrust.org/covid-childcare-research-blog#:~:text=Children%20struggled%20to%20adapt%20to</w:t>
        </w:r>
      </w:hyperlink>
      <w:r w:rsidRPr="33418A90" w:rsidR="7EB2B566">
        <w:rPr>
          <w:rFonts w:ascii="Times New Roman" w:hAnsi="Times New Roman" w:eastAsia="Times New Roman" w:cs="Times New Roman"/>
          <w:noProof w:val="0"/>
          <w:sz w:val="24"/>
          <w:szCs w:val="24"/>
          <w:lang w:val="en-GB"/>
        </w:rPr>
        <w:t xml:space="preserve"> [Accessed 21 Dec. 2023].</w:t>
      </w:r>
    </w:p>
    <w:p w:rsidRPr="001A640C" w:rsidR="005E3C19" w:rsidP="33418A90" w:rsidRDefault="005E3C19" w14:paraId="0DFF24E8" w14:textId="7F67BAA9">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First Things First. (n.d.). </w:t>
      </w:r>
      <w:r w:rsidRPr="33418A90" w:rsidR="7EB2B566">
        <w:rPr>
          <w:rFonts w:ascii="Times New Roman" w:hAnsi="Times New Roman" w:eastAsia="Times New Roman" w:cs="Times New Roman"/>
          <w:i w:val="1"/>
          <w:iCs w:val="1"/>
          <w:noProof w:val="0"/>
          <w:sz w:val="24"/>
          <w:szCs w:val="24"/>
          <w:lang w:val="en-GB"/>
        </w:rPr>
        <w:t>The First Five Years</w:t>
      </w:r>
      <w:r w:rsidRPr="33418A90" w:rsidR="7EB2B566">
        <w:rPr>
          <w:rFonts w:ascii="Times New Roman" w:hAnsi="Times New Roman" w:eastAsia="Times New Roman" w:cs="Times New Roman"/>
          <w:noProof w:val="0"/>
          <w:sz w:val="24"/>
          <w:szCs w:val="24"/>
          <w:lang w:val="en-GB"/>
        </w:rPr>
        <w:t xml:space="preserve">. [online] Available at: </w:t>
      </w:r>
      <w:hyperlink w:anchor=":~:text=From%20birth%20to%20age%205" r:id="R4c34152574b548af">
        <w:r w:rsidRPr="33418A90" w:rsidR="7EB2B566">
          <w:rPr>
            <w:rStyle w:val="Hyperlink"/>
            <w:rFonts w:ascii="Times New Roman" w:hAnsi="Times New Roman" w:eastAsia="Times New Roman" w:cs="Times New Roman"/>
            <w:noProof w:val="0"/>
            <w:sz w:val="24"/>
            <w:szCs w:val="24"/>
            <w:lang w:val="en-GB"/>
          </w:rPr>
          <w:t>https://files.firstthingsfirst.org/why-early-childhood-matters/the-first-five-years#:~:text=From%20birth%20to%20age%205</w:t>
        </w:r>
      </w:hyperlink>
      <w:r w:rsidRPr="33418A90" w:rsidR="7EB2B566">
        <w:rPr>
          <w:rFonts w:ascii="Times New Roman" w:hAnsi="Times New Roman" w:eastAsia="Times New Roman" w:cs="Times New Roman"/>
          <w:noProof w:val="0"/>
          <w:sz w:val="24"/>
          <w:szCs w:val="24"/>
          <w:lang w:val="en-GB"/>
        </w:rPr>
        <w:t xml:space="preserve"> [Accessed 8 Dec. 2023].</w:t>
      </w:r>
    </w:p>
    <w:p w:rsidRPr="001A640C" w:rsidR="005E3C19" w:rsidP="33418A90" w:rsidRDefault="005E3C19" w14:paraId="71483663" w14:textId="67D42501">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Gascoyne, S. (2018). </w:t>
      </w:r>
      <w:r w:rsidRPr="33418A90" w:rsidR="7EB2B566">
        <w:rPr>
          <w:rFonts w:ascii="Times New Roman" w:hAnsi="Times New Roman" w:eastAsia="Times New Roman" w:cs="Times New Roman"/>
          <w:i w:val="1"/>
          <w:iCs w:val="1"/>
          <w:noProof w:val="0"/>
          <w:sz w:val="24"/>
          <w:szCs w:val="24"/>
          <w:lang w:val="en-GB"/>
        </w:rPr>
        <w:t>Messy Play in the Early Years</w:t>
      </w:r>
      <w:r w:rsidRPr="33418A90" w:rsidR="7EB2B566">
        <w:rPr>
          <w:rFonts w:ascii="Times New Roman" w:hAnsi="Times New Roman" w:eastAsia="Times New Roman" w:cs="Times New Roman"/>
          <w:noProof w:val="0"/>
          <w:sz w:val="24"/>
          <w:szCs w:val="24"/>
          <w:lang w:val="en-GB"/>
        </w:rPr>
        <w:t>. Routledge.</w:t>
      </w:r>
    </w:p>
    <w:p w:rsidRPr="001A640C" w:rsidR="005E3C19" w:rsidP="33418A90" w:rsidRDefault="005E3C19" w14:paraId="6C4432BE" w14:textId="7251E380">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Gregory, L. (2023). </w:t>
      </w:r>
      <w:r w:rsidRPr="33418A90" w:rsidR="7EB2B566">
        <w:rPr>
          <w:rFonts w:ascii="Times New Roman" w:hAnsi="Times New Roman" w:eastAsia="Times New Roman" w:cs="Times New Roman"/>
          <w:i w:val="1"/>
          <w:iCs w:val="1"/>
          <w:noProof w:val="0"/>
          <w:sz w:val="24"/>
          <w:szCs w:val="24"/>
          <w:lang w:val="en-GB"/>
        </w:rPr>
        <w:t>Supporting Kinesthetic Learners in Early Childhood Education</w:t>
      </w:r>
      <w:r w:rsidRPr="33418A90" w:rsidR="7EB2B566">
        <w:rPr>
          <w:rFonts w:ascii="Times New Roman" w:hAnsi="Times New Roman" w:eastAsia="Times New Roman" w:cs="Times New Roman"/>
          <w:noProof w:val="0"/>
          <w:sz w:val="24"/>
          <w:szCs w:val="24"/>
          <w:lang w:val="en-GB"/>
        </w:rPr>
        <w:t xml:space="preserve">. [online] mybrightwheel.com. Available at: </w:t>
      </w:r>
      <w:hyperlink w:anchor=":~:text=Children%20who%20prefer%20the%20kinesthetic" r:id="Rdab131f4bd154b54">
        <w:r w:rsidRPr="33418A90" w:rsidR="7EB2B566">
          <w:rPr>
            <w:rStyle w:val="Hyperlink"/>
            <w:rFonts w:ascii="Times New Roman" w:hAnsi="Times New Roman" w:eastAsia="Times New Roman" w:cs="Times New Roman"/>
            <w:noProof w:val="0"/>
            <w:sz w:val="24"/>
            <w:szCs w:val="24"/>
            <w:lang w:val="en-GB"/>
          </w:rPr>
          <w:t>https://mybrightwheel.com/blog/kinesthetic-learner#:~:text=Children%20who%20prefer%20the%20kinesthetic</w:t>
        </w:r>
      </w:hyperlink>
      <w:r w:rsidRPr="33418A90" w:rsidR="7EB2B566">
        <w:rPr>
          <w:rFonts w:ascii="Times New Roman" w:hAnsi="Times New Roman" w:eastAsia="Times New Roman" w:cs="Times New Roman"/>
          <w:noProof w:val="0"/>
          <w:sz w:val="24"/>
          <w:szCs w:val="24"/>
          <w:lang w:val="en-GB"/>
        </w:rPr>
        <w:t xml:space="preserve"> [Accessed 11 Jan. 2024].</w:t>
      </w:r>
    </w:p>
    <w:p w:rsidRPr="001A640C" w:rsidR="005E3C19" w:rsidP="33418A90" w:rsidRDefault="005E3C19" w14:paraId="5C3D5DEE" w14:textId="5108ADD3">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Harvard,edu (n.d.). </w:t>
      </w:r>
      <w:r w:rsidRPr="33418A90" w:rsidR="7EB2B566">
        <w:rPr>
          <w:rFonts w:ascii="Times New Roman" w:hAnsi="Times New Roman" w:eastAsia="Times New Roman" w:cs="Times New Roman"/>
          <w:i w:val="1"/>
          <w:iCs w:val="1"/>
          <w:noProof w:val="0"/>
          <w:sz w:val="24"/>
          <w:szCs w:val="24"/>
          <w:lang w:val="en-GB"/>
        </w:rPr>
        <w:t>How-to: 5 Steps for Brain-Building Serve and Return</w:t>
      </w:r>
      <w:r w:rsidRPr="33418A90" w:rsidR="7EB2B566">
        <w:rPr>
          <w:rFonts w:ascii="Times New Roman" w:hAnsi="Times New Roman" w:eastAsia="Times New Roman" w:cs="Times New Roman"/>
          <w:noProof w:val="0"/>
          <w:sz w:val="24"/>
          <w:szCs w:val="24"/>
          <w:lang w:val="en-GB"/>
        </w:rPr>
        <w:t xml:space="preserve">. [online] Center on the Developing Child at Harvard University. Available at: </w:t>
      </w:r>
      <w:hyperlink r:id="Rd1b2dd89db1843b4">
        <w:r w:rsidRPr="33418A90" w:rsidR="7EB2B566">
          <w:rPr>
            <w:rStyle w:val="Hyperlink"/>
            <w:rFonts w:ascii="Times New Roman" w:hAnsi="Times New Roman" w:eastAsia="Times New Roman" w:cs="Times New Roman"/>
            <w:noProof w:val="0"/>
            <w:sz w:val="24"/>
            <w:szCs w:val="24"/>
            <w:lang w:val="en-GB"/>
          </w:rPr>
          <w:t>https://developingchild.harvard.edu/resources/how-to-5-steps-for-brain-building-serve-and-return/</w:t>
        </w:r>
      </w:hyperlink>
      <w:r w:rsidRPr="33418A90" w:rsidR="7EB2B566">
        <w:rPr>
          <w:rFonts w:ascii="Times New Roman" w:hAnsi="Times New Roman" w:eastAsia="Times New Roman" w:cs="Times New Roman"/>
          <w:noProof w:val="0"/>
          <w:sz w:val="24"/>
          <w:szCs w:val="24"/>
          <w:lang w:val="en-GB"/>
        </w:rPr>
        <w:t xml:space="preserve"> [Accessed 7 Dec. 2023]. (No Date).</w:t>
      </w:r>
    </w:p>
    <w:p w:rsidRPr="001A640C" w:rsidR="005E3C19" w:rsidP="33418A90" w:rsidRDefault="005E3C19" w14:paraId="6C8729D0" w14:textId="342D678B">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Hayes, N, O'Toole, L, &amp; Halpenny, AM 2017, Introducing </w:t>
      </w:r>
      <w:r w:rsidRPr="33418A90" w:rsidR="1061128B">
        <w:rPr>
          <w:rFonts w:ascii="Times New Roman" w:hAnsi="Times New Roman" w:eastAsia="Times New Roman" w:cs="Times New Roman"/>
          <w:noProof w:val="0"/>
          <w:sz w:val="24"/>
          <w:szCs w:val="24"/>
          <w:lang w:val="en-GB"/>
        </w:rPr>
        <w:t>Bronfenbrenner:</w:t>
      </w:r>
      <w:r w:rsidRPr="33418A90" w:rsidR="7EB2B566">
        <w:rPr>
          <w:rFonts w:ascii="Times New Roman" w:hAnsi="Times New Roman" w:eastAsia="Times New Roman" w:cs="Times New Roman"/>
          <w:noProof w:val="0"/>
          <w:sz w:val="24"/>
          <w:szCs w:val="24"/>
          <w:lang w:val="en-GB"/>
        </w:rPr>
        <w:t xml:space="preserve"> A Guide for Practitioners and Students in Early Years Education, Taylor &amp; Francis Group, Milton. Available from: ProQuest </w:t>
      </w:r>
      <w:r w:rsidRPr="33418A90" w:rsidR="7EB2B566">
        <w:rPr>
          <w:rFonts w:ascii="Times New Roman" w:hAnsi="Times New Roman" w:eastAsia="Times New Roman" w:cs="Times New Roman"/>
          <w:noProof w:val="0"/>
          <w:sz w:val="24"/>
          <w:szCs w:val="24"/>
          <w:lang w:val="en-GB"/>
        </w:rPr>
        <w:t>Ebook</w:t>
      </w:r>
      <w:r w:rsidRPr="33418A90" w:rsidR="7EB2B566">
        <w:rPr>
          <w:rFonts w:ascii="Times New Roman" w:hAnsi="Times New Roman" w:eastAsia="Times New Roman" w:cs="Times New Roman"/>
          <w:noProof w:val="0"/>
          <w:sz w:val="24"/>
          <w:szCs w:val="24"/>
          <w:lang w:val="en-GB"/>
        </w:rPr>
        <w:t xml:space="preserve"> Central. [13 December 2023]. </w:t>
      </w:r>
    </w:p>
    <w:p w:rsidRPr="001A640C" w:rsidR="005E3C19" w:rsidP="33418A90" w:rsidRDefault="005E3C19" w14:paraId="5FBCA0D3" w14:textId="1AFB3E7E">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Jarrett,M. (2023) Personal Image. Image 8 and 9 </w:t>
      </w:r>
    </w:p>
    <w:p w:rsidRPr="001A640C" w:rsidR="005E3C19" w:rsidP="33418A90" w:rsidRDefault="005E3C19" w14:paraId="00B78CB0" w14:textId="18174BE0">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Karakochuk, C.D. </w:t>
      </w:r>
      <w:r w:rsidRPr="33418A90" w:rsidR="7EB2B566">
        <w:rPr>
          <w:rFonts w:ascii="Times New Roman" w:hAnsi="Times New Roman" w:eastAsia="Times New Roman" w:cs="Times New Roman"/>
          <w:i w:val="1"/>
          <w:iCs w:val="1"/>
          <w:noProof w:val="0"/>
          <w:sz w:val="24"/>
          <w:szCs w:val="24"/>
          <w:lang w:val="en-GB"/>
        </w:rPr>
        <w:t>et al.</w:t>
      </w:r>
      <w:r w:rsidRPr="33418A90" w:rsidR="7EB2B566">
        <w:rPr>
          <w:rFonts w:ascii="Times New Roman" w:hAnsi="Times New Roman" w:eastAsia="Times New Roman" w:cs="Times New Roman"/>
          <w:noProof w:val="0"/>
          <w:sz w:val="24"/>
          <w:szCs w:val="24"/>
          <w:lang w:val="en-GB"/>
        </w:rPr>
        <w:t xml:space="preserve"> (2017) </w:t>
      </w:r>
      <w:r w:rsidRPr="33418A90" w:rsidR="7EB2B566">
        <w:rPr>
          <w:rFonts w:ascii="Times New Roman" w:hAnsi="Times New Roman" w:eastAsia="Times New Roman" w:cs="Times New Roman"/>
          <w:i w:val="1"/>
          <w:iCs w:val="1"/>
          <w:noProof w:val="0"/>
          <w:sz w:val="24"/>
          <w:szCs w:val="24"/>
          <w:lang w:val="en-GB"/>
        </w:rPr>
        <w:t>The Biology of the First 1,000 Days</w:t>
      </w:r>
      <w:r w:rsidRPr="33418A90" w:rsidR="7EB2B566">
        <w:rPr>
          <w:rFonts w:ascii="Times New Roman" w:hAnsi="Times New Roman" w:eastAsia="Times New Roman" w:cs="Times New Roman"/>
          <w:noProof w:val="0"/>
          <w:sz w:val="24"/>
          <w:szCs w:val="24"/>
          <w:lang w:val="en-GB"/>
        </w:rPr>
        <w:t xml:space="preserve">. 1st edn. Milton: Routledge. Available at: </w:t>
      </w:r>
      <w:hyperlink r:id="Rfbf688721fc54cd3">
        <w:r w:rsidRPr="33418A90" w:rsidR="7EB2B566">
          <w:rPr>
            <w:rStyle w:val="Hyperlink"/>
            <w:rFonts w:ascii="Times New Roman" w:hAnsi="Times New Roman" w:eastAsia="Times New Roman" w:cs="Times New Roman"/>
            <w:noProof w:val="0"/>
            <w:sz w:val="24"/>
            <w:szCs w:val="24"/>
            <w:lang w:val="en-GB"/>
          </w:rPr>
          <w:t>https://doi.org/10.1201/9781315152950</w:t>
        </w:r>
      </w:hyperlink>
      <w:r w:rsidRPr="33418A90" w:rsidR="7EB2B566">
        <w:rPr>
          <w:rFonts w:ascii="Times New Roman" w:hAnsi="Times New Roman" w:eastAsia="Times New Roman" w:cs="Times New Roman"/>
          <w:noProof w:val="0"/>
          <w:sz w:val="24"/>
          <w:szCs w:val="24"/>
          <w:lang w:val="en-GB"/>
        </w:rPr>
        <w:t xml:space="preserve">. </w:t>
      </w:r>
    </w:p>
    <w:p w:rsidRPr="001A640C" w:rsidR="005E3C19" w:rsidP="33418A90" w:rsidRDefault="005E3C19" w14:paraId="55B42FFF" w14:textId="59F6D8D4">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Kattula D, Sarkar R, </w:t>
      </w:r>
      <w:r w:rsidRPr="33418A90" w:rsidR="7EB2B566">
        <w:rPr>
          <w:rFonts w:ascii="Times New Roman" w:hAnsi="Times New Roman" w:eastAsia="Times New Roman" w:cs="Times New Roman"/>
          <w:noProof w:val="0"/>
          <w:sz w:val="24"/>
          <w:szCs w:val="24"/>
          <w:lang w:val="en-GB"/>
        </w:rPr>
        <w:t>Sivarathinaswamy</w:t>
      </w:r>
      <w:r w:rsidRPr="33418A90" w:rsidR="7EB2B566">
        <w:rPr>
          <w:rFonts w:ascii="Times New Roman" w:hAnsi="Times New Roman" w:eastAsia="Times New Roman" w:cs="Times New Roman"/>
          <w:noProof w:val="0"/>
          <w:sz w:val="24"/>
          <w:szCs w:val="24"/>
          <w:lang w:val="en-GB"/>
        </w:rPr>
        <w:t xml:space="preserve"> P, et </w:t>
      </w:r>
      <w:r w:rsidRPr="33418A90" w:rsidR="7EB2B566">
        <w:rPr>
          <w:rFonts w:ascii="Times New Roman" w:hAnsi="Times New Roman" w:eastAsia="Times New Roman" w:cs="Times New Roman"/>
          <w:noProof w:val="0"/>
          <w:sz w:val="24"/>
          <w:szCs w:val="24"/>
          <w:lang w:val="en-GB"/>
        </w:rPr>
        <w:t>al The</w:t>
      </w:r>
      <w:r w:rsidRPr="33418A90" w:rsidR="7EB2B566">
        <w:rPr>
          <w:rFonts w:ascii="Times New Roman" w:hAnsi="Times New Roman" w:eastAsia="Times New Roman" w:cs="Times New Roman"/>
          <w:noProof w:val="0"/>
          <w:sz w:val="24"/>
          <w:szCs w:val="24"/>
          <w:lang w:val="en-GB"/>
        </w:rPr>
        <w:t xml:space="preserve"> first 1000 days of life: prenatal and postnatal risk factors for morbidity and growth in a birth cohort in southern </w:t>
      </w:r>
      <w:r w:rsidRPr="33418A90" w:rsidR="7EB2B566">
        <w:rPr>
          <w:rFonts w:ascii="Times New Roman" w:hAnsi="Times New Roman" w:eastAsia="Times New Roman" w:cs="Times New Roman"/>
          <w:noProof w:val="0"/>
          <w:sz w:val="24"/>
          <w:szCs w:val="24"/>
          <w:lang w:val="en-GB"/>
        </w:rPr>
        <w:t>IndiaBMJ</w:t>
      </w:r>
      <w:r w:rsidRPr="33418A90" w:rsidR="7EB2B566">
        <w:rPr>
          <w:rFonts w:ascii="Times New Roman" w:hAnsi="Times New Roman" w:eastAsia="Times New Roman" w:cs="Times New Roman"/>
          <w:noProof w:val="0"/>
          <w:sz w:val="24"/>
          <w:szCs w:val="24"/>
          <w:lang w:val="en-GB"/>
        </w:rPr>
        <w:t xml:space="preserve"> Open 2014;</w:t>
      </w:r>
      <w:r w:rsidRPr="33418A90" w:rsidR="7EB2B566">
        <w:rPr>
          <w:rFonts w:ascii="Times New Roman" w:hAnsi="Times New Roman" w:eastAsia="Times New Roman" w:cs="Times New Roman"/>
          <w:noProof w:val="0"/>
          <w:sz w:val="24"/>
          <w:szCs w:val="24"/>
          <w:lang w:val="en-GB"/>
        </w:rPr>
        <w:t>4:e</w:t>
      </w:r>
      <w:r w:rsidRPr="33418A90" w:rsidR="7EB2B566">
        <w:rPr>
          <w:rFonts w:ascii="Times New Roman" w:hAnsi="Times New Roman" w:eastAsia="Times New Roman" w:cs="Times New Roman"/>
          <w:noProof w:val="0"/>
          <w:sz w:val="24"/>
          <w:szCs w:val="24"/>
          <w:lang w:val="en-GB"/>
        </w:rPr>
        <w:t xml:space="preserve">005404. </w:t>
      </w:r>
      <w:r w:rsidRPr="33418A90" w:rsidR="7EB2B566">
        <w:rPr>
          <w:rFonts w:ascii="Times New Roman" w:hAnsi="Times New Roman" w:eastAsia="Times New Roman" w:cs="Times New Roman"/>
          <w:noProof w:val="0"/>
          <w:sz w:val="24"/>
          <w:szCs w:val="24"/>
          <w:lang w:val="en-GB"/>
        </w:rPr>
        <w:t>doi</w:t>
      </w:r>
      <w:r w:rsidRPr="33418A90" w:rsidR="7EB2B566">
        <w:rPr>
          <w:rFonts w:ascii="Times New Roman" w:hAnsi="Times New Roman" w:eastAsia="Times New Roman" w:cs="Times New Roman"/>
          <w:noProof w:val="0"/>
          <w:sz w:val="24"/>
          <w:szCs w:val="24"/>
          <w:lang w:val="en-GB"/>
        </w:rPr>
        <w:t xml:space="preserve">: 10.1136/bmjopen-2014-005404 (Accessed on 13.12.23) </w:t>
      </w:r>
    </w:p>
    <w:p w:rsidRPr="001A640C" w:rsidR="005E3C19" w:rsidP="33418A90" w:rsidRDefault="005E3C19" w14:paraId="23659575" w14:textId="17945F1F">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Knapp, T., Losert, E., Malmrose, A., Mullins, E. and Newman, P. (n.d.). </w:t>
      </w:r>
      <w:r w:rsidRPr="33418A90" w:rsidR="7EB2B566">
        <w:rPr>
          <w:rFonts w:ascii="Times New Roman" w:hAnsi="Times New Roman" w:eastAsia="Times New Roman" w:cs="Times New Roman"/>
          <w:i w:val="1"/>
          <w:iCs w:val="1"/>
          <w:noProof w:val="0"/>
          <w:sz w:val="24"/>
          <w:szCs w:val="24"/>
          <w:lang w:val="en-GB"/>
        </w:rPr>
        <w:t>Bronfenbrenner’s Bioecological Model</w:t>
      </w:r>
      <w:r w:rsidRPr="33418A90" w:rsidR="7EB2B566">
        <w:rPr>
          <w:rFonts w:ascii="Times New Roman" w:hAnsi="Times New Roman" w:eastAsia="Times New Roman" w:cs="Times New Roman"/>
          <w:noProof w:val="0"/>
          <w:sz w:val="24"/>
          <w:szCs w:val="24"/>
          <w:lang w:val="en-GB"/>
        </w:rPr>
        <w:t xml:space="preserve">. [online] Bronfenbrenner’s Bioecological Model. Available at: </w:t>
      </w:r>
      <w:hyperlink r:id="R49bcc365823f4a3b">
        <w:r w:rsidRPr="33418A90" w:rsidR="7EB2B566">
          <w:rPr>
            <w:rStyle w:val="Hyperlink"/>
            <w:rFonts w:ascii="Times New Roman" w:hAnsi="Times New Roman" w:eastAsia="Times New Roman" w:cs="Times New Roman"/>
            <w:noProof w:val="0"/>
            <w:sz w:val="24"/>
            <w:szCs w:val="24"/>
            <w:lang w:val="en-GB"/>
          </w:rPr>
          <w:t>https://educ3040fall13.weebly.com/</w:t>
        </w:r>
      </w:hyperlink>
      <w:r w:rsidRPr="33418A90" w:rsidR="7EB2B566">
        <w:rPr>
          <w:rFonts w:ascii="Times New Roman" w:hAnsi="Times New Roman" w:eastAsia="Times New Roman" w:cs="Times New Roman"/>
          <w:noProof w:val="0"/>
          <w:sz w:val="24"/>
          <w:szCs w:val="24"/>
          <w:lang w:val="en-GB"/>
        </w:rPr>
        <w:t xml:space="preserve"> [Accessed 16 Jan. 2024]. Image 4.</w:t>
      </w:r>
    </w:p>
    <w:p w:rsidRPr="001A640C" w:rsidR="005E3C19" w:rsidP="33418A90" w:rsidRDefault="005E3C19" w14:paraId="2352EAA0" w14:textId="5963C785">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Logan’s Plate. (2019). </w:t>
      </w:r>
      <w:r w:rsidRPr="33418A90" w:rsidR="7EB2B566">
        <w:rPr>
          <w:rFonts w:ascii="Times New Roman" w:hAnsi="Times New Roman" w:eastAsia="Times New Roman" w:cs="Times New Roman"/>
          <w:i w:val="1"/>
          <w:iCs w:val="1"/>
          <w:noProof w:val="0"/>
          <w:sz w:val="24"/>
          <w:szCs w:val="24"/>
          <w:lang w:val="en-GB"/>
        </w:rPr>
        <w:t>The First 1000 Days | Logan’s Plate Blog</w:t>
      </w:r>
      <w:r w:rsidRPr="33418A90" w:rsidR="7EB2B566">
        <w:rPr>
          <w:rFonts w:ascii="Times New Roman" w:hAnsi="Times New Roman" w:eastAsia="Times New Roman" w:cs="Times New Roman"/>
          <w:noProof w:val="0"/>
          <w:sz w:val="24"/>
          <w:szCs w:val="24"/>
          <w:lang w:val="en-GB"/>
        </w:rPr>
        <w:t xml:space="preserve">. [online] Available at: </w:t>
      </w:r>
      <w:hyperlink r:id="R559bf213c2924c2b">
        <w:r w:rsidRPr="33418A90" w:rsidR="7EB2B566">
          <w:rPr>
            <w:rStyle w:val="Hyperlink"/>
            <w:rFonts w:ascii="Times New Roman" w:hAnsi="Times New Roman" w:eastAsia="Times New Roman" w:cs="Times New Roman"/>
            <w:noProof w:val="0"/>
            <w:sz w:val="24"/>
            <w:szCs w:val="24"/>
            <w:lang w:val="en-GB"/>
          </w:rPr>
          <w:t>https://logansplate.com/blog/the-first-1000-days</w:t>
        </w:r>
      </w:hyperlink>
      <w:r w:rsidRPr="33418A90" w:rsidR="7EB2B566">
        <w:rPr>
          <w:rFonts w:ascii="Times New Roman" w:hAnsi="Times New Roman" w:eastAsia="Times New Roman" w:cs="Times New Roman"/>
          <w:noProof w:val="0"/>
          <w:sz w:val="24"/>
          <w:szCs w:val="24"/>
          <w:lang w:val="en-GB"/>
        </w:rPr>
        <w:t xml:space="preserve"> Image 2.</w:t>
      </w:r>
    </w:p>
    <w:p w:rsidRPr="001A640C" w:rsidR="005E3C19" w:rsidP="33418A90" w:rsidRDefault="005E3C19" w14:paraId="0A51D1A7" w14:textId="5508E014">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Media (2000), M. (n.d.). </w:t>
      </w:r>
      <w:r w:rsidRPr="33418A90" w:rsidR="7EB2B566">
        <w:rPr>
          <w:rFonts w:ascii="Times New Roman" w:hAnsi="Times New Roman" w:eastAsia="Times New Roman" w:cs="Times New Roman"/>
          <w:i w:val="1"/>
          <w:iCs w:val="1"/>
          <w:noProof w:val="0"/>
          <w:sz w:val="24"/>
          <w:szCs w:val="24"/>
          <w:lang w:val="en-GB"/>
        </w:rPr>
        <w:t>Child development – Why the first 1,000 days of children’s lives matter most | A Unique Child</w:t>
      </w:r>
      <w:r w:rsidRPr="33418A90" w:rsidR="7EB2B566">
        <w:rPr>
          <w:rFonts w:ascii="Times New Roman" w:hAnsi="Times New Roman" w:eastAsia="Times New Roman" w:cs="Times New Roman"/>
          <w:noProof w:val="0"/>
          <w:sz w:val="24"/>
          <w:szCs w:val="24"/>
          <w:lang w:val="en-GB"/>
        </w:rPr>
        <w:t xml:space="preserve">. [online] Teach Early Years. Available at: </w:t>
      </w:r>
      <w:hyperlink r:id="R9ca6fdfc84084977">
        <w:r w:rsidRPr="33418A90" w:rsidR="7EB2B566">
          <w:rPr>
            <w:rStyle w:val="Hyperlink"/>
            <w:rFonts w:ascii="Times New Roman" w:hAnsi="Times New Roman" w:eastAsia="Times New Roman" w:cs="Times New Roman"/>
            <w:noProof w:val="0"/>
            <w:sz w:val="24"/>
            <w:szCs w:val="24"/>
            <w:lang w:val="en-GB"/>
          </w:rPr>
          <w:t>https://www.teachearlyyears.com/a-unique-child/view/child-development-why-the-first-1000-days-of-childrens-lives-matter-most</w:t>
        </w:r>
      </w:hyperlink>
      <w:r w:rsidRPr="33418A90" w:rsidR="7EB2B566">
        <w:rPr>
          <w:rFonts w:ascii="Times New Roman" w:hAnsi="Times New Roman" w:eastAsia="Times New Roman" w:cs="Times New Roman"/>
          <w:noProof w:val="0"/>
          <w:sz w:val="24"/>
          <w:szCs w:val="24"/>
          <w:lang w:val="en-GB"/>
        </w:rPr>
        <w:t xml:space="preserve"> [Accessed 6 Dec. 2023]. Image 1.</w:t>
      </w:r>
    </w:p>
    <w:p w:rsidRPr="001A640C" w:rsidR="005E3C19" w:rsidP="33418A90" w:rsidRDefault="005E3C19" w14:paraId="06D7346D" w14:textId="57109D31">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Mitroff, S. (2022). </w:t>
      </w:r>
      <w:r w:rsidRPr="33418A90" w:rsidR="7EB2B566">
        <w:rPr>
          <w:rFonts w:ascii="Times New Roman" w:hAnsi="Times New Roman" w:eastAsia="Times New Roman" w:cs="Times New Roman"/>
          <w:i w:val="1"/>
          <w:iCs w:val="1"/>
          <w:noProof w:val="0"/>
          <w:sz w:val="24"/>
          <w:szCs w:val="24"/>
          <w:lang w:val="en-GB"/>
        </w:rPr>
        <w:t>Pregnancy timeline: What Happens Each Month and Trimester</w:t>
      </w:r>
      <w:r w:rsidRPr="33418A90" w:rsidR="7EB2B566">
        <w:rPr>
          <w:rFonts w:ascii="Times New Roman" w:hAnsi="Times New Roman" w:eastAsia="Times New Roman" w:cs="Times New Roman"/>
          <w:noProof w:val="0"/>
          <w:sz w:val="24"/>
          <w:szCs w:val="24"/>
          <w:lang w:val="en-GB"/>
        </w:rPr>
        <w:t xml:space="preserve">. [online] CNET. Available at: </w:t>
      </w:r>
      <w:hyperlink r:id="R9f9eb46e72b9493a">
        <w:r w:rsidRPr="33418A90" w:rsidR="7EB2B566">
          <w:rPr>
            <w:rStyle w:val="Hyperlink"/>
            <w:rFonts w:ascii="Times New Roman" w:hAnsi="Times New Roman" w:eastAsia="Times New Roman" w:cs="Times New Roman"/>
            <w:noProof w:val="0"/>
            <w:sz w:val="24"/>
            <w:szCs w:val="24"/>
            <w:lang w:val="en-GB"/>
          </w:rPr>
          <w:t>https://www.cnet.com/health/parenting/pregnancy-timeline-what-happens-each-month-and-trimester/</w:t>
        </w:r>
      </w:hyperlink>
      <w:r w:rsidRPr="33418A90" w:rsidR="7EB2B566">
        <w:rPr>
          <w:rFonts w:ascii="Times New Roman" w:hAnsi="Times New Roman" w:eastAsia="Times New Roman" w:cs="Times New Roman"/>
          <w:noProof w:val="0"/>
          <w:sz w:val="24"/>
          <w:szCs w:val="24"/>
          <w:lang w:val="en-GB"/>
        </w:rPr>
        <w:t xml:space="preserve"> [Accessed 17 Jan. 2024]. Image 5.</w:t>
      </w:r>
    </w:p>
    <w:p w:rsidRPr="001A640C" w:rsidR="005E3C19" w:rsidP="33418A90" w:rsidRDefault="005E3C19" w14:paraId="7437EE5F" w14:textId="588B121E">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Penh, P. (2019). </w:t>
      </w:r>
      <w:r w:rsidRPr="33418A90" w:rsidR="7EB2B566">
        <w:rPr>
          <w:rFonts w:ascii="Times New Roman" w:hAnsi="Times New Roman" w:eastAsia="Times New Roman" w:cs="Times New Roman"/>
          <w:i w:val="1"/>
          <w:iCs w:val="1"/>
          <w:noProof w:val="0"/>
          <w:sz w:val="24"/>
          <w:szCs w:val="24"/>
          <w:lang w:val="en-GB"/>
        </w:rPr>
        <w:t>Investing in nutrition in the first 1000 days to invest in Cambodia’s future</w:t>
      </w:r>
      <w:r w:rsidRPr="33418A90" w:rsidR="7EB2B566">
        <w:rPr>
          <w:rFonts w:ascii="Times New Roman" w:hAnsi="Times New Roman" w:eastAsia="Times New Roman" w:cs="Times New Roman"/>
          <w:noProof w:val="0"/>
          <w:sz w:val="24"/>
          <w:szCs w:val="24"/>
          <w:lang w:val="en-GB"/>
        </w:rPr>
        <w:t xml:space="preserve">. [online] Who.int. Available at: </w:t>
      </w:r>
      <w:hyperlink r:id="R58720e873acf4a03">
        <w:r w:rsidRPr="33418A90" w:rsidR="7EB2B566">
          <w:rPr>
            <w:rStyle w:val="Hyperlink"/>
            <w:rFonts w:ascii="Times New Roman" w:hAnsi="Times New Roman" w:eastAsia="Times New Roman" w:cs="Times New Roman"/>
            <w:noProof w:val="0"/>
            <w:sz w:val="24"/>
            <w:szCs w:val="24"/>
            <w:lang w:val="en-GB"/>
          </w:rPr>
          <w:t>https://www.who.int/cambodia/news/detail/04-03-2019-investing-in-nutrition-in-the-first-1000-days-to-invest-in-cambodia%E2%80%99s-future</w:t>
        </w:r>
      </w:hyperlink>
      <w:r w:rsidRPr="33418A90" w:rsidR="7EB2B566">
        <w:rPr>
          <w:rFonts w:ascii="Times New Roman" w:hAnsi="Times New Roman" w:eastAsia="Times New Roman" w:cs="Times New Roman"/>
          <w:noProof w:val="0"/>
          <w:sz w:val="24"/>
          <w:szCs w:val="24"/>
          <w:lang w:val="en-GB"/>
        </w:rPr>
        <w:t xml:space="preserve"> [Accessed 6 Dec. 2023].</w:t>
      </w:r>
    </w:p>
    <w:p w:rsidRPr="001A640C" w:rsidR="005E3C19" w:rsidP="33418A90" w:rsidRDefault="005E3C19" w14:paraId="1327316F" w14:textId="5D0E99EC">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Pound, L. (2005). </w:t>
      </w:r>
      <w:r w:rsidRPr="33418A90" w:rsidR="7EB2B566">
        <w:rPr>
          <w:rFonts w:ascii="Times New Roman" w:hAnsi="Times New Roman" w:eastAsia="Times New Roman" w:cs="Times New Roman"/>
          <w:i w:val="1"/>
          <w:iCs w:val="1"/>
          <w:noProof w:val="0"/>
          <w:sz w:val="24"/>
          <w:szCs w:val="24"/>
          <w:lang w:val="en-GB"/>
        </w:rPr>
        <w:t xml:space="preserve">How Children </w:t>
      </w:r>
      <w:r w:rsidRPr="33418A90" w:rsidR="7EB2B566">
        <w:rPr>
          <w:rFonts w:ascii="Times New Roman" w:hAnsi="Times New Roman" w:eastAsia="Times New Roman" w:cs="Times New Roman"/>
          <w:i w:val="1"/>
          <w:iCs w:val="1"/>
          <w:noProof w:val="0"/>
          <w:sz w:val="24"/>
          <w:szCs w:val="24"/>
          <w:lang w:val="en-GB"/>
        </w:rPr>
        <w:t>Learn:</w:t>
      </w:r>
      <w:r w:rsidRPr="33418A90" w:rsidR="7EB2B566">
        <w:rPr>
          <w:rFonts w:ascii="Times New Roman" w:hAnsi="Times New Roman" w:eastAsia="Times New Roman" w:cs="Times New Roman"/>
          <w:i w:val="1"/>
          <w:iCs w:val="1"/>
          <w:noProof w:val="0"/>
          <w:sz w:val="24"/>
          <w:szCs w:val="24"/>
          <w:lang w:val="en-GB"/>
        </w:rPr>
        <w:t xml:space="preserve"> from Montessori to Vygotsky: Educational Theories and Approaches Made easy.</w:t>
      </w:r>
      <w:r w:rsidRPr="33418A90" w:rsidR="7EB2B566">
        <w:rPr>
          <w:rFonts w:ascii="Times New Roman" w:hAnsi="Times New Roman" w:eastAsia="Times New Roman" w:cs="Times New Roman"/>
          <w:noProof w:val="0"/>
          <w:sz w:val="24"/>
          <w:szCs w:val="24"/>
          <w:lang w:val="en-GB"/>
        </w:rPr>
        <w:t xml:space="preserve"> Step Forward Publishing. Page 44.</w:t>
      </w:r>
    </w:p>
    <w:p w:rsidRPr="001A640C" w:rsidR="005E3C19" w:rsidP="33418A90" w:rsidRDefault="005E3C19" w14:paraId="2171B46E" w14:textId="72243429">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Pound, L. (2006). </w:t>
      </w:r>
      <w:r w:rsidRPr="33418A90" w:rsidR="7EB2B566">
        <w:rPr>
          <w:rFonts w:ascii="Times New Roman" w:hAnsi="Times New Roman" w:eastAsia="Times New Roman" w:cs="Times New Roman"/>
          <w:i w:val="1"/>
          <w:iCs w:val="1"/>
          <w:noProof w:val="0"/>
          <w:sz w:val="24"/>
          <w:szCs w:val="24"/>
          <w:lang w:val="en-GB"/>
        </w:rPr>
        <w:t>How children learn</w:t>
      </w:r>
      <w:r w:rsidRPr="33418A90" w:rsidR="7EB2B566">
        <w:rPr>
          <w:rFonts w:ascii="Times New Roman" w:hAnsi="Times New Roman" w:eastAsia="Times New Roman" w:cs="Times New Roman"/>
          <w:noProof w:val="0"/>
          <w:sz w:val="24"/>
          <w:szCs w:val="24"/>
          <w:lang w:val="en-GB"/>
        </w:rPr>
        <w:t xml:space="preserve">. London: Step Forward </w:t>
      </w:r>
      <w:r w:rsidRPr="33418A90" w:rsidR="7EB2B566">
        <w:rPr>
          <w:rFonts w:ascii="Times New Roman" w:hAnsi="Times New Roman" w:eastAsia="Times New Roman" w:cs="Times New Roman"/>
          <w:noProof w:val="0"/>
          <w:sz w:val="24"/>
          <w:szCs w:val="24"/>
          <w:lang w:val="en-GB"/>
        </w:rPr>
        <w:t>Publishing</w:t>
      </w:r>
      <w:r w:rsidRPr="33418A90" w:rsidR="7EB2B566">
        <w:rPr>
          <w:rFonts w:ascii="Times New Roman" w:hAnsi="Times New Roman" w:eastAsia="Times New Roman" w:cs="Times New Roman"/>
          <w:noProof w:val="0"/>
          <w:sz w:val="24"/>
          <w:szCs w:val="24"/>
          <w:lang w:val="en-GB"/>
        </w:rPr>
        <w:t xml:space="preserve"> Ltd. Pages 29-31.</w:t>
      </w:r>
    </w:p>
    <w:p w:rsidRPr="001A640C" w:rsidR="005E3C19" w:rsidP="33418A90" w:rsidRDefault="005E3C19" w14:paraId="7F7821C1" w14:textId="3854E2BD">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Smidt, S 2015, Observing Young Children : The Role of Observation and Assessment in Early Childhood Settings, Taylor &amp; Francis Group, London. Available from: ProQuest Ebook Central. [8 December 2023]. </w:t>
      </w:r>
    </w:p>
    <w:p w:rsidRPr="001A640C" w:rsidR="005E3C19" w:rsidP="33418A90" w:rsidRDefault="005E3C19" w14:paraId="3CAEA32C" w14:textId="0F2EAB77">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Thecuriosityapproach.com. (2020). </w:t>
      </w:r>
      <w:r w:rsidRPr="33418A90" w:rsidR="7EB2B566">
        <w:rPr>
          <w:rFonts w:ascii="Times New Roman" w:hAnsi="Times New Roman" w:eastAsia="Times New Roman" w:cs="Times New Roman"/>
          <w:i w:val="1"/>
          <w:iCs w:val="1"/>
          <w:noProof w:val="0"/>
          <w:sz w:val="24"/>
          <w:szCs w:val="24"/>
          <w:lang w:val="en-GB"/>
        </w:rPr>
        <w:t>TUFF TRAY THEMES AND TOPICS?</w:t>
      </w:r>
      <w:r w:rsidRPr="33418A90" w:rsidR="7EB2B566">
        <w:rPr>
          <w:rFonts w:ascii="Times New Roman" w:hAnsi="Times New Roman" w:eastAsia="Times New Roman" w:cs="Times New Roman"/>
          <w:noProof w:val="0"/>
          <w:sz w:val="24"/>
          <w:szCs w:val="24"/>
          <w:lang w:val="en-GB"/>
        </w:rPr>
        <w:t xml:space="preserve"> [online] Available at: </w:t>
      </w:r>
      <w:hyperlink r:id="R7ab4126ea7bd4ff6">
        <w:r w:rsidRPr="33418A90" w:rsidR="7EB2B566">
          <w:rPr>
            <w:rStyle w:val="Hyperlink"/>
            <w:rFonts w:ascii="Times New Roman" w:hAnsi="Times New Roman" w:eastAsia="Times New Roman" w:cs="Times New Roman"/>
            <w:noProof w:val="0"/>
            <w:sz w:val="24"/>
            <w:szCs w:val="24"/>
            <w:lang w:val="en-GB"/>
          </w:rPr>
          <w:t>https://www.thecuriosityapproach.com/blog/tuff-trays-do-we-need-to-reflect-and-reconsider</w:t>
        </w:r>
      </w:hyperlink>
      <w:r w:rsidRPr="33418A90" w:rsidR="7EB2B566">
        <w:rPr>
          <w:rFonts w:ascii="Times New Roman" w:hAnsi="Times New Roman" w:eastAsia="Times New Roman" w:cs="Times New Roman"/>
          <w:noProof w:val="0"/>
          <w:sz w:val="24"/>
          <w:szCs w:val="24"/>
          <w:lang w:val="en-GB"/>
        </w:rPr>
        <w:t xml:space="preserve"> [Accessed 11 Jan. 2024].</w:t>
      </w:r>
    </w:p>
    <w:p w:rsidRPr="001A640C" w:rsidR="005E3C19" w:rsidP="33418A90" w:rsidRDefault="005E3C19" w14:paraId="2EB49812" w14:textId="69083F09">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Tomco, E. (2024). </w:t>
      </w:r>
      <w:r w:rsidRPr="33418A90" w:rsidR="7EB2B566">
        <w:rPr>
          <w:rFonts w:ascii="Times New Roman" w:hAnsi="Times New Roman" w:eastAsia="Times New Roman" w:cs="Times New Roman"/>
          <w:i w:val="1"/>
          <w:iCs w:val="1"/>
          <w:noProof w:val="0"/>
          <w:sz w:val="24"/>
          <w:szCs w:val="24"/>
          <w:lang w:val="en-GB"/>
        </w:rPr>
        <w:t>Who Is Emmi Pikler?</w:t>
      </w:r>
      <w:r w:rsidRPr="33418A90" w:rsidR="7EB2B566">
        <w:rPr>
          <w:rFonts w:ascii="Times New Roman" w:hAnsi="Times New Roman" w:eastAsia="Times New Roman" w:cs="Times New Roman"/>
          <w:noProof w:val="0"/>
          <w:sz w:val="24"/>
          <w:szCs w:val="24"/>
          <w:lang w:val="en-GB"/>
        </w:rPr>
        <w:t xml:space="preserve"> [online] Sprout. Available at: </w:t>
      </w:r>
      <w:hyperlink r:id="R8703d7a5af8d426d">
        <w:r w:rsidRPr="33418A90" w:rsidR="7EB2B566">
          <w:rPr>
            <w:rStyle w:val="Hyperlink"/>
            <w:rFonts w:ascii="Times New Roman" w:hAnsi="Times New Roman" w:eastAsia="Times New Roman" w:cs="Times New Roman"/>
            <w:noProof w:val="0"/>
            <w:sz w:val="24"/>
            <w:szCs w:val="24"/>
            <w:lang w:val="en-GB"/>
          </w:rPr>
          <w:t>https://sprout-kids.com/blogs/sprouting-ideas/who-is-emmi-pikler</w:t>
        </w:r>
      </w:hyperlink>
      <w:r w:rsidRPr="33418A90" w:rsidR="7EB2B566">
        <w:rPr>
          <w:rFonts w:ascii="Times New Roman" w:hAnsi="Times New Roman" w:eastAsia="Times New Roman" w:cs="Times New Roman"/>
          <w:noProof w:val="0"/>
          <w:sz w:val="24"/>
          <w:szCs w:val="24"/>
          <w:lang w:val="en-GB"/>
        </w:rPr>
        <w:t xml:space="preserve"> [Accessed 16 Jan. 2024]. Image 4.</w:t>
      </w:r>
    </w:p>
    <w:p w:rsidRPr="001A640C" w:rsidR="005E3C19" w:rsidP="33418A90" w:rsidRDefault="005E3C19" w14:paraId="4DC12A6B" w14:textId="5DC1BB91">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Twinkl.co.uk. (2022). </w:t>
      </w:r>
      <w:r w:rsidRPr="33418A90" w:rsidR="7EB2B566">
        <w:rPr>
          <w:rFonts w:ascii="Times New Roman" w:hAnsi="Times New Roman" w:eastAsia="Times New Roman" w:cs="Times New Roman"/>
          <w:i w:val="1"/>
          <w:iCs w:val="1"/>
          <w:noProof w:val="0"/>
          <w:sz w:val="24"/>
          <w:szCs w:val="24"/>
          <w:lang w:val="en-GB"/>
        </w:rPr>
        <w:t>What is Heuristic Play?</w:t>
      </w:r>
      <w:r w:rsidRPr="33418A90" w:rsidR="7EB2B566">
        <w:rPr>
          <w:rFonts w:ascii="Times New Roman" w:hAnsi="Times New Roman" w:eastAsia="Times New Roman" w:cs="Times New Roman"/>
          <w:noProof w:val="0"/>
          <w:sz w:val="24"/>
          <w:szCs w:val="24"/>
          <w:lang w:val="en-GB"/>
        </w:rPr>
        <w:t xml:space="preserve"> [online] Available at: </w:t>
      </w:r>
      <w:hyperlink w:anchor=":~:text=Heuristic%20play%20is%20an%20enriching" r:id="R05a4abf22c184d33">
        <w:r w:rsidRPr="33418A90" w:rsidR="7EB2B566">
          <w:rPr>
            <w:rStyle w:val="Hyperlink"/>
            <w:rFonts w:ascii="Times New Roman" w:hAnsi="Times New Roman" w:eastAsia="Times New Roman" w:cs="Times New Roman"/>
            <w:noProof w:val="0"/>
            <w:sz w:val="24"/>
            <w:szCs w:val="24"/>
            <w:lang w:val="en-GB"/>
          </w:rPr>
          <w:t>https://www.twinkl.co.uk/teaching-wiki/heuristic-play#:~:text=Heuristic%20play%20is%20an%20enriching</w:t>
        </w:r>
      </w:hyperlink>
      <w:r w:rsidRPr="33418A90" w:rsidR="7EB2B566">
        <w:rPr>
          <w:rFonts w:ascii="Times New Roman" w:hAnsi="Times New Roman" w:eastAsia="Times New Roman" w:cs="Times New Roman"/>
          <w:noProof w:val="0"/>
          <w:sz w:val="24"/>
          <w:szCs w:val="24"/>
          <w:lang w:val="en-GB"/>
        </w:rPr>
        <w:t xml:space="preserve"> [Accessed 8 Jan. 2024].</w:t>
      </w:r>
    </w:p>
    <w:p w:rsidRPr="001A640C" w:rsidR="005E3C19" w:rsidP="33418A90" w:rsidRDefault="005E3C19" w14:paraId="33F2C797" w14:textId="3925C5AF">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Tyrie, J., Knight, C. and Borras, M. (2021). </w:t>
      </w:r>
      <w:r w:rsidRPr="33418A90" w:rsidR="7EB2B566">
        <w:rPr>
          <w:rFonts w:ascii="Times New Roman" w:hAnsi="Times New Roman" w:eastAsia="Times New Roman" w:cs="Times New Roman"/>
          <w:i w:val="1"/>
          <w:iCs w:val="1"/>
          <w:noProof w:val="0"/>
          <w:sz w:val="24"/>
          <w:szCs w:val="24"/>
          <w:lang w:val="en-GB"/>
        </w:rPr>
        <w:t>Delphi Study on the impact of COVID-19 on children under age 5</w:t>
      </w:r>
      <w:r w:rsidRPr="33418A90" w:rsidR="7EB2B566">
        <w:rPr>
          <w:rFonts w:ascii="Times New Roman" w:hAnsi="Times New Roman" w:eastAsia="Times New Roman" w:cs="Times New Roman"/>
          <w:noProof w:val="0"/>
          <w:sz w:val="24"/>
          <w:szCs w:val="24"/>
          <w:lang w:val="en-GB"/>
        </w:rPr>
        <w:t xml:space="preserve">. [online] GOV.WALES. Available at: </w:t>
      </w:r>
      <w:hyperlink r:id="R18802db2baea4f48">
        <w:r w:rsidRPr="33418A90" w:rsidR="7EB2B566">
          <w:rPr>
            <w:rStyle w:val="Hyperlink"/>
            <w:rFonts w:ascii="Times New Roman" w:hAnsi="Times New Roman" w:eastAsia="Times New Roman" w:cs="Times New Roman"/>
            <w:noProof w:val="0"/>
            <w:sz w:val="24"/>
            <w:szCs w:val="24"/>
            <w:lang w:val="en-GB"/>
          </w:rPr>
          <w:t>https://www.gov.wales/delphi-study-impact-covid-19-children-under-age-5</w:t>
        </w:r>
      </w:hyperlink>
      <w:r w:rsidRPr="33418A90" w:rsidR="7EB2B566">
        <w:rPr>
          <w:rFonts w:ascii="Times New Roman" w:hAnsi="Times New Roman" w:eastAsia="Times New Roman" w:cs="Times New Roman"/>
          <w:noProof w:val="0"/>
          <w:sz w:val="24"/>
          <w:szCs w:val="24"/>
          <w:lang w:val="en-GB"/>
        </w:rPr>
        <w:t>.</w:t>
      </w:r>
    </w:p>
    <w:p w:rsidRPr="001A640C" w:rsidR="005E3C19" w:rsidP="33418A90" w:rsidRDefault="005E3C19" w14:paraId="41EA4BA8" w14:textId="06D3ABFE">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UNICEF (1989). </w:t>
      </w:r>
      <w:r w:rsidRPr="33418A90" w:rsidR="7EB2B566">
        <w:rPr>
          <w:rFonts w:ascii="Times New Roman" w:hAnsi="Times New Roman" w:eastAsia="Times New Roman" w:cs="Times New Roman"/>
          <w:i w:val="1"/>
          <w:iCs w:val="1"/>
          <w:noProof w:val="0"/>
          <w:sz w:val="24"/>
          <w:szCs w:val="24"/>
          <w:lang w:val="en-GB"/>
        </w:rPr>
        <w:t>UN Convention on the Rights of the Child (UNCRC)</w:t>
      </w:r>
      <w:r w:rsidRPr="33418A90" w:rsidR="7EB2B566">
        <w:rPr>
          <w:rFonts w:ascii="Times New Roman" w:hAnsi="Times New Roman" w:eastAsia="Times New Roman" w:cs="Times New Roman"/>
          <w:noProof w:val="0"/>
          <w:sz w:val="24"/>
          <w:szCs w:val="24"/>
          <w:lang w:val="en-GB"/>
        </w:rPr>
        <w:t xml:space="preserve">. [online] Unicef. Available at: </w:t>
      </w:r>
      <w:hyperlink r:id="Rce4e64257de44830">
        <w:r w:rsidRPr="33418A90" w:rsidR="7EB2B566">
          <w:rPr>
            <w:rStyle w:val="Hyperlink"/>
            <w:rFonts w:ascii="Times New Roman" w:hAnsi="Times New Roman" w:eastAsia="Times New Roman" w:cs="Times New Roman"/>
            <w:noProof w:val="0"/>
            <w:sz w:val="24"/>
            <w:szCs w:val="24"/>
            <w:lang w:val="en-GB"/>
          </w:rPr>
          <w:t>https://www.unicef.org.uk/what-we-do/un-convention-child-rights/</w:t>
        </w:r>
      </w:hyperlink>
      <w:r w:rsidRPr="33418A90" w:rsidR="7EB2B566">
        <w:rPr>
          <w:rFonts w:ascii="Times New Roman" w:hAnsi="Times New Roman" w:eastAsia="Times New Roman" w:cs="Times New Roman"/>
          <w:noProof w:val="0"/>
          <w:sz w:val="24"/>
          <w:szCs w:val="24"/>
          <w:lang w:val="en-GB"/>
        </w:rPr>
        <w:t xml:space="preserve"> [Accessed 14 Dec. 2023]. Article 24.</w:t>
      </w:r>
    </w:p>
    <w:p w:rsidRPr="001A640C" w:rsidR="005E3C19" w:rsidP="33418A90" w:rsidRDefault="005E3C19" w14:paraId="589102D6" w14:textId="7FCA8656">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Vamos, J. (2015) ‘Free to Move, Free to Be’, </w:t>
      </w:r>
      <w:r w:rsidRPr="33418A90" w:rsidR="7EB2B566">
        <w:rPr>
          <w:rFonts w:ascii="Times New Roman" w:hAnsi="Times New Roman" w:eastAsia="Times New Roman" w:cs="Times New Roman"/>
          <w:i w:val="1"/>
          <w:iCs w:val="1"/>
          <w:noProof w:val="0"/>
          <w:sz w:val="24"/>
          <w:szCs w:val="24"/>
          <w:lang w:val="en-GB"/>
        </w:rPr>
        <w:t>The American journal of psychoanalysis</w:t>
      </w:r>
      <w:r w:rsidRPr="33418A90" w:rsidR="7EB2B566">
        <w:rPr>
          <w:rFonts w:ascii="Times New Roman" w:hAnsi="Times New Roman" w:eastAsia="Times New Roman" w:cs="Times New Roman"/>
          <w:noProof w:val="0"/>
          <w:sz w:val="24"/>
          <w:szCs w:val="24"/>
          <w:lang w:val="en-GB"/>
        </w:rPr>
        <w:t xml:space="preserve">, 75(1), pp. 65–75. Available at: </w:t>
      </w:r>
      <w:hyperlink r:id="R102afde8b8e441ab">
        <w:r w:rsidRPr="33418A90" w:rsidR="7EB2B566">
          <w:rPr>
            <w:rStyle w:val="Hyperlink"/>
            <w:rFonts w:ascii="Times New Roman" w:hAnsi="Times New Roman" w:eastAsia="Times New Roman" w:cs="Times New Roman"/>
            <w:noProof w:val="0"/>
            <w:sz w:val="24"/>
            <w:szCs w:val="24"/>
            <w:lang w:val="en-GB"/>
          </w:rPr>
          <w:t>https://doi.org/10.1057/ajp.2014.60</w:t>
        </w:r>
      </w:hyperlink>
      <w:r w:rsidRPr="33418A90" w:rsidR="7EB2B566">
        <w:rPr>
          <w:rFonts w:ascii="Times New Roman" w:hAnsi="Times New Roman" w:eastAsia="Times New Roman" w:cs="Times New Roman"/>
          <w:noProof w:val="0"/>
          <w:sz w:val="24"/>
          <w:szCs w:val="24"/>
          <w:lang w:val="en-GB"/>
        </w:rPr>
        <w:t xml:space="preserve">. </w:t>
      </w:r>
    </w:p>
    <w:p w:rsidRPr="001A640C" w:rsidR="005E3C19" w:rsidP="33418A90" w:rsidRDefault="005E3C19" w14:paraId="6E4400DE" w14:textId="2C07DD9E">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Welsh Government (2021</w:t>
      </w:r>
      <w:r w:rsidRPr="33418A90" w:rsidR="7EB2B566">
        <w:rPr>
          <w:rFonts w:ascii="Times New Roman" w:hAnsi="Times New Roman" w:eastAsia="Times New Roman" w:cs="Times New Roman"/>
          <w:noProof w:val="0"/>
          <w:sz w:val="24"/>
          <w:szCs w:val="24"/>
          <w:lang w:val="en-GB"/>
        </w:rPr>
        <w:t>) Consultation</w:t>
      </w:r>
      <w:r w:rsidRPr="33418A90" w:rsidR="7EB2B566">
        <w:rPr>
          <w:rFonts w:ascii="Times New Roman" w:hAnsi="Times New Roman" w:eastAsia="Times New Roman" w:cs="Times New Roman"/>
          <w:noProof w:val="0"/>
          <w:sz w:val="24"/>
          <w:szCs w:val="24"/>
          <w:lang w:val="en-GB"/>
        </w:rPr>
        <w:t xml:space="preserve"> Document:  A curriculum for funded non-maintained nursery settings. Available at: curriculum-funded-non-maintained-settings-consultation-doc.pdf (</w:t>
      </w:r>
      <w:r w:rsidRPr="33418A90" w:rsidR="7EB2B566">
        <w:rPr>
          <w:rFonts w:ascii="Times New Roman" w:hAnsi="Times New Roman" w:eastAsia="Times New Roman" w:cs="Times New Roman"/>
          <w:noProof w:val="0"/>
          <w:sz w:val="24"/>
          <w:szCs w:val="24"/>
          <w:lang w:val="en-GB"/>
        </w:rPr>
        <w:t>gov.wales</w:t>
      </w:r>
      <w:r w:rsidRPr="33418A90" w:rsidR="7EB2B566">
        <w:rPr>
          <w:rFonts w:ascii="Times New Roman" w:hAnsi="Times New Roman" w:eastAsia="Times New Roman" w:cs="Times New Roman"/>
          <w:noProof w:val="0"/>
          <w:sz w:val="24"/>
          <w:szCs w:val="24"/>
          <w:lang w:val="en-GB"/>
        </w:rPr>
        <w:t xml:space="preserve">) [Accessed 7.12.23] </w:t>
      </w:r>
    </w:p>
    <w:p w:rsidRPr="001A640C" w:rsidR="005E3C19" w:rsidP="33418A90" w:rsidRDefault="005E3C19" w14:paraId="7B4FE156" w14:textId="1D6823CB">
      <w:pPr>
        <w:spacing w:before="0" w:beforeAutospacing="off" w:after="240" w:afterAutospacing="off" w:line="360" w:lineRule="auto"/>
      </w:pPr>
      <w:r w:rsidRPr="33418A90" w:rsidR="7EB2B566">
        <w:rPr>
          <w:rFonts w:ascii="Times New Roman" w:hAnsi="Times New Roman" w:eastAsia="Times New Roman" w:cs="Times New Roman"/>
          <w:noProof w:val="0"/>
          <w:sz w:val="24"/>
          <w:szCs w:val="24"/>
          <w:lang w:val="en-GB"/>
        </w:rPr>
        <w:t xml:space="preserve">Wien, C.A. (2008) </w:t>
      </w:r>
      <w:r w:rsidRPr="33418A90" w:rsidR="7EB2B566">
        <w:rPr>
          <w:rFonts w:ascii="Times New Roman" w:hAnsi="Times New Roman" w:eastAsia="Times New Roman" w:cs="Times New Roman"/>
          <w:i w:val="1"/>
          <w:iCs w:val="1"/>
          <w:noProof w:val="0"/>
          <w:sz w:val="24"/>
          <w:szCs w:val="24"/>
          <w:lang w:val="en-GB"/>
        </w:rPr>
        <w:t>Emergent curriculum in the primary classroom: interpreting the Reggio Emilia approach in schools</w:t>
      </w:r>
      <w:r w:rsidRPr="33418A90" w:rsidR="7EB2B566">
        <w:rPr>
          <w:rFonts w:ascii="Times New Roman" w:hAnsi="Times New Roman" w:eastAsia="Times New Roman" w:cs="Times New Roman"/>
          <w:noProof w:val="0"/>
          <w:sz w:val="24"/>
          <w:szCs w:val="24"/>
          <w:lang w:val="en-GB"/>
        </w:rPr>
        <w:t>. New York; Teachers College.</w:t>
      </w:r>
    </w:p>
    <w:p w:rsidR="00DB78E0" w:rsidP="33418A90" w:rsidRDefault="00DB78E0" w14:paraId="37D10100" w14:textId="62318F8C">
      <w:pPr>
        <w:pStyle w:val="Normal"/>
        <w:rPr>
          <w:rFonts w:ascii="Comic Sans MS" w:hAnsi="Comic Sans MS"/>
          <w:sz w:val="24"/>
          <w:szCs w:val="24"/>
        </w:rPr>
      </w:pPr>
    </w:p>
    <w:sectPr w:rsidR="00DB78E0" w:rsidSect="00074C17">
      <w:footerReference w:type="default" r:id="rId21"/>
      <w:pgSz w:w="11906" w:h="16838" w:orient="portrait"/>
      <w:pgMar w:top="1440" w:right="1440" w:bottom="1440" w:left="1440" w:header="708" w:footer="708" w:gutter="0"/>
      <w:pgBorders w:offsetFrom="page">
        <w:top w:val="doubleWave" w:color="70AD47" w:themeColor="accent6" w:sz="6" w:space="24"/>
        <w:left w:val="doubleWave" w:color="70AD47" w:themeColor="accent6" w:sz="6" w:space="24"/>
        <w:bottom w:val="doubleWave" w:color="70AD47" w:themeColor="accent6" w:sz="6" w:space="24"/>
        <w:right w:val="doubleWave" w:color="70AD47" w:themeColor="accent6" w:sz="6" w:space="24"/>
      </w:pgBorders>
      <w:cols w:space="708"/>
      <w:docGrid w:linePitch="360"/>
      <w:headerReference w:type="default" r:id="Rd67f5d6e8a25422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705EE" w:rsidP="004D10EF" w:rsidRDefault="001705EE" w14:paraId="4053A69E" w14:textId="77777777">
      <w:pPr>
        <w:spacing w:after="0" w:line="240" w:lineRule="auto"/>
      </w:pPr>
      <w:r>
        <w:separator/>
      </w:r>
    </w:p>
  </w:endnote>
  <w:endnote w:type="continuationSeparator" w:id="0">
    <w:p w:rsidR="001705EE" w:rsidP="004D10EF" w:rsidRDefault="001705EE" w14:paraId="7F728468" w14:textId="77777777">
      <w:pPr>
        <w:spacing w:after="0" w:line="240" w:lineRule="auto"/>
      </w:pPr>
      <w:r>
        <w:continuationSeparator/>
      </w:r>
    </w:p>
  </w:endnote>
  <w:endnote w:type="continuationNotice" w:id="1">
    <w:p w:rsidR="00E043CF" w:rsidRDefault="00E043CF" w14:paraId="4C9A288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Broadway">
    <w:charset w:val="00"/>
    <w:family w:val="decorative"/>
    <w:pitch w:val="variable"/>
    <w:sig w:usb0="00000003" w:usb1="00000000" w:usb2="00000000" w:usb3="00000000" w:csb0="00000001" w:csb1="00000000"/>
  </w:font>
  <w:font w:name="p22-underground">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7A0D60E5" w:rsidP="7A0D60E5" w:rsidRDefault="7A0D60E5" w14:paraId="05A50DEE" w14:textId="6D57933B">
    <w:pPr>
      <w:pStyle w:val="Footer"/>
      <w:jc w:val="center"/>
    </w:pPr>
    <w:r>
      <w:fldChar w:fldCharType="begin"/>
    </w:r>
    <w:r>
      <w:instrText xml:space="preserve">PAGE</w:instrText>
    </w:r>
    <w:r>
      <w:fldChar w:fldCharType="separate"/>
    </w:r>
    <w:r>
      <w:fldChar w:fldCharType="end"/>
    </w:r>
  </w:p>
  <w:p w:rsidR="004D10EF" w:rsidRDefault="004D10EF" w14:paraId="5834C2E9" w14:textId="4A8FB809">
    <w:pPr>
      <w:pStyle w:val="Footer"/>
    </w:pPr>
    <w:r>
      <w:t>Michelle Jarrett</w:t>
    </w:r>
  </w:p>
  <w:p w:rsidR="004D10EF" w:rsidRDefault="004D10EF" w14:paraId="4283818F" w14:textId="3F918F2F">
    <w:pPr>
      <w:pStyle w:val="Footer"/>
    </w:pPr>
    <w:r w:rsidR="144B503F">
      <w:rPr/>
      <w:t>2125271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705EE" w:rsidP="004D10EF" w:rsidRDefault="001705EE" w14:paraId="42F17968" w14:textId="77777777">
      <w:pPr>
        <w:spacing w:after="0" w:line="240" w:lineRule="auto"/>
      </w:pPr>
      <w:r>
        <w:separator/>
      </w:r>
    </w:p>
  </w:footnote>
  <w:footnote w:type="continuationSeparator" w:id="0">
    <w:p w:rsidR="001705EE" w:rsidP="004D10EF" w:rsidRDefault="001705EE" w14:paraId="47AC92C8" w14:textId="77777777">
      <w:pPr>
        <w:spacing w:after="0" w:line="240" w:lineRule="auto"/>
      </w:pPr>
      <w:r>
        <w:continuationSeparator/>
      </w:r>
    </w:p>
  </w:footnote>
  <w:footnote w:type="continuationNotice" w:id="1">
    <w:p w:rsidR="00E043CF" w:rsidRDefault="00E043CF" w14:paraId="716202F6"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3BCFD0" w:rsidTr="4F3BCFD0" w14:paraId="728C0107">
      <w:trPr>
        <w:trHeight w:val="300"/>
      </w:trPr>
      <w:tc>
        <w:tcPr>
          <w:tcW w:w="3005" w:type="dxa"/>
          <w:tcMar/>
        </w:tcPr>
        <w:p w:rsidR="4F3BCFD0" w:rsidP="4F3BCFD0" w:rsidRDefault="4F3BCFD0" w14:paraId="69C26289" w14:textId="656052FC">
          <w:pPr>
            <w:pStyle w:val="Header"/>
            <w:bidi w:val="0"/>
            <w:ind w:left="-115"/>
            <w:jc w:val="left"/>
          </w:pPr>
        </w:p>
      </w:tc>
      <w:tc>
        <w:tcPr>
          <w:tcW w:w="3005" w:type="dxa"/>
          <w:tcMar/>
        </w:tcPr>
        <w:p w:rsidR="4F3BCFD0" w:rsidP="4F3BCFD0" w:rsidRDefault="4F3BCFD0" w14:paraId="46D07A75" w14:textId="1258F09B">
          <w:pPr>
            <w:pStyle w:val="Header"/>
            <w:bidi w:val="0"/>
            <w:jc w:val="center"/>
          </w:pPr>
        </w:p>
      </w:tc>
      <w:tc>
        <w:tcPr>
          <w:tcW w:w="3005" w:type="dxa"/>
          <w:tcMar/>
        </w:tcPr>
        <w:p w:rsidR="4F3BCFD0" w:rsidP="4F3BCFD0" w:rsidRDefault="4F3BCFD0" w14:paraId="758412DF" w14:textId="4DE08861">
          <w:pPr>
            <w:pStyle w:val="Header"/>
            <w:bidi w:val="0"/>
            <w:ind w:right="-115"/>
            <w:jc w:val="right"/>
          </w:pPr>
        </w:p>
      </w:tc>
    </w:tr>
  </w:tbl>
  <w:p w:rsidR="4F3BCFD0" w:rsidP="4F3BCFD0" w:rsidRDefault="4F3BCFD0" w14:paraId="7A646314" w14:textId="3B413FF9">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iX3k/fFqFqgjKW" int2:id="h55Cuo0V">
      <int2:state int2:type="AugLoop_Text_Critique" int2:value="Rejected"/>
    </int2:textHash>
    <int2:textHash int2:hashCode="4zd4ZXmZW9JE1C" int2:id="EDlZD1jp">
      <int2:state int2:type="AugLoop_Text_Critique" int2:value="Rejected"/>
    </int2:textHash>
    <int2:textHash int2:hashCode="SaswBjg+2f5BK5" int2:id="7N8V9g60">
      <int2:state int2:type="AugLoop_Text_Critique" int2:value="Rejected"/>
    </int2:textHash>
    <int2:textHash int2:hashCode="MwVYy9Kq55DwIu" int2:id="hxICIvKM">
      <int2:state int2:type="AugLoop_Text_Critique" int2:value="Rejected"/>
    </int2:textHash>
    <int2:textHash int2:hashCode="sLOCuPnB9rGaLU" int2:id="yE813FWo">
      <int2:state int2:type="AugLoop_Text_Critique" int2:value="Rejected"/>
    </int2:textHash>
    <int2:textHash int2:hashCode="2ylOydgD23aX0F" int2:id="HNecmhzL">
      <int2:state int2:type="AugLoop_Text_Critique" int2:value="Rejected"/>
    </int2:textHash>
    <int2:textHash int2:hashCode="9NYMrGeI6MLEdM" int2:id="1egUyUHN">
      <int2:state int2:type="AugLoop_Text_Critique" int2:value="Rejected"/>
    </int2:textHash>
    <int2:textHash int2:hashCode="bQg1SFN6yr+3fI" int2:id="Z9y6X9jl">
      <int2:state int2:type="AugLoop_Text_Critique" int2:value="Rejected"/>
    </int2:textHash>
    <int2:textHash int2:hashCode="Cps7I5odHwhVjh" int2:id="i81Ar705">
      <int2:state int2:type="AugLoop_Text_Critique" int2:value="Rejected"/>
    </int2:textHash>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421"/>
    <w:rsid w:val="00010F38"/>
    <w:rsid w:val="00011EE6"/>
    <w:rsid w:val="00014719"/>
    <w:rsid w:val="00074C17"/>
    <w:rsid w:val="000D61FA"/>
    <w:rsid w:val="000E2C19"/>
    <w:rsid w:val="000E32CB"/>
    <w:rsid w:val="000F1CFA"/>
    <w:rsid w:val="000F1F43"/>
    <w:rsid w:val="000F443F"/>
    <w:rsid w:val="001527CF"/>
    <w:rsid w:val="00165225"/>
    <w:rsid w:val="001705EE"/>
    <w:rsid w:val="00197421"/>
    <w:rsid w:val="001A640C"/>
    <w:rsid w:val="001B343B"/>
    <w:rsid w:val="001E4D13"/>
    <w:rsid w:val="001F6230"/>
    <w:rsid w:val="0021319C"/>
    <w:rsid w:val="00220D9E"/>
    <w:rsid w:val="00252EA1"/>
    <w:rsid w:val="00295B58"/>
    <w:rsid w:val="002976C5"/>
    <w:rsid w:val="002C4B02"/>
    <w:rsid w:val="002F1DCF"/>
    <w:rsid w:val="002F72B7"/>
    <w:rsid w:val="00310D9E"/>
    <w:rsid w:val="00321934"/>
    <w:rsid w:val="0033EF7E"/>
    <w:rsid w:val="0037497E"/>
    <w:rsid w:val="00380CA1"/>
    <w:rsid w:val="003A350D"/>
    <w:rsid w:val="003A7573"/>
    <w:rsid w:val="003C3087"/>
    <w:rsid w:val="003D6443"/>
    <w:rsid w:val="00432010"/>
    <w:rsid w:val="00441445"/>
    <w:rsid w:val="004D10EF"/>
    <w:rsid w:val="004E22BD"/>
    <w:rsid w:val="00545400"/>
    <w:rsid w:val="00561C1C"/>
    <w:rsid w:val="00581A5B"/>
    <w:rsid w:val="005B56B4"/>
    <w:rsid w:val="005C227E"/>
    <w:rsid w:val="005E2535"/>
    <w:rsid w:val="005E3C19"/>
    <w:rsid w:val="005E7E88"/>
    <w:rsid w:val="00601743"/>
    <w:rsid w:val="00616942"/>
    <w:rsid w:val="00621D5D"/>
    <w:rsid w:val="0062408B"/>
    <w:rsid w:val="00666649"/>
    <w:rsid w:val="006A5B1D"/>
    <w:rsid w:val="006C232B"/>
    <w:rsid w:val="006E1449"/>
    <w:rsid w:val="00701FFD"/>
    <w:rsid w:val="0070226F"/>
    <w:rsid w:val="007318C5"/>
    <w:rsid w:val="00764BE4"/>
    <w:rsid w:val="007C5B54"/>
    <w:rsid w:val="007F2082"/>
    <w:rsid w:val="0080751A"/>
    <w:rsid w:val="00844BA4"/>
    <w:rsid w:val="00894C4E"/>
    <w:rsid w:val="008C138E"/>
    <w:rsid w:val="008C1BED"/>
    <w:rsid w:val="008D6267"/>
    <w:rsid w:val="008F2FED"/>
    <w:rsid w:val="008F3A3B"/>
    <w:rsid w:val="0092685D"/>
    <w:rsid w:val="009360D0"/>
    <w:rsid w:val="009759BC"/>
    <w:rsid w:val="00990663"/>
    <w:rsid w:val="0099508E"/>
    <w:rsid w:val="009A6969"/>
    <w:rsid w:val="009A7FC5"/>
    <w:rsid w:val="00A11678"/>
    <w:rsid w:val="00A124AB"/>
    <w:rsid w:val="00A32EDD"/>
    <w:rsid w:val="00A4730C"/>
    <w:rsid w:val="00AA29B3"/>
    <w:rsid w:val="00AB111F"/>
    <w:rsid w:val="00AD7E3D"/>
    <w:rsid w:val="00AE5A23"/>
    <w:rsid w:val="00B05061"/>
    <w:rsid w:val="00B0521E"/>
    <w:rsid w:val="00B52DA3"/>
    <w:rsid w:val="00B658F1"/>
    <w:rsid w:val="00BC0D2C"/>
    <w:rsid w:val="00BF3A22"/>
    <w:rsid w:val="00C0160B"/>
    <w:rsid w:val="00C05250"/>
    <w:rsid w:val="00C233A9"/>
    <w:rsid w:val="00C42B51"/>
    <w:rsid w:val="00C430C3"/>
    <w:rsid w:val="00C47AF4"/>
    <w:rsid w:val="00C70AFC"/>
    <w:rsid w:val="00C752DD"/>
    <w:rsid w:val="00C875FD"/>
    <w:rsid w:val="00CA12F9"/>
    <w:rsid w:val="00CB788C"/>
    <w:rsid w:val="00CF37A6"/>
    <w:rsid w:val="00D25A5D"/>
    <w:rsid w:val="00D26337"/>
    <w:rsid w:val="00D5454C"/>
    <w:rsid w:val="00D57B81"/>
    <w:rsid w:val="00D9687D"/>
    <w:rsid w:val="00DB78E0"/>
    <w:rsid w:val="00DC3A53"/>
    <w:rsid w:val="00DE2DF7"/>
    <w:rsid w:val="00DF45FC"/>
    <w:rsid w:val="00E043CF"/>
    <w:rsid w:val="00E126AC"/>
    <w:rsid w:val="00E1504A"/>
    <w:rsid w:val="00E43222"/>
    <w:rsid w:val="00E75FC7"/>
    <w:rsid w:val="00E8217B"/>
    <w:rsid w:val="00EC6115"/>
    <w:rsid w:val="00EC7423"/>
    <w:rsid w:val="00ED7374"/>
    <w:rsid w:val="00EE7E29"/>
    <w:rsid w:val="00EF2FDD"/>
    <w:rsid w:val="00F25F29"/>
    <w:rsid w:val="00F27C3F"/>
    <w:rsid w:val="00F31CFF"/>
    <w:rsid w:val="00F422BA"/>
    <w:rsid w:val="00F4459D"/>
    <w:rsid w:val="00F61FA7"/>
    <w:rsid w:val="00FA5F4C"/>
    <w:rsid w:val="00FA6EAD"/>
    <w:rsid w:val="00FD6F10"/>
    <w:rsid w:val="00FE415D"/>
    <w:rsid w:val="0129E5FD"/>
    <w:rsid w:val="012D88E6"/>
    <w:rsid w:val="013D7866"/>
    <w:rsid w:val="01A21B1D"/>
    <w:rsid w:val="0210533A"/>
    <w:rsid w:val="024F282E"/>
    <w:rsid w:val="027809C3"/>
    <w:rsid w:val="0440C598"/>
    <w:rsid w:val="04FFA903"/>
    <w:rsid w:val="05FD5720"/>
    <w:rsid w:val="06915CF1"/>
    <w:rsid w:val="07992781"/>
    <w:rsid w:val="08483506"/>
    <w:rsid w:val="093DA41E"/>
    <w:rsid w:val="0969D598"/>
    <w:rsid w:val="09B77ECC"/>
    <w:rsid w:val="09C1A967"/>
    <w:rsid w:val="0B1B6BEE"/>
    <w:rsid w:val="0BFDF7FA"/>
    <w:rsid w:val="0D1B7C2D"/>
    <w:rsid w:val="0D298695"/>
    <w:rsid w:val="0D379E7C"/>
    <w:rsid w:val="0D381D06"/>
    <w:rsid w:val="0D39C3EF"/>
    <w:rsid w:val="0D44F516"/>
    <w:rsid w:val="0D8430CE"/>
    <w:rsid w:val="0E16A607"/>
    <w:rsid w:val="0EAC5702"/>
    <w:rsid w:val="0EC6A0FB"/>
    <w:rsid w:val="0EEAE03B"/>
    <w:rsid w:val="0EFB7934"/>
    <w:rsid w:val="0FB37287"/>
    <w:rsid w:val="0FDA558B"/>
    <w:rsid w:val="1014E70E"/>
    <w:rsid w:val="1061128B"/>
    <w:rsid w:val="10B68AB1"/>
    <w:rsid w:val="118C4F91"/>
    <w:rsid w:val="11AB234C"/>
    <w:rsid w:val="11E2F8C2"/>
    <w:rsid w:val="13B8108D"/>
    <w:rsid w:val="13BF2DAE"/>
    <w:rsid w:val="144B503F"/>
    <w:rsid w:val="147EE54B"/>
    <w:rsid w:val="14F4DF4C"/>
    <w:rsid w:val="15947544"/>
    <w:rsid w:val="1633BF51"/>
    <w:rsid w:val="16703875"/>
    <w:rsid w:val="176DDADE"/>
    <w:rsid w:val="191EC162"/>
    <w:rsid w:val="1B18B89D"/>
    <w:rsid w:val="1B205294"/>
    <w:rsid w:val="1C22D87C"/>
    <w:rsid w:val="1C7F845A"/>
    <w:rsid w:val="1C9A2A23"/>
    <w:rsid w:val="1CF6820C"/>
    <w:rsid w:val="1DF4D898"/>
    <w:rsid w:val="1E26DB11"/>
    <w:rsid w:val="1F9AF996"/>
    <w:rsid w:val="20C7C94A"/>
    <w:rsid w:val="21BA39F7"/>
    <w:rsid w:val="2215A8B4"/>
    <w:rsid w:val="22B0F83D"/>
    <w:rsid w:val="23153BED"/>
    <w:rsid w:val="236F32B5"/>
    <w:rsid w:val="245AB3EF"/>
    <w:rsid w:val="25342119"/>
    <w:rsid w:val="253839A1"/>
    <w:rsid w:val="2699F711"/>
    <w:rsid w:val="26A03D93"/>
    <w:rsid w:val="26D8E65B"/>
    <w:rsid w:val="26DFD4D9"/>
    <w:rsid w:val="26F873D2"/>
    <w:rsid w:val="275743E2"/>
    <w:rsid w:val="276AD64B"/>
    <w:rsid w:val="27816E0D"/>
    <w:rsid w:val="27912745"/>
    <w:rsid w:val="27AD9228"/>
    <w:rsid w:val="27D43C21"/>
    <w:rsid w:val="2804F87B"/>
    <w:rsid w:val="28529601"/>
    <w:rsid w:val="28643032"/>
    <w:rsid w:val="28AF8D90"/>
    <w:rsid w:val="294B3F42"/>
    <w:rsid w:val="2B313165"/>
    <w:rsid w:val="2B9842F1"/>
    <w:rsid w:val="2C54DF30"/>
    <w:rsid w:val="2C649868"/>
    <w:rsid w:val="2C95E263"/>
    <w:rsid w:val="2CD2490C"/>
    <w:rsid w:val="2CDED300"/>
    <w:rsid w:val="2ED65EC5"/>
    <w:rsid w:val="2F6D8EAC"/>
    <w:rsid w:val="2F8AFE53"/>
    <w:rsid w:val="2FF0C561"/>
    <w:rsid w:val="3009E9CE"/>
    <w:rsid w:val="30B25652"/>
    <w:rsid w:val="30B91A1F"/>
    <w:rsid w:val="30C314FD"/>
    <w:rsid w:val="31285053"/>
    <w:rsid w:val="316A96B3"/>
    <w:rsid w:val="3288BCDA"/>
    <w:rsid w:val="32DD4911"/>
    <w:rsid w:val="3313F53C"/>
    <w:rsid w:val="33418A90"/>
    <w:rsid w:val="336C2E22"/>
    <w:rsid w:val="33C8CA4B"/>
    <w:rsid w:val="34F5420D"/>
    <w:rsid w:val="3507FE83"/>
    <w:rsid w:val="37F3B3F7"/>
    <w:rsid w:val="380B5E64"/>
    <w:rsid w:val="3843DE99"/>
    <w:rsid w:val="38805C31"/>
    <w:rsid w:val="388C793E"/>
    <w:rsid w:val="39336238"/>
    <w:rsid w:val="39C5A5C1"/>
    <w:rsid w:val="3A6565D7"/>
    <w:rsid w:val="3AD7201F"/>
    <w:rsid w:val="3D450CE9"/>
    <w:rsid w:val="3DC43A36"/>
    <w:rsid w:val="3E48A31C"/>
    <w:rsid w:val="3E9D4783"/>
    <w:rsid w:val="3EAAA98A"/>
    <w:rsid w:val="3EAB36A9"/>
    <w:rsid w:val="40DADF32"/>
    <w:rsid w:val="4101D593"/>
    <w:rsid w:val="412D3946"/>
    <w:rsid w:val="414365C1"/>
    <w:rsid w:val="44A0039A"/>
    <w:rsid w:val="4565F222"/>
    <w:rsid w:val="45AC62CC"/>
    <w:rsid w:val="46A2A228"/>
    <w:rsid w:val="47639064"/>
    <w:rsid w:val="4769E9B2"/>
    <w:rsid w:val="47B5A327"/>
    <w:rsid w:val="484A4370"/>
    <w:rsid w:val="4897466E"/>
    <w:rsid w:val="4936C98C"/>
    <w:rsid w:val="49416FBF"/>
    <w:rsid w:val="498BCC62"/>
    <w:rsid w:val="49C5A1E1"/>
    <w:rsid w:val="49DC5CAF"/>
    <w:rsid w:val="4A2C0E1E"/>
    <w:rsid w:val="4A3BC756"/>
    <w:rsid w:val="4AABBB19"/>
    <w:rsid w:val="4AEBC8EB"/>
    <w:rsid w:val="4B8B571E"/>
    <w:rsid w:val="4BD797B7"/>
    <w:rsid w:val="4C7BD77E"/>
    <w:rsid w:val="4D1B57D3"/>
    <w:rsid w:val="4E28DD7A"/>
    <w:rsid w:val="4E304F95"/>
    <w:rsid w:val="4E6F37EB"/>
    <w:rsid w:val="4EAE353A"/>
    <w:rsid w:val="4EB1EFB3"/>
    <w:rsid w:val="4F3BCFD0"/>
    <w:rsid w:val="4FDF5C1D"/>
    <w:rsid w:val="4FF60839"/>
    <w:rsid w:val="505EBF50"/>
    <w:rsid w:val="5093621C"/>
    <w:rsid w:val="521DF7A6"/>
    <w:rsid w:val="52208841"/>
    <w:rsid w:val="528B549D"/>
    <w:rsid w:val="5533DBAD"/>
    <w:rsid w:val="559E8DDB"/>
    <w:rsid w:val="55B25806"/>
    <w:rsid w:val="55C1C05F"/>
    <w:rsid w:val="55E7397F"/>
    <w:rsid w:val="55F1A47A"/>
    <w:rsid w:val="563CDFDA"/>
    <w:rsid w:val="56839C1E"/>
    <w:rsid w:val="593657D8"/>
    <w:rsid w:val="59A1F02C"/>
    <w:rsid w:val="59D199F3"/>
    <w:rsid w:val="5B31F482"/>
    <w:rsid w:val="5B9248D4"/>
    <w:rsid w:val="5BDA2416"/>
    <w:rsid w:val="5BDC80AA"/>
    <w:rsid w:val="5CA403A9"/>
    <w:rsid w:val="5D60AA4D"/>
    <w:rsid w:val="5E7F30D1"/>
    <w:rsid w:val="61B4F3DF"/>
    <w:rsid w:val="6242F71D"/>
    <w:rsid w:val="62C46975"/>
    <w:rsid w:val="6368D4F9"/>
    <w:rsid w:val="636A8A7D"/>
    <w:rsid w:val="639D5AB9"/>
    <w:rsid w:val="63AAC352"/>
    <w:rsid w:val="6463B7EF"/>
    <w:rsid w:val="65B6D551"/>
    <w:rsid w:val="65C1893B"/>
    <w:rsid w:val="67209CAA"/>
    <w:rsid w:val="67DBA297"/>
    <w:rsid w:val="68BC8551"/>
    <w:rsid w:val="6938ADEC"/>
    <w:rsid w:val="6A732F48"/>
    <w:rsid w:val="6BC65B6D"/>
    <w:rsid w:val="6D1FE0EE"/>
    <w:rsid w:val="6D298108"/>
    <w:rsid w:val="6D8FF674"/>
    <w:rsid w:val="6D909EFA"/>
    <w:rsid w:val="6D927C59"/>
    <w:rsid w:val="6E5E4934"/>
    <w:rsid w:val="6EC55169"/>
    <w:rsid w:val="6EDC00C4"/>
    <w:rsid w:val="6F0800B6"/>
    <w:rsid w:val="702E3082"/>
    <w:rsid w:val="704131DE"/>
    <w:rsid w:val="707C1038"/>
    <w:rsid w:val="7201161C"/>
    <w:rsid w:val="72F8B88F"/>
    <w:rsid w:val="7351583B"/>
    <w:rsid w:val="73FDB659"/>
    <w:rsid w:val="743ACA6E"/>
    <w:rsid w:val="7564EF46"/>
    <w:rsid w:val="756F2386"/>
    <w:rsid w:val="75C4265C"/>
    <w:rsid w:val="761094C4"/>
    <w:rsid w:val="7666EDA2"/>
    <w:rsid w:val="7690F211"/>
    <w:rsid w:val="76DFF4A1"/>
    <w:rsid w:val="772F7F19"/>
    <w:rsid w:val="77805E42"/>
    <w:rsid w:val="780E5B14"/>
    <w:rsid w:val="7839B1AD"/>
    <w:rsid w:val="7937FC74"/>
    <w:rsid w:val="79A9B585"/>
    <w:rsid w:val="7A0D60E5"/>
    <w:rsid w:val="7A78DEF3"/>
    <w:rsid w:val="7AB71EDE"/>
    <w:rsid w:val="7ACB3D0C"/>
    <w:rsid w:val="7BDFE6A9"/>
    <w:rsid w:val="7C08C83E"/>
    <w:rsid w:val="7CBA0DB6"/>
    <w:rsid w:val="7CD3A99C"/>
    <w:rsid w:val="7E0BE311"/>
    <w:rsid w:val="7EB2B566"/>
    <w:rsid w:val="7F1620BF"/>
    <w:rsid w:val="7F364FE2"/>
    <w:rsid w:val="7F8C711E"/>
    <w:rsid w:val="7FACC20B"/>
    <w:rsid w:val="7FD80D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A5222"/>
  <w15:chartTrackingRefBased/>
  <w15:docId w15:val="{EEBD48E2-1506-413E-A13D-366913785A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4D10EF"/>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10EF"/>
  </w:style>
  <w:style w:type="paragraph" w:styleId="Footer">
    <w:name w:val="footer"/>
    <w:basedOn w:val="Normal"/>
    <w:link w:val="FooterChar"/>
    <w:uiPriority w:val="99"/>
    <w:unhideWhenUsed/>
    <w:rsid w:val="004D10EF"/>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10EF"/>
  </w:style>
  <w:style w:type="character" w:styleId="Hyperlink">
    <w:name w:val="Hyperlink"/>
    <w:basedOn w:val="DefaultParagraphFont"/>
    <w:uiPriority w:val="99"/>
    <w:unhideWhenUsed/>
    <w:rsid w:val="001A640C"/>
    <w:rPr>
      <w:color w:val="0000FF"/>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7832665">
      <w:bodyDiv w:val="1"/>
      <w:marLeft w:val="0"/>
      <w:marRight w:val="0"/>
      <w:marTop w:val="0"/>
      <w:marBottom w:val="0"/>
      <w:divBdr>
        <w:top w:val="none" w:sz="0" w:space="0" w:color="auto"/>
        <w:left w:val="none" w:sz="0" w:space="0" w:color="auto"/>
        <w:bottom w:val="none" w:sz="0" w:space="0" w:color="auto"/>
        <w:right w:val="none" w:sz="0" w:space="0" w:color="auto"/>
      </w:divBdr>
      <w:divsChild>
        <w:div w:id="1342049126">
          <w:marLeft w:val="0"/>
          <w:marRight w:val="0"/>
          <w:marTop w:val="0"/>
          <w:marBottom w:val="0"/>
          <w:divBdr>
            <w:top w:val="single" w:sz="2" w:space="0" w:color="D9D9E3"/>
            <w:left w:val="single" w:sz="2" w:space="0" w:color="D9D9E3"/>
            <w:bottom w:val="single" w:sz="2" w:space="0" w:color="D9D9E3"/>
            <w:right w:val="single" w:sz="2" w:space="0" w:color="D9D9E3"/>
          </w:divBdr>
          <w:divsChild>
            <w:div w:id="797142521">
              <w:marLeft w:val="0"/>
              <w:marRight w:val="0"/>
              <w:marTop w:val="0"/>
              <w:marBottom w:val="0"/>
              <w:divBdr>
                <w:top w:val="single" w:sz="2" w:space="0" w:color="D9D9E3"/>
                <w:left w:val="single" w:sz="2" w:space="0" w:color="D9D9E3"/>
                <w:bottom w:val="single" w:sz="2" w:space="0" w:color="D9D9E3"/>
                <w:right w:val="single" w:sz="2" w:space="0" w:color="D9D9E3"/>
              </w:divBdr>
            </w:div>
            <w:div w:id="972491462">
              <w:marLeft w:val="0"/>
              <w:marRight w:val="0"/>
              <w:marTop w:val="0"/>
              <w:marBottom w:val="0"/>
              <w:divBdr>
                <w:top w:val="single" w:sz="2" w:space="0" w:color="D9D9E3"/>
                <w:left w:val="single" w:sz="2" w:space="0" w:color="D9D9E3"/>
                <w:bottom w:val="single" w:sz="2" w:space="0" w:color="D9D9E3"/>
                <w:right w:val="single" w:sz="2" w:space="0" w:color="D9D9E3"/>
              </w:divBdr>
              <w:divsChild>
                <w:div w:id="1502769018">
                  <w:marLeft w:val="0"/>
                  <w:marRight w:val="0"/>
                  <w:marTop w:val="0"/>
                  <w:marBottom w:val="0"/>
                  <w:divBdr>
                    <w:top w:val="single" w:sz="2" w:space="0" w:color="D9D9E3"/>
                    <w:left w:val="single" w:sz="2" w:space="0" w:color="D9D9E3"/>
                    <w:bottom w:val="single" w:sz="2" w:space="0" w:color="D9D9E3"/>
                    <w:right w:val="single" w:sz="2" w:space="0" w:color="D9D9E3"/>
                  </w:divBdr>
                  <w:divsChild>
                    <w:div w:id="1477256347">
                      <w:marLeft w:val="0"/>
                      <w:marRight w:val="0"/>
                      <w:marTop w:val="0"/>
                      <w:marBottom w:val="0"/>
                      <w:divBdr>
                        <w:top w:val="single" w:sz="2" w:space="0" w:color="D9D9E3"/>
                        <w:left w:val="single" w:sz="2" w:space="0" w:color="D9D9E3"/>
                        <w:bottom w:val="single" w:sz="2" w:space="0" w:color="D9D9E3"/>
                        <w:right w:val="single" w:sz="2" w:space="0" w:color="D9D9E3"/>
                      </w:divBdr>
                      <w:divsChild>
                        <w:div w:id="496265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39411214">
          <w:marLeft w:val="0"/>
          <w:marRight w:val="0"/>
          <w:marTop w:val="0"/>
          <w:marBottom w:val="0"/>
          <w:divBdr>
            <w:top w:val="single" w:sz="2" w:space="0" w:color="D9D9E3"/>
            <w:left w:val="single" w:sz="2" w:space="0" w:color="D9D9E3"/>
            <w:bottom w:val="single" w:sz="2" w:space="0" w:color="D9D9E3"/>
            <w:right w:val="single" w:sz="2" w:space="0" w:color="D9D9E3"/>
          </w:divBdr>
          <w:divsChild>
            <w:div w:id="1188758971">
              <w:marLeft w:val="0"/>
              <w:marRight w:val="0"/>
              <w:marTop w:val="0"/>
              <w:marBottom w:val="0"/>
              <w:divBdr>
                <w:top w:val="single" w:sz="2" w:space="0" w:color="D9D9E3"/>
                <w:left w:val="single" w:sz="2" w:space="0" w:color="D9D9E3"/>
                <w:bottom w:val="single" w:sz="2" w:space="0" w:color="D9D9E3"/>
                <w:right w:val="single" w:sz="2" w:space="0" w:color="D9D9E3"/>
              </w:divBdr>
              <w:divsChild>
                <w:div w:id="475612507">
                  <w:marLeft w:val="0"/>
                  <w:marRight w:val="0"/>
                  <w:marTop w:val="0"/>
                  <w:marBottom w:val="0"/>
                  <w:divBdr>
                    <w:top w:val="single" w:sz="2" w:space="0" w:color="D9D9E3"/>
                    <w:left w:val="single" w:sz="2" w:space="0" w:color="D9D9E3"/>
                    <w:bottom w:val="single" w:sz="2" w:space="0" w:color="D9D9E3"/>
                    <w:right w:val="single" w:sz="2" w:space="0" w:color="D9D9E3"/>
                  </w:divBdr>
                  <w:divsChild>
                    <w:div w:id="806436088">
                      <w:marLeft w:val="0"/>
                      <w:marRight w:val="0"/>
                      <w:marTop w:val="0"/>
                      <w:marBottom w:val="0"/>
                      <w:divBdr>
                        <w:top w:val="single" w:sz="2" w:space="0" w:color="D9D9E3"/>
                        <w:left w:val="single" w:sz="2" w:space="0" w:color="D9D9E3"/>
                        <w:bottom w:val="single" w:sz="2" w:space="0" w:color="D9D9E3"/>
                        <w:right w:val="single" w:sz="2" w:space="0" w:color="D9D9E3"/>
                      </w:divBdr>
                      <w:divsChild>
                        <w:div w:id="1466777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png" Id="rId13"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webSettings" Target="webSettings.xml" Id="rId7" /><Relationship Type="http://schemas.openxmlformats.org/officeDocument/2006/relationships/image" Target="media/image8.jpeg" Id="rId17" /><Relationship Type="http://schemas.openxmlformats.org/officeDocument/2006/relationships/customXml" Target="../customXml/item2.xml" Id="rId2" /><Relationship Type="http://schemas.openxmlformats.org/officeDocument/2006/relationships/image" Target="media/image7.jpeg" Id="rId16" /><Relationship Type="http://schemas.openxmlformats.org/officeDocument/2006/relationships/image" Target="media/image10.jpeg"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microsoft.com/office/2020/10/relationships/intelligence" Target="intelligence2.xml" Id="rId24" /><Relationship Type="http://schemas.openxmlformats.org/officeDocument/2006/relationships/styles" Target="styles.xml" Id="rId5" /><Relationship Type="http://schemas.openxmlformats.org/officeDocument/2006/relationships/image" Target="media/image6.jpeg" Id="rId15" /><Relationship Type="http://schemas.openxmlformats.org/officeDocument/2006/relationships/theme" Target="theme/theme1.xml" Id="rId23"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gif" Id="rId14" /><Relationship Type="http://schemas.openxmlformats.org/officeDocument/2006/relationships/fontTable" Target="fontTable.xml" Id="rId22" /><Relationship Type="http://schemas.openxmlformats.org/officeDocument/2006/relationships/header" Target="header.xml" Id="Rd67f5d6e8a254224" /><Relationship Type="http://schemas.openxmlformats.org/officeDocument/2006/relationships/image" Target="/media/image7.jpg" Id="Ra5f6339bdb634b99" /><Relationship Type="http://schemas.openxmlformats.org/officeDocument/2006/relationships/image" Target="/media/image5.png" Id="R1bb930e8f60d4957" /><Relationship Type="http://schemas.openxmlformats.org/officeDocument/2006/relationships/hyperlink" Target="https://www.taylorfrancis.com/search?contributorName=Henry%20Bienen&amp;contributorRole=editor&amp;redirectFromPDP=true&amp;context=ubx" TargetMode="External" Id="Rb0799c6c93304a0d" /><Relationship Type="http://schemas.openxmlformats.org/officeDocument/2006/relationships/hyperlink" Target="https://www.actionforchildren.org.uk/blog/what-is-sensory-play-and-why-is-it-important/" TargetMode="External" Id="R6a4424b917364901" /><Relationship Type="http://schemas.openxmlformats.org/officeDocument/2006/relationships/hyperlink" Target="https://en.wikipedia.org/wiki/Montessori_education" TargetMode="External" Id="Re21c223de1fb4818" /><Relationship Type="http://schemas.openxmlformats.org/officeDocument/2006/relationships/hyperlink" Target="https://ausnutria-nutrition-institute.com/knowledge-base/gentle-nutrition/" TargetMode="External" Id="R8398d07fedbb41c5" /><Relationship Type="http://schemas.openxmlformats.org/officeDocument/2006/relationships/hyperlink" Target="https://www.pregnancybirthbaby.org.au/the-first-1000-days" TargetMode="External" Id="Rdabef658b1534811" /><Relationship Type="http://schemas.openxmlformats.org/officeDocument/2006/relationships/hyperlink" Target="https://pub.norden.org/nord2021-037/" TargetMode="External" Id="R9d077bc49cc54bfd" /><Relationship Type="http://schemas.openxmlformats.org/officeDocument/2006/relationships/hyperlink" Target="https://www.twinkl.co.uk/blog/baby-room-indoor-and-outdoor-set-up-ideas-for-early-years-settings-pviblog" TargetMode="External" Id="R9c0b82bb9bb544c9" /><Relationship Type="http://schemas.openxmlformats.org/officeDocument/2006/relationships/hyperlink" Target="https://www.brighthorizons.com/resources/blog/masks-child-development" TargetMode="External" Id="Rc97ba87f2c084d2f" /><Relationship Type="http://schemas.openxmlformats.org/officeDocument/2006/relationships/hyperlink" Target="https://doi.org/10.1057/ajp.2014.60" TargetMode="External" Id="R2a667ac713524252" /><Relationship Type="http://schemas.openxmlformats.org/officeDocument/2006/relationships/hyperlink" Target="https://www.eyalliance.org.uk/enabling-environments" TargetMode="External" Id="R3e9705659c894a68" /><Relationship Type="http://schemas.openxmlformats.org/officeDocument/2006/relationships/hyperlink" Target="https://www.linkedin.com/pulse/exceptional-care-kids-why-do-we-need-special-needs-daycare-era" TargetMode="External" Id="R23be1ea29c9d479d" /><Relationship Type="http://schemas.openxmlformats.org/officeDocument/2006/relationships/hyperlink" Target="https://www.familyandchildcaretrust.org/covid-childcare-research-blog" TargetMode="External" Id="Rd6d3995615c34679" /><Relationship Type="http://schemas.openxmlformats.org/officeDocument/2006/relationships/hyperlink" Target="https://files.firstthingsfirst.org/why-early-childhood-matters/the-first-five-years" TargetMode="External" Id="R4c34152574b548af" /><Relationship Type="http://schemas.openxmlformats.org/officeDocument/2006/relationships/hyperlink" Target="https://mybrightwheel.com/blog/kinesthetic-learner" TargetMode="External" Id="Rdab131f4bd154b54" /><Relationship Type="http://schemas.openxmlformats.org/officeDocument/2006/relationships/hyperlink" Target="https://developingchild.harvard.edu/resources/how-to-5-steps-for-brain-building-serve-and-return/" TargetMode="External" Id="Rd1b2dd89db1843b4" /><Relationship Type="http://schemas.openxmlformats.org/officeDocument/2006/relationships/hyperlink" Target="https://doi.org/10.1201/9781315152950" TargetMode="External" Id="Rfbf688721fc54cd3" /><Relationship Type="http://schemas.openxmlformats.org/officeDocument/2006/relationships/hyperlink" Target="https://educ3040fall13.weebly.com/" TargetMode="External" Id="R49bcc365823f4a3b" /><Relationship Type="http://schemas.openxmlformats.org/officeDocument/2006/relationships/hyperlink" Target="https://logansplate.com/blog/the-first-1000-days" TargetMode="External" Id="R559bf213c2924c2b" /><Relationship Type="http://schemas.openxmlformats.org/officeDocument/2006/relationships/hyperlink" Target="https://www.teachearlyyears.com/a-unique-child/view/child-development-why-the-first-1000-days-of-childrens-lives-matter-most" TargetMode="External" Id="R9ca6fdfc84084977" /><Relationship Type="http://schemas.openxmlformats.org/officeDocument/2006/relationships/hyperlink" Target="https://www.cnet.com/health/parenting/pregnancy-timeline-what-happens-each-month-and-trimester/" TargetMode="External" Id="R9f9eb46e72b9493a" /><Relationship Type="http://schemas.openxmlformats.org/officeDocument/2006/relationships/hyperlink" Target="https://www.who.int/cambodia/news/detail/04-03-2019-investing-in-nutrition-in-the-first-1000-days-to-invest-in-cambodia%E2%80%99s-future" TargetMode="External" Id="R58720e873acf4a03" /><Relationship Type="http://schemas.openxmlformats.org/officeDocument/2006/relationships/hyperlink" Target="https://www.thecuriosityapproach.com/blog/tuff-trays-do-we-need-to-reflect-and-reconsider" TargetMode="External" Id="R7ab4126ea7bd4ff6" /><Relationship Type="http://schemas.openxmlformats.org/officeDocument/2006/relationships/hyperlink" Target="https://sprout-kids.com/blogs/sprouting-ideas/who-is-emmi-pikler" TargetMode="External" Id="R8703d7a5af8d426d" /><Relationship Type="http://schemas.openxmlformats.org/officeDocument/2006/relationships/hyperlink" Target="https://www.twinkl.co.uk/teaching-wiki/heuristic-play" TargetMode="External" Id="R05a4abf22c184d33" /><Relationship Type="http://schemas.openxmlformats.org/officeDocument/2006/relationships/hyperlink" Target="https://www.gov.wales/delphi-study-impact-covid-19-children-under-age-5" TargetMode="External" Id="R18802db2baea4f48" /><Relationship Type="http://schemas.openxmlformats.org/officeDocument/2006/relationships/hyperlink" Target="https://www.unicef.org.uk/what-we-do/un-convention-child-rights/" TargetMode="External" Id="Rce4e64257de44830" /><Relationship Type="http://schemas.openxmlformats.org/officeDocument/2006/relationships/hyperlink" Target="https://doi.org/10.1057/ajp.2014.60" TargetMode="External" Id="R102afde8b8e441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b8d8ad0-312e-46a2-9327-b65a0e9852c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16" ma:contentTypeDescription="Create a new document." ma:contentTypeScope="" ma:versionID="0bda2223135e6d5913429db71a4ac6b5">
  <xsd:schema xmlns:xsd="http://www.w3.org/2001/XMLSchema" xmlns:xs="http://www.w3.org/2001/XMLSchema" xmlns:p="http://schemas.microsoft.com/office/2006/metadata/properties" xmlns:ns3="fb8d8ad0-312e-46a2-9327-b65a0e9852ce" xmlns:ns4="9267ca95-43da-40e6-a5f4-91ddd9965bdf" targetNamespace="http://schemas.microsoft.com/office/2006/metadata/properties" ma:root="true" ma:fieldsID="3d1247d5b13f8437bf6d2641185f3914" ns3:_="" ns4:_="">
    <xsd:import namespace="fb8d8ad0-312e-46a2-9327-b65a0e9852ce"/>
    <xsd:import namespace="9267ca95-43da-40e6-a5f4-91ddd9965b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Location"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67ca95-43da-40e6-a5f4-91ddd9965bd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B17912-BE60-481C-9630-0D629AC29102}">
  <ds:schemaRefs>
    <ds:schemaRef ds:uri="http://schemas.microsoft.com/sharepoint/v3/contenttype/forms"/>
  </ds:schemaRefs>
</ds:datastoreItem>
</file>

<file path=customXml/itemProps2.xml><?xml version="1.0" encoding="utf-8"?>
<ds:datastoreItem xmlns:ds="http://schemas.openxmlformats.org/officeDocument/2006/customXml" ds:itemID="{B603BA4E-B54C-4BF1-B730-A70A3B5AC43F}">
  <ds:schemaRefs>
    <ds:schemaRef ds:uri="http://purl.org/dc/dcmitype/"/>
    <ds:schemaRef ds:uri="http://www.w3.org/XML/1998/namespace"/>
    <ds:schemaRef ds:uri="http://purl.org/dc/terms/"/>
    <ds:schemaRef ds:uri="9267ca95-43da-40e6-a5f4-91ddd9965bdf"/>
    <ds:schemaRef ds:uri="http://schemas.microsoft.com/office/2006/documentManagement/types"/>
    <ds:schemaRef ds:uri="fb8d8ad0-312e-46a2-9327-b65a0e9852ce"/>
    <ds:schemaRef ds:uri="http://schemas.microsoft.com/office/infopath/2007/PartnerControls"/>
    <ds:schemaRef ds:uri="http://schemas.openxmlformats.org/package/2006/metadata/core-properties"/>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B1EFF0C2-2020-42F1-9204-8710AC92E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9267ca95-43da-40e6-a5f4-91ddd9965b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Michelle Jarrett (2125271)</dc:creator>
  <keywords/>
  <dc:description/>
  <lastModifiedBy>Michelle Jarrett (2125271)</lastModifiedBy>
  <revision>120</revision>
  <dcterms:created xsi:type="dcterms:W3CDTF">2024-01-16T18:33:00.0000000Z</dcterms:created>
  <dcterms:modified xsi:type="dcterms:W3CDTF">2024-01-19T10:24:44.6282076Z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0x01010045DE7180B2459040B8ADB0F36372BEBE</vt:lpwstr>
  </property>
</Properties>
</file>