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B8EF46" w14:textId="77777777" w:rsidR="00BA1173" w:rsidRPr="00C928BC" w:rsidRDefault="00BA1173" w:rsidP="00BA1173">
      <w:pPr>
        <w:jc w:val="center"/>
      </w:pPr>
    </w:p>
    <w:p w14:paraId="4AD72B92" w14:textId="77777777" w:rsidR="00BA1173" w:rsidRPr="00C928BC" w:rsidRDefault="00BA1173" w:rsidP="00BA1173">
      <w:pPr>
        <w:jc w:val="center"/>
      </w:pPr>
    </w:p>
    <w:p w14:paraId="67FD34C7" w14:textId="4FF84EC7" w:rsidR="0038477B" w:rsidRPr="00C928BC" w:rsidRDefault="00820188" w:rsidP="00BA1173">
      <w:pPr>
        <w:jc w:val="center"/>
        <w:rPr>
          <w:rFonts w:asciiTheme="majorHAnsi" w:hAnsiTheme="majorHAnsi" w:cstheme="majorHAnsi"/>
        </w:rPr>
      </w:pPr>
      <w:r w:rsidRPr="00C928BC">
        <w:rPr>
          <w:rFonts w:asciiTheme="majorHAnsi" w:hAnsiTheme="majorHAnsi" w:cstheme="majorHAnsi"/>
        </w:rPr>
        <w:t>Student Name: Gareth Hirst</w:t>
      </w:r>
    </w:p>
    <w:p w14:paraId="1AABBA83" w14:textId="70678F7B" w:rsidR="00820188" w:rsidRDefault="00820188" w:rsidP="00BA1173">
      <w:pPr>
        <w:jc w:val="center"/>
        <w:rPr>
          <w:rFonts w:asciiTheme="majorHAnsi" w:hAnsiTheme="majorHAnsi" w:cstheme="majorHAnsi"/>
        </w:rPr>
      </w:pPr>
      <w:r w:rsidRPr="00C928BC">
        <w:rPr>
          <w:rFonts w:asciiTheme="majorHAnsi" w:hAnsiTheme="majorHAnsi" w:cstheme="majorHAnsi"/>
        </w:rPr>
        <w:t>Student ID number: 2124826</w:t>
      </w:r>
    </w:p>
    <w:p w14:paraId="7B959953" w14:textId="78277E89" w:rsidR="00A132B9" w:rsidRPr="00C928BC" w:rsidRDefault="00A132B9" w:rsidP="00BA1173">
      <w:pPr>
        <w:jc w:val="center"/>
        <w:rPr>
          <w:rFonts w:asciiTheme="majorHAnsi" w:hAnsiTheme="majorHAnsi" w:cstheme="majorHAnsi"/>
        </w:rPr>
      </w:pPr>
      <w:r>
        <w:rPr>
          <w:rFonts w:asciiTheme="majorHAnsi" w:hAnsiTheme="majorHAnsi" w:cstheme="majorHAnsi"/>
        </w:rPr>
        <w:t xml:space="preserve">Module: </w:t>
      </w:r>
      <w:r w:rsidRPr="00A132B9">
        <w:rPr>
          <w:rFonts w:asciiTheme="majorHAnsi" w:hAnsiTheme="majorHAnsi" w:cstheme="majorHAnsi"/>
          <w:bCs/>
        </w:rPr>
        <w:t>BMP6005D</w:t>
      </w:r>
    </w:p>
    <w:p w14:paraId="51AA77D0" w14:textId="77777777" w:rsidR="00BA1173" w:rsidRPr="00C928BC" w:rsidRDefault="00BA1173" w:rsidP="00BA1173">
      <w:pPr>
        <w:jc w:val="center"/>
        <w:rPr>
          <w:rFonts w:asciiTheme="majorHAnsi" w:hAnsiTheme="majorHAnsi" w:cstheme="majorHAnsi"/>
        </w:rPr>
      </w:pPr>
    </w:p>
    <w:p w14:paraId="4778BF56" w14:textId="77777777" w:rsidR="00BA1173" w:rsidRPr="00C928BC" w:rsidRDefault="00BA1173" w:rsidP="00BA1173">
      <w:pPr>
        <w:jc w:val="center"/>
        <w:rPr>
          <w:rFonts w:asciiTheme="majorHAnsi" w:hAnsiTheme="majorHAnsi" w:cstheme="majorHAnsi"/>
        </w:rPr>
      </w:pPr>
    </w:p>
    <w:p w14:paraId="0900BA8A" w14:textId="77777777" w:rsidR="00BA1173" w:rsidRPr="00C928BC" w:rsidRDefault="00BA1173" w:rsidP="00BA1173">
      <w:pPr>
        <w:jc w:val="center"/>
        <w:rPr>
          <w:rFonts w:asciiTheme="majorHAnsi" w:hAnsiTheme="majorHAnsi" w:cstheme="majorHAnsi"/>
        </w:rPr>
      </w:pPr>
    </w:p>
    <w:p w14:paraId="49B14ED0" w14:textId="77777777" w:rsidR="00BA1173" w:rsidRPr="00C928BC" w:rsidRDefault="00BA1173" w:rsidP="00BA1173">
      <w:pPr>
        <w:jc w:val="center"/>
        <w:rPr>
          <w:rFonts w:asciiTheme="majorHAnsi" w:hAnsiTheme="majorHAnsi" w:cstheme="majorHAnsi"/>
        </w:rPr>
      </w:pPr>
    </w:p>
    <w:p w14:paraId="769BDBFC" w14:textId="77777777" w:rsidR="00BA1173" w:rsidRPr="00C928BC" w:rsidRDefault="00BA1173" w:rsidP="00BA1173">
      <w:pPr>
        <w:jc w:val="center"/>
        <w:rPr>
          <w:rFonts w:asciiTheme="majorHAnsi" w:hAnsiTheme="majorHAnsi" w:cstheme="majorHAnsi"/>
        </w:rPr>
      </w:pPr>
    </w:p>
    <w:p w14:paraId="1ADCAA09" w14:textId="77777777" w:rsidR="00BA1173" w:rsidRPr="00C928BC" w:rsidRDefault="00BA1173" w:rsidP="00BA1173">
      <w:pPr>
        <w:jc w:val="center"/>
        <w:rPr>
          <w:rFonts w:asciiTheme="majorHAnsi" w:hAnsiTheme="majorHAnsi" w:cstheme="majorHAnsi"/>
        </w:rPr>
      </w:pPr>
    </w:p>
    <w:p w14:paraId="5D4D95DB" w14:textId="77777777" w:rsidR="00BA1173" w:rsidRPr="00C928BC" w:rsidRDefault="00BA1173" w:rsidP="00BA1173">
      <w:pPr>
        <w:jc w:val="center"/>
        <w:rPr>
          <w:rFonts w:asciiTheme="majorHAnsi" w:hAnsiTheme="majorHAnsi" w:cstheme="majorHAnsi"/>
        </w:rPr>
      </w:pPr>
    </w:p>
    <w:p w14:paraId="7A08284C" w14:textId="77777777" w:rsidR="00BA1173" w:rsidRPr="00C928BC" w:rsidRDefault="00BA1173" w:rsidP="00BA1173">
      <w:pPr>
        <w:jc w:val="center"/>
        <w:rPr>
          <w:rFonts w:asciiTheme="majorHAnsi" w:hAnsiTheme="majorHAnsi" w:cstheme="majorHAnsi"/>
        </w:rPr>
      </w:pPr>
    </w:p>
    <w:p w14:paraId="3C596263" w14:textId="77777777" w:rsidR="00BA1173" w:rsidRPr="00C928BC" w:rsidRDefault="00BA1173" w:rsidP="00BA1173">
      <w:pPr>
        <w:jc w:val="center"/>
        <w:rPr>
          <w:rFonts w:asciiTheme="majorHAnsi" w:hAnsiTheme="majorHAnsi" w:cstheme="majorHAnsi"/>
        </w:rPr>
      </w:pPr>
    </w:p>
    <w:p w14:paraId="0BE1EADA" w14:textId="77777777" w:rsidR="00BA1173" w:rsidRPr="00C928BC" w:rsidRDefault="00BA1173" w:rsidP="00BA1173">
      <w:pPr>
        <w:jc w:val="center"/>
        <w:rPr>
          <w:rFonts w:asciiTheme="majorHAnsi" w:hAnsiTheme="majorHAnsi" w:cstheme="majorHAnsi"/>
        </w:rPr>
      </w:pPr>
    </w:p>
    <w:p w14:paraId="6911EB2A" w14:textId="77777777" w:rsidR="00BA1173" w:rsidRPr="00C928BC" w:rsidRDefault="00BA1173" w:rsidP="00BA1173">
      <w:pPr>
        <w:jc w:val="center"/>
        <w:rPr>
          <w:rFonts w:asciiTheme="majorHAnsi" w:hAnsiTheme="majorHAnsi" w:cstheme="majorHAnsi"/>
        </w:rPr>
      </w:pPr>
    </w:p>
    <w:p w14:paraId="5B915106" w14:textId="77777777" w:rsidR="00BA1173" w:rsidRPr="00C928BC" w:rsidRDefault="00BA1173" w:rsidP="00BA1173">
      <w:pPr>
        <w:jc w:val="center"/>
        <w:rPr>
          <w:rFonts w:asciiTheme="majorHAnsi" w:hAnsiTheme="majorHAnsi" w:cstheme="majorHAnsi"/>
        </w:rPr>
      </w:pPr>
    </w:p>
    <w:p w14:paraId="169468F0" w14:textId="77777777" w:rsidR="00BA1173" w:rsidRPr="00C928BC" w:rsidRDefault="00BA1173" w:rsidP="00BA1173">
      <w:pPr>
        <w:jc w:val="center"/>
        <w:rPr>
          <w:rFonts w:asciiTheme="majorHAnsi" w:hAnsiTheme="majorHAnsi" w:cstheme="majorHAnsi"/>
        </w:rPr>
      </w:pPr>
    </w:p>
    <w:p w14:paraId="1C6886E0" w14:textId="77777777" w:rsidR="00BA1173" w:rsidRPr="00C928BC" w:rsidRDefault="00BA1173" w:rsidP="00BA1173">
      <w:pPr>
        <w:jc w:val="center"/>
        <w:rPr>
          <w:rFonts w:asciiTheme="majorHAnsi" w:hAnsiTheme="majorHAnsi" w:cstheme="majorHAnsi"/>
        </w:rPr>
      </w:pPr>
    </w:p>
    <w:p w14:paraId="4DE511EA" w14:textId="77777777" w:rsidR="00BA1173" w:rsidRPr="00C928BC" w:rsidRDefault="00BA1173" w:rsidP="00BA1173">
      <w:pPr>
        <w:jc w:val="center"/>
        <w:rPr>
          <w:rFonts w:asciiTheme="majorHAnsi" w:hAnsiTheme="majorHAnsi" w:cstheme="majorHAnsi"/>
        </w:rPr>
      </w:pPr>
    </w:p>
    <w:p w14:paraId="11170AB6" w14:textId="77777777" w:rsidR="00BA1173" w:rsidRPr="00C928BC" w:rsidRDefault="00BA1173" w:rsidP="00BA1173">
      <w:pPr>
        <w:jc w:val="center"/>
        <w:rPr>
          <w:rFonts w:asciiTheme="majorHAnsi" w:hAnsiTheme="majorHAnsi" w:cstheme="majorHAnsi"/>
        </w:rPr>
      </w:pPr>
    </w:p>
    <w:p w14:paraId="49B937AB" w14:textId="77777777" w:rsidR="00BA1173" w:rsidRPr="00C928BC" w:rsidRDefault="00BA1173" w:rsidP="00BA1173">
      <w:pPr>
        <w:jc w:val="center"/>
        <w:rPr>
          <w:rFonts w:asciiTheme="majorHAnsi" w:hAnsiTheme="majorHAnsi" w:cstheme="majorHAnsi"/>
        </w:rPr>
      </w:pPr>
    </w:p>
    <w:p w14:paraId="57B2CCD5" w14:textId="77777777" w:rsidR="00BA1173" w:rsidRPr="00C928BC" w:rsidRDefault="00BA1173" w:rsidP="00BA1173">
      <w:pPr>
        <w:jc w:val="center"/>
        <w:rPr>
          <w:rFonts w:asciiTheme="majorHAnsi" w:hAnsiTheme="majorHAnsi" w:cstheme="majorHAnsi"/>
        </w:rPr>
      </w:pPr>
    </w:p>
    <w:p w14:paraId="2E9DBE24" w14:textId="77777777" w:rsidR="00BA1173" w:rsidRPr="00C928BC" w:rsidRDefault="00BA1173" w:rsidP="00BA1173">
      <w:pPr>
        <w:jc w:val="center"/>
        <w:rPr>
          <w:rFonts w:asciiTheme="majorHAnsi" w:hAnsiTheme="majorHAnsi" w:cstheme="majorHAnsi"/>
        </w:rPr>
      </w:pPr>
    </w:p>
    <w:p w14:paraId="72B27BC1" w14:textId="77777777" w:rsidR="00BA1173" w:rsidRPr="00C928BC" w:rsidRDefault="00BA1173" w:rsidP="00BA1173">
      <w:pPr>
        <w:jc w:val="center"/>
        <w:rPr>
          <w:rFonts w:asciiTheme="majorHAnsi" w:hAnsiTheme="majorHAnsi" w:cstheme="majorHAnsi"/>
        </w:rPr>
      </w:pPr>
    </w:p>
    <w:p w14:paraId="49C90A1F" w14:textId="77777777" w:rsidR="00BA1173" w:rsidRPr="00C928BC" w:rsidRDefault="00BA1173" w:rsidP="00BA1173">
      <w:pPr>
        <w:jc w:val="center"/>
        <w:rPr>
          <w:rFonts w:asciiTheme="majorHAnsi" w:hAnsiTheme="majorHAnsi" w:cstheme="majorHAnsi"/>
        </w:rPr>
      </w:pPr>
    </w:p>
    <w:p w14:paraId="5B248CBF" w14:textId="77777777" w:rsidR="00BA1173" w:rsidRPr="00C928BC" w:rsidRDefault="00BA1173" w:rsidP="00BA1173">
      <w:pPr>
        <w:jc w:val="center"/>
        <w:rPr>
          <w:rFonts w:asciiTheme="majorHAnsi" w:hAnsiTheme="majorHAnsi" w:cstheme="majorHAnsi"/>
        </w:rPr>
      </w:pPr>
    </w:p>
    <w:p w14:paraId="1F640CAB" w14:textId="77777777" w:rsidR="00BA1173" w:rsidRPr="00C928BC" w:rsidRDefault="00BA1173" w:rsidP="00BA1173">
      <w:pPr>
        <w:jc w:val="center"/>
        <w:rPr>
          <w:rFonts w:asciiTheme="majorHAnsi" w:hAnsiTheme="majorHAnsi" w:cstheme="majorHAnsi"/>
        </w:rPr>
      </w:pPr>
    </w:p>
    <w:p w14:paraId="211897BF" w14:textId="77777777" w:rsidR="00BA1173" w:rsidRPr="00C928BC" w:rsidRDefault="00BA1173" w:rsidP="00BA1173">
      <w:pPr>
        <w:jc w:val="center"/>
        <w:rPr>
          <w:rFonts w:asciiTheme="majorHAnsi" w:hAnsiTheme="majorHAnsi" w:cstheme="majorHAnsi"/>
        </w:rPr>
      </w:pPr>
    </w:p>
    <w:p w14:paraId="67F56B27" w14:textId="77777777" w:rsidR="00BA1173" w:rsidRPr="00C928BC" w:rsidRDefault="00BA1173" w:rsidP="00BA1173">
      <w:pPr>
        <w:jc w:val="center"/>
        <w:rPr>
          <w:rFonts w:asciiTheme="majorHAnsi" w:hAnsiTheme="majorHAnsi" w:cstheme="majorHAnsi"/>
        </w:rPr>
      </w:pPr>
    </w:p>
    <w:p w14:paraId="3D4D1662" w14:textId="77777777" w:rsidR="00BA1173" w:rsidRPr="00C928BC" w:rsidRDefault="00BA1173" w:rsidP="00BA1173">
      <w:pPr>
        <w:spacing w:line="360" w:lineRule="auto"/>
        <w:rPr>
          <w:rFonts w:asciiTheme="majorHAnsi" w:hAnsiTheme="majorHAnsi" w:cstheme="majorHAnsi"/>
          <w:kern w:val="0"/>
          <w14:ligatures w14:val="none"/>
        </w:rPr>
      </w:pPr>
    </w:p>
    <w:p w14:paraId="104AB159" w14:textId="77777777" w:rsidR="00722486" w:rsidRPr="00C928BC" w:rsidRDefault="00722486" w:rsidP="00BA1173">
      <w:pPr>
        <w:spacing w:line="360" w:lineRule="auto"/>
        <w:rPr>
          <w:rFonts w:asciiTheme="majorHAnsi" w:hAnsiTheme="majorHAnsi" w:cstheme="majorHAnsi"/>
          <w:kern w:val="0"/>
          <w14:ligatures w14:val="none"/>
        </w:rPr>
      </w:pPr>
    </w:p>
    <w:p w14:paraId="7CC627EA" w14:textId="15C3B6DB" w:rsidR="00BA1173" w:rsidRPr="00C928BC" w:rsidRDefault="00BA1173" w:rsidP="00BA1173">
      <w:pPr>
        <w:spacing w:line="360" w:lineRule="auto"/>
        <w:rPr>
          <w:rFonts w:asciiTheme="majorHAnsi" w:hAnsiTheme="majorHAnsi" w:cstheme="majorHAnsi"/>
          <w:kern w:val="0"/>
          <w14:ligatures w14:val="none"/>
        </w:rPr>
      </w:pPr>
      <w:r w:rsidRPr="00C928BC">
        <w:rPr>
          <w:rFonts w:asciiTheme="majorHAnsi" w:hAnsiTheme="majorHAnsi" w:cstheme="majorHAnsi"/>
          <w:kern w:val="0"/>
          <w14:ligatures w14:val="none"/>
        </w:rPr>
        <w:t>Essay on</w:t>
      </w:r>
      <w:r w:rsidR="00722486" w:rsidRPr="00C928BC">
        <w:rPr>
          <w:rFonts w:asciiTheme="majorHAnsi" w:hAnsiTheme="majorHAnsi" w:cstheme="majorHAnsi"/>
          <w:kern w:val="0"/>
          <w14:ligatures w14:val="none"/>
        </w:rPr>
        <w:t>e</w:t>
      </w:r>
      <w:r w:rsidRPr="00C928BC">
        <w:rPr>
          <w:rFonts w:asciiTheme="majorHAnsi" w:hAnsiTheme="majorHAnsi" w:cstheme="majorHAnsi"/>
          <w:kern w:val="0"/>
          <w14:ligatures w14:val="none"/>
        </w:rPr>
        <w:t>:</w:t>
      </w:r>
    </w:p>
    <w:p w14:paraId="40A9D660" w14:textId="77777777" w:rsidR="00BA1173" w:rsidRPr="00BA1173" w:rsidRDefault="00BA1173" w:rsidP="00BA1173">
      <w:pPr>
        <w:spacing w:after="3" w:line="252" w:lineRule="auto"/>
        <w:ind w:left="564" w:right="627" w:hanging="10"/>
        <w:rPr>
          <w:rFonts w:asciiTheme="majorHAnsi" w:eastAsia="Arial" w:hAnsiTheme="majorHAnsi" w:cstheme="majorHAnsi"/>
          <w:color w:val="000000"/>
          <w:lang w:eastAsia="en-GB"/>
        </w:rPr>
      </w:pPr>
      <w:r w:rsidRPr="00BA1173">
        <w:rPr>
          <w:rFonts w:asciiTheme="majorHAnsi" w:eastAsia="Arial" w:hAnsiTheme="majorHAnsi" w:cstheme="majorHAnsi"/>
          <w:color w:val="000000"/>
          <w:lang w:eastAsia="en-GB"/>
        </w:rPr>
        <w:t xml:space="preserve">How effective is Crime Prevention Through Environmental Design (CPTED) as a means of reducing crime? Your answer must be based on academic research, but you may refer to relevant case studies. </w:t>
      </w:r>
    </w:p>
    <w:p w14:paraId="5C3FC5BD" w14:textId="77777777" w:rsidR="00BA1173" w:rsidRPr="00C928BC" w:rsidRDefault="00BA1173" w:rsidP="00BA1173">
      <w:pPr>
        <w:spacing w:line="360" w:lineRule="auto"/>
        <w:rPr>
          <w:rFonts w:asciiTheme="majorHAnsi" w:hAnsiTheme="majorHAnsi" w:cstheme="majorHAnsi"/>
          <w:kern w:val="0"/>
          <w14:ligatures w14:val="none"/>
        </w:rPr>
      </w:pPr>
    </w:p>
    <w:p w14:paraId="19160CAE" w14:textId="5160771B" w:rsidR="00BA1173" w:rsidRPr="00BA1173" w:rsidRDefault="00BA1173" w:rsidP="00BA1173">
      <w:pPr>
        <w:spacing w:line="360" w:lineRule="auto"/>
        <w:rPr>
          <w:rFonts w:asciiTheme="majorHAnsi" w:hAnsiTheme="majorHAnsi" w:cstheme="majorHAnsi"/>
          <w:kern w:val="0"/>
          <w14:ligatures w14:val="none"/>
        </w:rPr>
      </w:pPr>
      <w:r w:rsidRPr="00BA1173">
        <w:rPr>
          <w:rFonts w:asciiTheme="majorHAnsi" w:hAnsiTheme="majorHAnsi" w:cstheme="majorHAnsi"/>
          <w:kern w:val="0"/>
          <w14:ligatures w14:val="none"/>
        </w:rPr>
        <w:t xml:space="preserve">Introduction </w:t>
      </w:r>
    </w:p>
    <w:p w14:paraId="7DF13650" w14:textId="77777777" w:rsidR="00BA1173" w:rsidRPr="00BA1173" w:rsidRDefault="00BA1173" w:rsidP="00BA1173">
      <w:pPr>
        <w:spacing w:line="360" w:lineRule="auto"/>
        <w:rPr>
          <w:rFonts w:asciiTheme="majorHAnsi" w:hAnsiTheme="majorHAnsi" w:cstheme="majorHAnsi"/>
          <w:kern w:val="0"/>
          <w14:ligatures w14:val="none"/>
        </w:rPr>
      </w:pPr>
      <w:r w:rsidRPr="00BA1173">
        <w:rPr>
          <w:rFonts w:asciiTheme="majorHAnsi" w:hAnsiTheme="majorHAnsi" w:cstheme="majorHAnsi"/>
          <w:kern w:val="0"/>
          <w14:ligatures w14:val="none"/>
        </w:rPr>
        <w:t xml:space="preserve">During this essay I will be discussing the effectiveness of Crime Prevention Through Environmental Design (CPTED). CPTED relates to measures used within the built environment to manage and redesign the environment to reduce crime (College of Policing 2023). An example of this is where retail settings are designed in a way to reduce crime through the installation of hardware systems such as CCTV, Video cameras and alarms (Wortley and </w:t>
      </w:r>
      <w:proofErr w:type="spellStart"/>
      <w:r w:rsidRPr="00BA1173">
        <w:rPr>
          <w:rFonts w:asciiTheme="majorHAnsi" w:hAnsiTheme="majorHAnsi" w:cstheme="majorHAnsi"/>
          <w:kern w:val="0"/>
          <w14:ligatures w14:val="none"/>
        </w:rPr>
        <w:t>Townsley</w:t>
      </w:r>
      <w:proofErr w:type="spellEnd"/>
      <w:r w:rsidRPr="00BA1173">
        <w:rPr>
          <w:rFonts w:asciiTheme="majorHAnsi" w:hAnsiTheme="majorHAnsi" w:cstheme="majorHAnsi"/>
          <w:kern w:val="0"/>
          <w14:ligatures w14:val="none"/>
        </w:rPr>
        <w:t xml:space="preserve"> 2017). Additionally, the CPTED can control the environment to prevent crimes from taking place within the setting and can control the outcome of the crimes that may take place within the environment (Lee et al 2016). </w:t>
      </w:r>
    </w:p>
    <w:p w14:paraId="29BDA9BA" w14:textId="77777777" w:rsidR="00BA1173" w:rsidRPr="00BA1173" w:rsidRDefault="00BA1173" w:rsidP="00BA1173">
      <w:pPr>
        <w:spacing w:line="360" w:lineRule="auto"/>
        <w:rPr>
          <w:rFonts w:asciiTheme="majorHAnsi" w:hAnsiTheme="majorHAnsi" w:cstheme="majorHAnsi"/>
          <w:kern w:val="0"/>
          <w14:ligatures w14:val="none"/>
        </w:rPr>
      </w:pPr>
      <w:r w:rsidRPr="00BA1173">
        <w:rPr>
          <w:rFonts w:asciiTheme="majorHAnsi" w:hAnsiTheme="majorHAnsi" w:cstheme="majorHAnsi"/>
          <w:kern w:val="0"/>
          <w14:ligatures w14:val="none"/>
        </w:rPr>
        <w:t xml:space="preserve">CPTED is one of the most robust crime prevention theories today, this is because of the theories used are common sense and an awareness of how a given space is used therefore works well in practice (Atlas 2013). However, in some instances implementation of specific strategies through CPTED can be poorly applied and therefore can exclude some areas or move crime to other areas (Cozens and Love 2017) </w:t>
      </w:r>
    </w:p>
    <w:p w14:paraId="6C25186A" w14:textId="77777777" w:rsidR="00BA1173" w:rsidRPr="00BA1173" w:rsidRDefault="00BA1173" w:rsidP="00BA1173">
      <w:pPr>
        <w:spacing w:line="360" w:lineRule="auto"/>
        <w:rPr>
          <w:rFonts w:asciiTheme="majorHAnsi" w:hAnsiTheme="majorHAnsi" w:cstheme="majorHAnsi"/>
          <w:kern w:val="0"/>
          <w14:ligatures w14:val="none"/>
        </w:rPr>
      </w:pPr>
      <w:r w:rsidRPr="00BA1173">
        <w:rPr>
          <w:rFonts w:asciiTheme="majorHAnsi" w:hAnsiTheme="majorHAnsi" w:cstheme="majorHAnsi"/>
          <w:kern w:val="0"/>
          <w14:ligatures w14:val="none"/>
        </w:rPr>
        <w:t xml:space="preserve">CPTED can be seen in effect as far back as the early human settlements within the iron age. For example, during this time the use of the CPTED was used to control access through forts and castles by making the use of the landscape through moats and drawbridges (Cozens and Love 2017). Therefore, allowing limited access to specific areas. </w:t>
      </w:r>
    </w:p>
    <w:p w14:paraId="66267E29" w14:textId="77777777" w:rsidR="00BA1173" w:rsidRPr="00BA1173" w:rsidRDefault="00BA1173" w:rsidP="00BA1173">
      <w:pPr>
        <w:spacing w:line="360" w:lineRule="auto"/>
        <w:rPr>
          <w:rFonts w:asciiTheme="majorHAnsi" w:hAnsiTheme="majorHAnsi" w:cstheme="majorHAnsi"/>
          <w:kern w:val="0"/>
          <w14:ligatures w14:val="none"/>
        </w:rPr>
      </w:pPr>
      <w:r w:rsidRPr="00BA1173">
        <w:rPr>
          <w:rFonts w:asciiTheme="majorHAnsi" w:hAnsiTheme="majorHAnsi" w:cstheme="majorHAnsi"/>
          <w:kern w:val="0"/>
          <w14:ligatures w14:val="none"/>
        </w:rPr>
        <w:t>During my research I found the term CPTED was first used in the 1970s by an American criminologist Jeffery Draper, who assumed that social and physical environment can create chances for crime to happen. Therefore, by reducing such crimes using strategies of Jeffrey’s Crime prevention through environmental design concept (</w:t>
      </w:r>
      <w:proofErr w:type="spellStart"/>
      <w:r w:rsidRPr="00BA1173">
        <w:rPr>
          <w:rFonts w:asciiTheme="majorHAnsi" w:hAnsiTheme="majorHAnsi" w:cstheme="majorHAnsi"/>
          <w:kern w:val="0"/>
          <w14:ligatures w14:val="none"/>
        </w:rPr>
        <w:t>Piroozfar</w:t>
      </w:r>
      <w:proofErr w:type="spellEnd"/>
      <w:r w:rsidRPr="00BA1173">
        <w:rPr>
          <w:rFonts w:asciiTheme="majorHAnsi" w:hAnsiTheme="majorHAnsi" w:cstheme="majorHAnsi"/>
          <w:kern w:val="0"/>
          <w14:ligatures w14:val="none"/>
        </w:rPr>
        <w:t xml:space="preserve"> et al 2019). On further reading of Jeffery’s findings the research he took was to inspect the cause of the crimes through social, behavioural, political, psychological, and biological evaluations (Cozens and Love 2015). Furthermore, Oscar Newman an Architect created “Defensible Space” which focused on turning what is a concept into an art form to help crime prevention. Newman used the CPTED concept for schools to influence the behaviour of students and visitors (Crowe and Fennelly 2013). </w:t>
      </w:r>
    </w:p>
    <w:p w14:paraId="6DC2DB36" w14:textId="77777777" w:rsidR="00BA1173" w:rsidRPr="00BA1173" w:rsidRDefault="00BA1173" w:rsidP="00BA1173">
      <w:pPr>
        <w:spacing w:line="360" w:lineRule="auto"/>
        <w:rPr>
          <w:rFonts w:asciiTheme="majorHAnsi" w:hAnsiTheme="majorHAnsi" w:cstheme="majorHAnsi"/>
          <w:kern w:val="0"/>
          <w14:ligatures w14:val="none"/>
        </w:rPr>
      </w:pPr>
      <w:r w:rsidRPr="00BA1173">
        <w:rPr>
          <w:rFonts w:asciiTheme="majorHAnsi" w:hAnsiTheme="majorHAnsi" w:cstheme="majorHAnsi"/>
          <w:kern w:val="0"/>
          <w14:ligatures w14:val="none"/>
        </w:rPr>
        <w:lastRenderedPageBreak/>
        <w:t xml:space="preserve">Newman created the term ‘Defensible Space’ within the first generation CPTED which is made up of four parts, which act individually and together to help create a safer environment. This aspect allows for the restructure of an environment to control the areas around communities (Cozens and Love 2014). These four parts are made up of; territoriality using barriers to define ownership. This concept outlines private space from public space allowing for those to create a sense of ownership. Therefore, creating a sense of belonging for those involved will therefore protect their own space. Brown and Altman (1983) highlighted the effectiveness of territorial by comparing areas of burglarised and they found a reduction in burglary of individuals of vulnerability. </w:t>
      </w:r>
    </w:p>
    <w:p w14:paraId="67608B2B" w14:textId="77777777" w:rsidR="00BA1173" w:rsidRPr="00BA1173" w:rsidRDefault="00BA1173" w:rsidP="00BA1173">
      <w:pPr>
        <w:spacing w:line="360" w:lineRule="auto"/>
        <w:rPr>
          <w:rFonts w:asciiTheme="majorHAnsi" w:hAnsiTheme="majorHAnsi" w:cstheme="majorHAnsi"/>
          <w:kern w:val="0"/>
          <w14:ligatures w14:val="none"/>
        </w:rPr>
      </w:pPr>
      <w:r w:rsidRPr="00BA1173">
        <w:rPr>
          <w:rFonts w:asciiTheme="majorHAnsi" w:hAnsiTheme="majorHAnsi" w:cstheme="majorHAnsi"/>
          <w:kern w:val="0"/>
          <w14:ligatures w14:val="none"/>
        </w:rPr>
        <w:t xml:space="preserve">The second principal surveillance having the use of building and window placement for everything to be in eyeshot. Therefore, this principle ensures that criminals are always under surveillance. By modifying areas with specific physical features allows for increased visibility and by placing people and natural activities in a way to maximise observation (GOV.UK 2021). The use of surveillance ensures the safety of those within the neighbourhood. </w:t>
      </w:r>
    </w:p>
    <w:p w14:paraId="7DC7E7D4" w14:textId="77777777" w:rsidR="00BA1173" w:rsidRPr="00BA1173" w:rsidRDefault="00BA1173" w:rsidP="00BA1173">
      <w:pPr>
        <w:spacing w:line="360" w:lineRule="auto"/>
        <w:rPr>
          <w:rFonts w:asciiTheme="majorHAnsi" w:hAnsiTheme="majorHAnsi" w:cstheme="majorHAnsi"/>
          <w:kern w:val="0"/>
          <w14:ligatures w14:val="none"/>
        </w:rPr>
      </w:pPr>
      <w:r w:rsidRPr="00BA1173">
        <w:rPr>
          <w:rFonts w:asciiTheme="majorHAnsi" w:hAnsiTheme="majorHAnsi" w:cstheme="majorHAnsi"/>
          <w:kern w:val="0"/>
          <w14:ligatures w14:val="none"/>
        </w:rPr>
        <w:t xml:space="preserve">The third principle is activity support, to use the capacity of surrounding areas to influence a safer space. The use of this principle attracts individuals who can create a natural surveillance system and can therefore take action to reduce the likelihood of crime happening (Gomez-Torres 2019).  Providing a strategy to between pedestrian and crime can have a big impact on reducing crime. </w:t>
      </w:r>
    </w:p>
    <w:p w14:paraId="7915AFD7" w14:textId="77777777" w:rsidR="00BA1173" w:rsidRPr="00BA1173" w:rsidRDefault="00BA1173" w:rsidP="00BA1173">
      <w:pPr>
        <w:spacing w:line="360" w:lineRule="auto"/>
        <w:rPr>
          <w:rFonts w:asciiTheme="majorHAnsi" w:hAnsiTheme="majorHAnsi" w:cstheme="majorHAnsi"/>
          <w:kern w:val="0"/>
          <w14:ligatures w14:val="none"/>
        </w:rPr>
      </w:pPr>
      <w:r w:rsidRPr="00BA1173">
        <w:rPr>
          <w:rFonts w:asciiTheme="majorHAnsi" w:hAnsiTheme="majorHAnsi" w:cstheme="majorHAnsi"/>
          <w:kern w:val="0"/>
          <w14:ligatures w14:val="none"/>
        </w:rPr>
        <w:t xml:space="preserve">The last part of the four design elements is geographical juxtaposition which makes the surrounding environment a security blanket for the place you are focusing on (walker 2011). The use of these ‘defensible spaces’ provides the opportunity for the assessment of land and the influence of surrounding land on crime and the fear of crime. </w:t>
      </w:r>
    </w:p>
    <w:p w14:paraId="5007C6D0" w14:textId="77777777" w:rsidR="00BA1173" w:rsidRPr="00BA1173" w:rsidRDefault="00BA1173" w:rsidP="00BA1173">
      <w:pPr>
        <w:spacing w:line="360" w:lineRule="auto"/>
        <w:rPr>
          <w:rFonts w:asciiTheme="majorHAnsi" w:hAnsiTheme="majorHAnsi" w:cstheme="majorHAnsi"/>
          <w:kern w:val="0"/>
          <w14:ligatures w14:val="none"/>
        </w:rPr>
      </w:pPr>
      <w:r w:rsidRPr="00BA1173">
        <w:rPr>
          <w:rFonts w:asciiTheme="majorHAnsi" w:hAnsiTheme="majorHAnsi" w:cstheme="majorHAnsi"/>
          <w:kern w:val="0"/>
          <w14:ligatures w14:val="none"/>
        </w:rPr>
        <w:t xml:space="preserve">The term ‘target hardening’ is used as a form of solidifying the security of an area or building to prevent any type of attack or reduce the risk of it from happening or reduce any theft from taking place (Fawaz, </w:t>
      </w:r>
      <w:proofErr w:type="spellStart"/>
      <w:r w:rsidRPr="00BA1173">
        <w:rPr>
          <w:rFonts w:asciiTheme="majorHAnsi" w:hAnsiTheme="majorHAnsi" w:cstheme="majorHAnsi"/>
          <w:kern w:val="0"/>
          <w14:ligatures w14:val="none"/>
        </w:rPr>
        <w:t>Harb</w:t>
      </w:r>
      <w:proofErr w:type="spellEnd"/>
      <w:r w:rsidRPr="00BA1173">
        <w:rPr>
          <w:rFonts w:asciiTheme="majorHAnsi" w:hAnsiTheme="majorHAnsi" w:cstheme="majorHAnsi"/>
          <w:kern w:val="0"/>
          <w14:ligatures w14:val="none"/>
        </w:rPr>
        <w:t xml:space="preserve"> and </w:t>
      </w:r>
      <w:proofErr w:type="spellStart"/>
      <w:r w:rsidRPr="00BA1173">
        <w:rPr>
          <w:rFonts w:asciiTheme="majorHAnsi" w:hAnsiTheme="majorHAnsi" w:cstheme="majorHAnsi"/>
          <w:kern w:val="0"/>
          <w14:ligatures w14:val="none"/>
        </w:rPr>
        <w:t>Gharbieh</w:t>
      </w:r>
      <w:proofErr w:type="spellEnd"/>
      <w:r w:rsidRPr="00BA1173">
        <w:rPr>
          <w:rFonts w:asciiTheme="majorHAnsi" w:hAnsiTheme="majorHAnsi" w:cstheme="majorHAnsi"/>
          <w:kern w:val="0"/>
          <w14:ligatures w14:val="none"/>
        </w:rPr>
        <w:t xml:space="preserve"> 2012). Target hardening within a community can include closed-circuit television formally known as CCTV, </w:t>
      </w:r>
      <w:proofErr w:type="gramStart"/>
      <w:r w:rsidRPr="00BA1173">
        <w:rPr>
          <w:rFonts w:asciiTheme="majorHAnsi" w:hAnsiTheme="majorHAnsi" w:cstheme="majorHAnsi"/>
          <w:kern w:val="0"/>
          <w14:ligatures w14:val="none"/>
        </w:rPr>
        <w:t>street lights</w:t>
      </w:r>
      <w:proofErr w:type="gramEnd"/>
      <w:r w:rsidRPr="00BA1173">
        <w:rPr>
          <w:rFonts w:asciiTheme="majorHAnsi" w:hAnsiTheme="majorHAnsi" w:cstheme="majorHAnsi"/>
          <w:kern w:val="0"/>
          <w14:ligatures w14:val="none"/>
        </w:rPr>
        <w:t xml:space="preserve">, alley gates and neighbourhood watch schemes. Commercial properties which are affected by robberies can be deterred by implementing cash handling procedures, making sure the property is sufficiently staffed, hiring security to be a physical presence and to be watching any on sight CCTV (College of Policing 2023). The use of target hardening forces the offenders to enhance in committing a crime therefore increasing the risk of being stopped or seen (Saville and Cleveland 2013). However, the use of too much target hardening can force the use of normal social interactions to be reduced and result in fear forcing residents to be discouraged to go to specific areas (Saville 2015). </w:t>
      </w:r>
    </w:p>
    <w:p w14:paraId="5562EF34" w14:textId="77777777" w:rsidR="00BA1173" w:rsidRPr="00BA1173" w:rsidRDefault="00BA1173" w:rsidP="00BA1173">
      <w:pPr>
        <w:spacing w:line="360" w:lineRule="auto"/>
        <w:rPr>
          <w:rFonts w:asciiTheme="majorHAnsi" w:hAnsiTheme="majorHAnsi" w:cstheme="majorHAnsi"/>
          <w:kern w:val="0"/>
          <w14:ligatures w14:val="none"/>
        </w:rPr>
      </w:pPr>
      <w:r w:rsidRPr="00BA1173">
        <w:rPr>
          <w:rFonts w:asciiTheme="majorHAnsi" w:hAnsiTheme="majorHAnsi" w:cstheme="majorHAnsi"/>
          <w:kern w:val="0"/>
          <w14:ligatures w14:val="none"/>
        </w:rPr>
        <w:lastRenderedPageBreak/>
        <w:t>There are three primary concepts used to intentionally reduce crime by design, access control, surveillance and territorial reinforcement used to deflect any unwanted behavioural tendencies (College of Policing 2023). This alteration of an environment can be implemented by multiple target hardening measures. This refers to the ease of any form of crime happening become harder from happening from those which pursue the action of the crime (Johnson et al 2017). Furthermore, calling for more study into the area of environmental criminology.</w:t>
      </w:r>
    </w:p>
    <w:p w14:paraId="4F7F8F55" w14:textId="77777777" w:rsidR="00BA1173" w:rsidRPr="00C928BC" w:rsidRDefault="00BA1173" w:rsidP="00BA1173">
      <w:pPr>
        <w:spacing w:line="360" w:lineRule="auto"/>
        <w:rPr>
          <w:rFonts w:asciiTheme="majorHAnsi" w:hAnsiTheme="majorHAnsi" w:cstheme="majorHAnsi"/>
          <w:kern w:val="0"/>
          <w14:ligatures w14:val="none"/>
        </w:rPr>
      </w:pPr>
      <w:r w:rsidRPr="00BA1173">
        <w:rPr>
          <w:rFonts w:asciiTheme="majorHAnsi" w:hAnsiTheme="majorHAnsi" w:cstheme="majorHAnsi"/>
          <w:kern w:val="0"/>
          <w14:ligatures w14:val="none"/>
        </w:rPr>
        <w:t xml:space="preserve">To conclude my essay, I will now state how effective Crime Prevention Through Environmental design is through research I have conducted in this field. CPTED provides a wide variety of adaptations for reducing crime using environmental change and forcing criminals to enhance how the crime is being committed.  Overall research has proved that CPTED has no impact on crime apart from in some cases commercial robberies in retail settings. Further research is therefore needed on specific components used within the CPTED to effectively analyse the effectiveness of the theory.  </w:t>
      </w:r>
    </w:p>
    <w:p w14:paraId="37C9FB2D" w14:textId="30081015" w:rsidR="00722486" w:rsidRPr="00C928BC" w:rsidRDefault="00722486" w:rsidP="00BA1173">
      <w:pPr>
        <w:spacing w:line="360" w:lineRule="auto"/>
        <w:rPr>
          <w:rFonts w:asciiTheme="majorHAnsi" w:hAnsiTheme="majorHAnsi" w:cstheme="majorHAnsi"/>
          <w:kern w:val="0"/>
          <w14:ligatures w14:val="none"/>
        </w:rPr>
      </w:pPr>
      <w:r w:rsidRPr="00C928BC">
        <w:rPr>
          <w:rFonts w:asciiTheme="majorHAnsi" w:hAnsiTheme="majorHAnsi" w:cstheme="majorHAnsi"/>
          <w:kern w:val="0"/>
          <w14:ligatures w14:val="none"/>
        </w:rPr>
        <w:t>Word count :998</w:t>
      </w:r>
    </w:p>
    <w:p w14:paraId="083A6A0C" w14:textId="77777777" w:rsidR="00722486" w:rsidRPr="00C928BC" w:rsidRDefault="00722486" w:rsidP="00BA1173">
      <w:pPr>
        <w:spacing w:line="360" w:lineRule="auto"/>
        <w:rPr>
          <w:rFonts w:asciiTheme="majorHAnsi" w:hAnsiTheme="majorHAnsi" w:cstheme="majorHAnsi"/>
          <w:kern w:val="0"/>
          <w14:ligatures w14:val="none"/>
        </w:rPr>
      </w:pPr>
    </w:p>
    <w:p w14:paraId="520C350E" w14:textId="5AB5B700" w:rsidR="00722486" w:rsidRPr="00C928BC" w:rsidRDefault="00722486" w:rsidP="00BA1173">
      <w:pPr>
        <w:spacing w:line="360" w:lineRule="auto"/>
        <w:rPr>
          <w:rFonts w:asciiTheme="majorHAnsi" w:hAnsiTheme="majorHAnsi" w:cstheme="majorHAnsi"/>
          <w:kern w:val="0"/>
          <w14:ligatures w14:val="none"/>
        </w:rPr>
      </w:pPr>
      <w:r w:rsidRPr="00C928BC">
        <w:rPr>
          <w:rFonts w:asciiTheme="majorHAnsi" w:hAnsiTheme="majorHAnsi" w:cstheme="majorHAnsi"/>
          <w:kern w:val="0"/>
          <w14:ligatures w14:val="none"/>
        </w:rPr>
        <w:t>Essay two:</w:t>
      </w:r>
    </w:p>
    <w:p w14:paraId="5DFE4B31" w14:textId="77777777" w:rsidR="00722486" w:rsidRPr="00722486" w:rsidRDefault="00722486" w:rsidP="00722486">
      <w:pPr>
        <w:spacing w:after="37" w:line="252" w:lineRule="auto"/>
        <w:ind w:right="627"/>
        <w:jc w:val="both"/>
        <w:rPr>
          <w:rFonts w:asciiTheme="majorHAnsi" w:eastAsia="Arial" w:hAnsiTheme="majorHAnsi" w:cstheme="majorHAnsi"/>
          <w:color w:val="000000"/>
          <w:lang w:eastAsia="en-GB"/>
        </w:rPr>
      </w:pPr>
      <w:r w:rsidRPr="00722486">
        <w:rPr>
          <w:rFonts w:asciiTheme="majorHAnsi" w:eastAsia="Arial" w:hAnsiTheme="majorHAnsi" w:cstheme="majorHAnsi"/>
          <w:color w:val="000000"/>
          <w:lang w:eastAsia="en-GB"/>
        </w:rPr>
        <w:t xml:space="preserve">Response policing – why is it important to manage trauma and mental wellbeing in policing? </w:t>
      </w:r>
    </w:p>
    <w:p w14:paraId="209E6CC9" w14:textId="77777777" w:rsidR="00722486" w:rsidRPr="00C928BC" w:rsidRDefault="00722486" w:rsidP="00BA1173">
      <w:pPr>
        <w:spacing w:line="360" w:lineRule="auto"/>
        <w:rPr>
          <w:rFonts w:asciiTheme="majorHAnsi" w:hAnsiTheme="majorHAnsi" w:cstheme="majorHAnsi"/>
          <w:kern w:val="0"/>
          <w14:ligatures w14:val="none"/>
        </w:rPr>
      </w:pPr>
    </w:p>
    <w:p w14:paraId="1BD85A93" w14:textId="77777777" w:rsidR="00722486" w:rsidRPr="00C928BC" w:rsidRDefault="00722486" w:rsidP="00722486">
      <w:pPr>
        <w:pStyle w:val="Default"/>
        <w:spacing w:line="360" w:lineRule="auto"/>
        <w:rPr>
          <w:rFonts w:asciiTheme="majorHAnsi" w:hAnsiTheme="majorHAnsi" w:cstheme="majorHAnsi"/>
          <w:sz w:val="22"/>
          <w:szCs w:val="22"/>
        </w:rPr>
      </w:pPr>
      <w:r w:rsidRPr="00C928BC">
        <w:rPr>
          <w:rFonts w:asciiTheme="majorHAnsi" w:hAnsiTheme="majorHAnsi" w:cstheme="majorHAnsi"/>
          <w:sz w:val="22"/>
          <w:szCs w:val="22"/>
        </w:rPr>
        <w:t xml:space="preserve">Introduction </w:t>
      </w:r>
    </w:p>
    <w:p w14:paraId="56176CF4" w14:textId="77777777" w:rsidR="00722486" w:rsidRPr="00C928BC" w:rsidRDefault="00722486" w:rsidP="00722486">
      <w:pPr>
        <w:pStyle w:val="Default"/>
        <w:spacing w:line="360" w:lineRule="auto"/>
        <w:rPr>
          <w:rFonts w:asciiTheme="majorHAnsi" w:hAnsiTheme="majorHAnsi" w:cstheme="majorHAnsi"/>
          <w:sz w:val="22"/>
          <w:szCs w:val="22"/>
        </w:rPr>
      </w:pPr>
      <w:r w:rsidRPr="00C928BC">
        <w:rPr>
          <w:rFonts w:asciiTheme="majorHAnsi" w:hAnsiTheme="majorHAnsi" w:cstheme="majorHAnsi"/>
          <w:sz w:val="22"/>
          <w:szCs w:val="22"/>
        </w:rPr>
        <w:t xml:space="preserve"> </w:t>
      </w:r>
    </w:p>
    <w:p w14:paraId="5BBBA548" w14:textId="77777777" w:rsidR="00722486" w:rsidRPr="00C928BC" w:rsidRDefault="00722486" w:rsidP="00722486">
      <w:pPr>
        <w:spacing w:line="360" w:lineRule="auto"/>
        <w:rPr>
          <w:rFonts w:asciiTheme="majorHAnsi" w:hAnsiTheme="majorHAnsi" w:cstheme="majorHAnsi"/>
        </w:rPr>
      </w:pPr>
      <w:r w:rsidRPr="00C928BC">
        <w:rPr>
          <w:rFonts w:asciiTheme="majorHAnsi" w:hAnsiTheme="majorHAnsi" w:cstheme="majorHAnsi"/>
        </w:rPr>
        <w:t xml:space="preserve">Within this essay I am going to discuss, why it is important to manage trauma and mental wellbeing in policing. Through this essay I will be referring to topics and studies which I have researched specifically to outline the importance of managing trauma and mental wellbeing in policing. As with any job there comes its own struggles, being a police officer working as part of a response team is no different. Including those workplace dilemmas that add pressures from the job, the effects of what is seen and heard at an emergency response call and what is witnessed (Foley, </w:t>
      </w:r>
      <w:proofErr w:type="spellStart"/>
      <w:r w:rsidRPr="00C928BC">
        <w:rPr>
          <w:rFonts w:asciiTheme="majorHAnsi" w:hAnsiTheme="majorHAnsi" w:cstheme="majorHAnsi"/>
        </w:rPr>
        <w:t>Hasset</w:t>
      </w:r>
      <w:proofErr w:type="spellEnd"/>
      <w:r w:rsidRPr="00C928BC">
        <w:rPr>
          <w:rFonts w:asciiTheme="majorHAnsi" w:hAnsiTheme="majorHAnsi" w:cstheme="majorHAnsi"/>
        </w:rPr>
        <w:t>, and Williams 2021). Not to mention the usual job place struggles of having a working team whereby with long hours not everyone is going to agree on all decisions made this can sometimes cause a divide which mounts on top of dealing with incidents as a police officer can create unwanted mental wellbeing issues.</w:t>
      </w:r>
    </w:p>
    <w:p w14:paraId="48C0906D" w14:textId="77777777" w:rsidR="00722486" w:rsidRPr="00C928BC" w:rsidRDefault="00722486" w:rsidP="00722486">
      <w:pPr>
        <w:spacing w:line="360" w:lineRule="auto"/>
        <w:rPr>
          <w:rFonts w:asciiTheme="majorHAnsi" w:hAnsiTheme="majorHAnsi" w:cstheme="majorHAnsi"/>
        </w:rPr>
      </w:pPr>
      <w:r w:rsidRPr="00C928BC">
        <w:rPr>
          <w:rFonts w:asciiTheme="majorHAnsi" w:hAnsiTheme="majorHAnsi" w:cstheme="majorHAnsi"/>
        </w:rPr>
        <w:t xml:space="preserve">There are many social and psychological issues which a response police officer must deal with (Martinez 2010). One of the first is dealing with shift work this can be working out of the normal hours which most people are accustomed to. Working long shifts and in some instances may require the officer to stay on longer due to work they are dealing with (Pratt and </w:t>
      </w:r>
      <w:proofErr w:type="spellStart"/>
      <w:r w:rsidRPr="00C928BC">
        <w:rPr>
          <w:rFonts w:asciiTheme="majorHAnsi" w:hAnsiTheme="majorHAnsi" w:cstheme="majorHAnsi"/>
        </w:rPr>
        <w:t>Lasselgreaves</w:t>
      </w:r>
      <w:proofErr w:type="spellEnd"/>
      <w:r w:rsidRPr="00C928BC">
        <w:rPr>
          <w:rFonts w:asciiTheme="majorHAnsi" w:hAnsiTheme="majorHAnsi" w:cstheme="majorHAnsi"/>
        </w:rPr>
        <w:t xml:space="preserve"> 2017). Shifts </w:t>
      </w:r>
      <w:r w:rsidRPr="00C928BC">
        <w:rPr>
          <w:rFonts w:asciiTheme="majorHAnsi" w:hAnsiTheme="majorHAnsi" w:cstheme="majorHAnsi"/>
        </w:rPr>
        <w:lastRenderedPageBreak/>
        <w:t>involve working night shifts whilst remaining resilient and alert to what calls are asked to be attended, with at times the risk level is unknown.</w:t>
      </w:r>
    </w:p>
    <w:p w14:paraId="1E717433" w14:textId="77777777" w:rsidR="00722486" w:rsidRPr="00C928BC" w:rsidRDefault="00722486" w:rsidP="00722486">
      <w:pPr>
        <w:spacing w:line="360" w:lineRule="auto"/>
        <w:rPr>
          <w:rFonts w:asciiTheme="majorHAnsi" w:hAnsiTheme="majorHAnsi" w:cstheme="majorHAnsi"/>
        </w:rPr>
      </w:pPr>
      <w:r w:rsidRPr="00C928BC">
        <w:rPr>
          <w:rFonts w:asciiTheme="majorHAnsi" w:hAnsiTheme="majorHAnsi" w:cstheme="majorHAnsi"/>
        </w:rPr>
        <w:t>Working shift work especially in the police whereby the days and hours can change can have a detrimental effect on an officer’s change in sleeping pattern, digestive system and other bodily functions which can influence physiological and mental wellbeing (</w:t>
      </w:r>
      <w:proofErr w:type="spellStart"/>
      <w:r w:rsidRPr="00C928BC">
        <w:rPr>
          <w:rFonts w:asciiTheme="majorHAnsi" w:hAnsiTheme="majorHAnsi" w:cstheme="majorHAnsi"/>
        </w:rPr>
        <w:t>Houdmont</w:t>
      </w:r>
      <w:proofErr w:type="spellEnd"/>
      <w:r w:rsidRPr="00C928BC">
        <w:rPr>
          <w:rFonts w:asciiTheme="majorHAnsi" w:hAnsiTheme="majorHAnsi" w:cstheme="majorHAnsi"/>
        </w:rPr>
        <w:t xml:space="preserve"> and Randall 2016). This can have a knock-on effect on the officers social and family life outside of working hours which they are dependent to recuperate.</w:t>
      </w:r>
    </w:p>
    <w:p w14:paraId="018390C3" w14:textId="77777777" w:rsidR="00722486" w:rsidRPr="00C928BC" w:rsidRDefault="00722486" w:rsidP="00722486">
      <w:pPr>
        <w:spacing w:line="360" w:lineRule="auto"/>
        <w:rPr>
          <w:rFonts w:asciiTheme="majorHAnsi" w:hAnsiTheme="majorHAnsi" w:cstheme="majorHAnsi"/>
        </w:rPr>
      </w:pPr>
      <w:r w:rsidRPr="00C928BC">
        <w:rPr>
          <w:rFonts w:asciiTheme="majorHAnsi" w:hAnsiTheme="majorHAnsi" w:cstheme="majorHAnsi"/>
        </w:rPr>
        <w:t xml:space="preserve">The role the police play within society can have a considerable impact on an individual’s mental health. Therefore, it is essential for prompt implementation of mental health services to support those within the police service (Lumsden and Black 2017). Research highlights that 90% of those working within the police force who responded to a study have been exposed to trauma (Foley and Massey 2020). Following on from this one in five have experienced Post Traumatic Stress Disorder (PTSD) as a result. Symptoms following PTSD can result in sleep disturbances, a change in heartbeat and frequent sweats. </w:t>
      </w:r>
    </w:p>
    <w:p w14:paraId="2F554037" w14:textId="77777777" w:rsidR="00722486" w:rsidRPr="00C928BC" w:rsidRDefault="00722486" w:rsidP="00722486">
      <w:pPr>
        <w:spacing w:line="360" w:lineRule="auto"/>
        <w:rPr>
          <w:rFonts w:asciiTheme="majorHAnsi" w:hAnsiTheme="majorHAnsi" w:cstheme="majorHAnsi"/>
        </w:rPr>
      </w:pPr>
      <w:r w:rsidRPr="00C928BC">
        <w:rPr>
          <w:rFonts w:asciiTheme="majorHAnsi" w:hAnsiTheme="majorHAnsi" w:cstheme="majorHAnsi"/>
        </w:rPr>
        <w:t xml:space="preserve">As well as PTSD being high within the police ‘Staff burnout’ is additionally high among those within the police. Burnout refers to stress and psychological strain that could have an impact on an individual’s career (Foley and Massey 2010). One symptom involved in burnout is emotional exhaustion and is the most common symptom resulting in irritability, low morale, and reduced self-esteem. If those experiencing burnout do not obtain the correct help and support could result in further health complications (Mental Health UK 2023).    </w:t>
      </w:r>
    </w:p>
    <w:p w14:paraId="748D3A5F" w14:textId="77777777" w:rsidR="00722486" w:rsidRPr="00C928BC" w:rsidRDefault="00722486" w:rsidP="00722486">
      <w:pPr>
        <w:spacing w:line="360" w:lineRule="auto"/>
        <w:rPr>
          <w:rFonts w:asciiTheme="majorHAnsi" w:hAnsiTheme="majorHAnsi" w:cstheme="majorHAnsi"/>
        </w:rPr>
      </w:pPr>
      <w:r w:rsidRPr="00C928BC">
        <w:rPr>
          <w:rFonts w:asciiTheme="majorHAnsi" w:hAnsiTheme="majorHAnsi" w:cstheme="majorHAnsi"/>
        </w:rPr>
        <w:t>Judith, Waters and William Ussery (2007) states the tasks which are asked of police officers on the front line can be very demanding on the officer. In relation to each call, there can be a likely chance of violent confrontation when dealing with any domestic related incident. Any confrontation has the potential to escalate to an officer being seriously hurt, domestic related calls accumulate to approximately 85 percent of an officer’s normal duties (</w:t>
      </w:r>
      <w:proofErr w:type="spellStart"/>
      <w:r w:rsidRPr="00C928BC">
        <w:rPr>
          <w:rFonts w:asciiTheme="majorHAnsi" w:hAnsiTheme="majorHAnsi" w:cstheme="majorHAnsi"/>
        </w:rPr>
        <w:t>Kirschman</w:t>
      </w:r>
      <w:proofErr w:type="spellEnd"/>
      <w:r w:rsidRPr="00C928BC">
        <w:rPr>
          <w:rFonts w:asciiTheme="majorHAnsi" w:hAnsiTheme="majorHAnsi" w:cstheme="majorHAnsi"/>
        </w:rPr>
        <w:t xml:space="preserve">, </w:t>
      </w:r>
      <w:proofErr w:type="spellStart"/>
      <w:r w:rsidRPr="00C928BC">
        <w:rPr>
          <w:rFonts w:asciiTheme="majorHAnsi" w:hAnsiTheme="majorHAnsi" w:cstheme="majorHAnsi"/>
        </w:rPr>
        <w:t>Kamena</w:t>
      </w:r>
      <w:proofErr w:type="spellEnd"/>
      <w:r w:rsidRPr="00C928BC">
        <w:rPr>
          <w:rFonts w:asciiTheme="majorHAnsi" w:hAnsiTheme="majorHAnsi" w:cstheme="majorHAnsi"/>
        </w:rPr>
        <w:t xml:space="preserve"> and Fay 2015). There can be a chance that involved persons of the domestic can turn against the officer, further stating that due to consumption of drugs and alcohol situations of the nature can have an escalated threat level.</w:t>
      </w:r>
    </w:p>
    <w:p w14:paraId="69054349" w14:textId="77777777" w:rsidR="00722486" w:rsidRPr="00C928BC" w:rsidRDefault="00722486" w:rsidP="00722486">
      <w:pPr>
        <w:spacing w:line="360" w:lineRule="auto"/>
        <w:rPr>
          <w:rFonts w:asciiTheme="majorHAnsi" w:hAnsiTheme="majorHAnsi" w:cstheme="majorHAnsi"/>
        </w:rPr>
      </w:pPr>
      <w:r w:rsidRPr="00C928BC">
        <w:rPr>
          <w:rFonts w:asciiTheme="majorHAnsi" w:hAnsiTheme="majorHAnsi" w:cstheme="majorHAnsi"/>
        </w:rPr>
        <w:t xml:space="preserve"> Police officers and staff are expected to deal with a varying amount of emergency response calls (</w:t>
      </w:r>
      <w:proofErr w:type="spellStart"/>
      <w:r w:rsidRPr="00C928BC">
        <w:rPr>
          <w:rFonts w:asciiTheme="majorHAnsi" w:hAnsiTheme="majorHAnsi" w:cstheme="majorHAnsi"/>
        </w:rPr>
        <w:t>Seba</w:t>
      </w:r>
      <w:proofErr w:type="spellEnd"/>
      <w:r w:rsidRPr="00C928BC">
        <w:rPr>
          <w:rFonts w:asciiTheme="majorHAnsi" w:hAnsiTheme="majorHAnsi" w:cstheme="majorHAnsi"/>
        </w:rPr>
        <w:t xml:space="preserve"> and Rowley 2010). With sometimes minimal preparation and only updates which are sometimes passed over to them through their force issued radio which is whilst on route to the emergency call. There can be different levels of distress which are seen and having to be dealt with from if a victim is a </w:t>
      </w:r>
      <w:r w:rsidRPr="00C928BC">
        <w:rPr>
          <w:rFonts w:asciiTheme="majorHAnsi" w:hAnsiTheme="majorHAnsi" w:cstheme="majorHAnsi"/>
        </w:rPr>
        <w:lastRenderedPageBreak/>
        <w:t>vulnerable child or having to deal with a murder and be prepared at moment’s notice which can leave a severe effect of the officers and staff responding to the call (College of Policing 2023).</w:t>
      </w:r>
    </w:p>
    <w:p w14:paraId="09F337FE" w14:textId="77777777" w:rsidR="00722486" w:rsidRPr="00C928BC" w:rsidRDefault="00722486" w:rsidP="00722486">
      <w:pPr>
        <w:spacing w:line="360" w:lineRule="auto"/>
        <w:rPr>
          <w:rFonts w:asciiTheme="majorHAnsi" w:hAnsiTheme="majorHAnsi" w:cstheme="majorHAnsi"/>
        </w:rPr>
      </w:pPr>
      <w:r w:rsidRPr="00C928BC">
        <w:rPr>
          <w:rFonts w:asciiTheme="majorHAnsi" w:hAnsiTheme="majorHAnsi" w:cstheme="majorHAnsi"/>
        </w:rPr>
        <w:t>From further research Hesketh and Tehrani (2018) state there are three areas within policing which are most effected by psychological trauma risk management in the United Kingdom (UK) police service. The three areas include front-line response policing which covers a range of unpredictable and high traumatic events such as coping with suicides, murders and other incidents which expose a person to traumatic stress (Velazquez and Hernandez 2019).</w:t>
      </w:r>
    </w:p>
    <w:p w14:paraId="52B7B109" w14:textId="77777777" w:rsidR="00722486" w:rsidRPr="00C928BC" w:rsidRDefault="00722486" w:rsidP="00722486">
      <w:pPr>
        <w:spacing w:line="360" w:lineRule="auto"/>
        <w:rPr>
          <w:rFonts w:asciiTheme="majorHAnsi" w:hAnsiTheme="majorHAnsi" w:cstheme="majorHAnsi"/>
        </w:rPr>
      </w:pPr>
      <w:r w:rsidRPr="00C928BC">
        <w:rPr>
          <w:rFonts w:asciiTheme="majorHAnsi" w:hAnsiTheme="majorHAnsi" w:cstheme="majorHAnsi"/>
        </w:rPr>
        <w:t>The second area within policing which is exposed the psychological trauma is within specialist roles, which can expose a person to heightened psychological harm which may have been inflicted on others (Evans et al 2013). The area focuses on victims of rape, domestic violence, child online abuse, together with family liaison. These specialist roles are monitored by screening and surveillance to know if any resilience by an employee is affected, when identified steps are put in place to reduce the impact.</w:t>
      </w:r>
    </w:p>
    <w:p w14:paraId="6C0F9516" w14:textId="77777777" w:rsidR="00722486" w:rsidRPr="00C928BC" w:rsidRDefault="00722486" w:rsidP="00722486">
      <w:pPr>
        <w:spacing w:line="360" w:lineRule="auto"/>
        <w:rPr>
          <w:rFonts w:asciiTheme="majorHAnsi" w:hAnsiTheme="majorHAnsi" w:cstheme="majorHAnsi"/>
        </w:rPr>
      </w:pPr>
      <w:r w:rsidRPr="00C928BC">
        <w:rPr>
          <w:rFonts w:asciiTheme="majorHAnsi" w:hAnsiTheme="majorHAnsi" w:cstheme="majorHAnsi"/>
        </w:rPr>
        <w:t xml:space="preserve">The third area which is covered which is most affected by psychological trauma is those attending major disasters which include terrorist attacks, major fires, or floods. These can have a severe impact on the officers and staff which attend. In some instances, these officers can be taken off duty to attend then placed back to normal duties shortly after (Phythian 2022). </w:t>
      </w:r>
    </w:p>
    <w:p w14:paraId="2CD75FA2" w14:textId="77777777" w:rsidR="00722486" w:rsidRPr="00C928BC" w:rsidRDefault="00722486" w:rsidP="00722486">
      <w:pPr>
        <w:spacing w:line="360" w:lineRule="auto"/>
        <w:rPr>
          <w:rFonts w:asciiTheme="majorHAnsi" w:hAnsiTheme="majorHAnsi" w:cstheme="majorHAnsi"/>
        </w:rPr>
      </w:pPr>
      <w:r w:rsidRPr="00C928BC">
        <w:rPr>
          <w:rFonts w:asciiTheme="majorHAnsi" w:hAnsiTheme="majorHAnsi" w:cstheme="majorHAnsi"/>
        </w:rPr>
        <w:t xml:space="preserve">In conclusion it is evident policing is a stressful job and those working within the force are exposed to some of life’s most challenging situations frequently. Therefore, it is paramount those within the role are supported and have the appropriate support required. By providing those with effective support will ensure the reduction in mental health issues within the police force. </w:t>
      </w:r>
    </w:p>
    <w:p w14:paraId="5D7CA064" w14:textId="77777777" w:rsidR="00722486" w:rsidRPr="00C928BC" w:rsidRDefault="00722486" w:rsidP="00722486">
      <w:pPr>
        <w:spacing w:line="360" w:lineRule="auto"/>
        <w:rPr>
          <w:rFonts w:asciiTheme="majorHAnsi" w:hAnsiTheme="majorHAnsi" w:cstheme="majorHAnsi"/>
        </w:rPr>
      </w:pPr>
      <w:r w:rsidRPr="00C928BC">
        <w:rPr>
          <w:rFonts w:asciiTheme="majorHAnsi" w:hAnsiTheme="majorHAnsi" w:cstheme="majorHAnsi"/>
        </w:rPr>
        <w:t xml:space="preserve">Words 980 </w:t>
      </w:r>
    </w:p>
    <w:p w14:paraId="0B71065A" w14:textId="0450DF1F" w:rsidR="00BA1173" w:rsidRPr="00C928BC" w:rsidRDefault="00722486" w:rsidP="00BA1173">
      <w:pPr>
        <w:spacing w:line="360" w:lineRule="auto"/>
        <w:rPr>
          <w:rFonts w:asciiTheme="majorHAnsi" w:hAnsiTheme="majorHAnsi" w:cstheme="majorHAnsi"/>
          <w:kern w:val="0"/>
          <w14:ligatures w14:val="none"/>
        </w:rPr>
      </w:pPr>
      <w:r w:rsidRPr="00C928BC">
        <w:rPr>
          <w:rFonts w:asciiTheme="majorHAnsi" w:hAnsiTheme="majorHAnsi" w:cstheme="majorHAnsi"/>
          <w:kern w:val="0"/>
          <w14:ligatures w14:val="none"/>
        </w:rPr>
        <w:t>Essay three:</w:t>
      </w:r>
    </w:p>
    <w:p w14:paraId="0901F620" w14:textId="77777777" w:rsidR="00722486" w:rsidRPr="00722486" w:rsidRDefault="00722486" w:rsidP="00722486">
      <w:pPr>
        <w:spacing w:after="3" w:line="252" w:lineRule="auto"/>
        <w:ind w:right="627"/>
        <w:rPr>
          <w:rFonts w:asciiTheme="majorHAnsi" w:eastAsia="Arial" w:hAnsiTheme="majorHAnsi" w:cstheme="majorHAnsi"/>
          <w:color w:val="000000"/>
          <w:lang w:eastAsia="en-GB"/>
        </w:rPr>
      </w:pPr>
      <w:r w:rsidRPr="00722486">
        <w:rPr>
          <w:rFonts w:asciiTheme="majorHAnsi" w:eastAsia="Arial" w:hAnsiTheme="majorHAnsi" w:cstheme="majorHAnsi"/>
          <w:color w:val="000000"/>
          <w:lang w:eastAsia="en-GB"/>
        </w:rPr>
        <w:t xml:space="preserve">Why is it necessary to challenge the negative aspects of organisational culture within policing?  </w:t>
      </w:r>
    </w:p>
    <w:p w14:paraId="79F092A0" w14:textId="2B4BCD11" w:rsidR="00722486" w:rsidRPr="00C928BC" w:rsidRDefault="00722486" w:rsidP="00722486">
      <w:pPr>
        <w:spacing w:line="360" w:lineRule="auto"/>
        <w:rPr>
          <w:rFonts w:asciiTheme="majorHAnsi" w:eastAsia="Arial" w:hAnsiTheme="majorHAnsi" w:cstheme="majorHAnsi"/>
          <w:color w:val="000000"/>
          <w:lang w:eastAsia="en-GB"/>
        </w:rPr>
      </w:pPr>
      <w:r w:rsidRPr="00C928BC">
        <w:rPr>
          <w:rFonts w:asciiTheme="majorHAnsi" w:eastAsia="Arial" w:hAnsiTheme="majorHAnsi" w:cstheme="majorHAnsi"/>
          <w:color w:val="000000"/>
          <w:lang w:eastAsia="en-GB"/>
        </w:rPr>
        <w:t>Your answer must be based on academic research rather than personal experience.</w:t>
      </w:r>
    </w:p>
    <w:p w14:paraId="53F864CB" w14:textId="77777777" w:rsidR="00C928BC" w:rsidRPr="00C928BC" w:rsidRDefault="00C928BC" w:rsidP="00C928BC">
      <w:pPr>
        <w:spacing w:line="360" w:lineRule="auto"/>
        <w:rPr>
          <w:rFonts w:asciiTheme="majorHAnsi" w:hAnsiTheme="majorHAnsi" w:cstheme="majorHAnsi"/>
        </w:rPr>
      </w:pPr>
      <w:r w:rsidRPr="00C928BC">
        <w:rPr>
          <w:rFonts w:asciiTheme="majorHAnsi" w:hAnsiTheme="majorHAnsi" w:cstheme="majorHAnsi"/>
        </w:rPr>
        <w:t>Introduction</w:t>
      </w:r>
    </w:p>
    <w:p w14:paraId="7B3F959C" w14:textId="77777777" w:rsidR="00C928BC" w:rsidRPr="00C928BC" w:rsidRDefault="00C928BC" w:rsidP="00C928BC">
      <w:pPr>
        <w:spacing w:line="360" w:lineRule="auto"/>
        <w:rPr>
          <w:rFonts w:asciiTheme="majorHAnsi" w:hAnsiTheme="majorHAnsi" w:cstheme="majorHAnsi"/>
        </w:rPr>
      </w:pPr>
      <w:r w:rsidRPr="00C928BC">
        <w:rPr>
          <w:rFonts w:asciiTheme="majorHAnsi" w:hAnsiTheme="majorHAnsi" w:cstheme="majorHAnsi"/>
        </w:rPr>
        <w:t xml:space="preserve">In this essay I will be discussing why it is necessary to challenge the negative aspects of organisational culture within policing, this will be done through academic research. </w:t>
      </w:r>
    </w:p>
    <w:p w14:paraId="515B8804" w14:textId="77777777" w:rsidR="00C928BC" w:rsidRPr="00C928BC" w:rsidRDefault="00C928BC" w:rsidP="00C928BC">
      <w:pPr>
        <w:spacing w:line="360" w:lineRule="auto"/>
        <w:rPr>
          <w:rFonts w:asciiTheme="majorHAnsi" w:hAnsiTheme="majorHAnsi" w:cstheme="majorHAnsi"/>
        </w:rPr>
      </w:pPr>
      <w:r w:rsidRPr="00C928BC">
        <w:rPr>
          <w:rFonts w:asciiTheme="majorHAnsi" w:hAnsiTheme="majorHAnsi" w:cstheme="majorHAnsi"/>
        </w:rPr>
        <w:t xml:space="preserve">The National Decision-Making (NDM) model covers six elements which police officers comply by. The six elements are code of ethics, gathering information and intelligence, assessing threat and risk, considering powers and policy, identifying options and contingencies, and taking actions and reviewing what has happened (College of Policing 2014). The code of ethics is the first element, which covers </w:t>
      </w:r>
      <w:r w:rsidRPr="00C928BC">
        <w:rPr>
          <w:rFonts w:asciiTheme="majorHAnsi" w:hAnsiTheme="majorHAnsi" w:cstheme="majorHAnsi"/>
        </w:rPr>
        <w:lastRenderedPageBreak/>
        <w:t>areas for focus and consideration of dealing with an incident and with the policing principles and standards of behaviour set out in the code.</w:t>
      </w:r>
    </w:p>
    <w:p w14:paraId="3F7DF584" w14:textId="77777777" w:rsidR="00C928BC" w:rsidRPr="00C928BC" w:rsidRDefault="00C928BC" w:rsidP="00C928BC">
      <w:pPr>
        <w:spacing w:line="360" w:lineRule="auto"/>
        <w:rPr>
          <w:rFonts w:asciiTheme="majorHAnsi" w:hAnsiTheme="majorHAnsi" w:cstheme="majorHAnsi"/>
        </w:rPr>
      </w:pPr>
      <w:r w:rsidRPr="00C928BC">
        <w:rPr>
          <w:rFonts w:asciiTheme="majorHAnsi" w:hAnsiTheme="majorHAnsi" w:cstheme="majorHAnsi"/>
        </w:rPr>
        <w:t xml:space="preserve">Additionally, working alongside the NDM it highlights policing principles detailing the Code of Ethics regarding ‘fairness and respect’.   These principles highlight nine aspects that are crucial in maintaining and enhancing the public confidence in the police. These nine principles are accountability, fairness, honesty, integrity, leadership, objectivity, openness, respect, and selflessness (Maguire and John 2006).  </w:t>
      </w:r>
    </w:p>
    <w:p w14:paraId="5E40B0A7" w14:textId="77777777" w:rsidR="00C928BC" w:rsidRPr="00C928BC" w:rsidRDefault="00C928BC" w:rsidP="00C928BC">
      <w:pPr>
        <w:spacing w:line="360" w:lineRule="auto"/>
        <w:rPr>
          <w:rFonts w:asciiTheme="majorHAnsi" w:hAnsiTheme="majorHAnsi" w:cstheme="majorHAnsi"/>
        </w:rPr>
      </w:pPr>
      <w:r w:rsidRPr="00C928BC">
        <w:rPr>
          <w:rFonts w:asciiTheme="majorHAnsi" w:hAnsiTheme="majorHAnsi" w:cstheme="majorHAnsi"/>
        </w:rPr>
        <w:t>The policing culture is referred to as a set of behavioural attitudes which is the normal within the social world of the police. It has been identified that there are similarities between the officers as having traits that include conformity and/or solidarity, secrecy, loyalty, autonomy, authority, uncertainty, danger and suspicion (Westmarland and Conway 2020). These traits have created an “us versus them mentality” (police versus the public) (Corsianos 2009).</w:t>
      </w:r>
    </w:p>
    <w:p w14:paraId="72C5DF7D" w14:textId="77777777" w:rsidR="00C928BC" w:rsidRPr="00C928BC" w:rsidRDefault="00C928BC" w:rsidP="00C928BC">
      <w:pPr>
        <w:spacing w:line="360" w:lineRule="auto"/>
        <w:rPr>
          <w:rFonts w:asciiTheme="majorHAnsi" w:hAnsiTheme="majorHAnsi" w:cstheme="majorHAnsi"/>
        </w:rPr>
      </w:pPr>
      <w:r w:rsidRPr="00C928BC">
        <w:rPr>
          <w:rFonts w:asciiTheme="majorHAnsi" w:hAnsiTheme="majorHAnsi" w:cstheme="majorHAnsi"/>
        </w:rPr>
        <w:t>Due to the common working environment, police officers have a distinct way of understanding the world (Phythian et al 2020). When new recruits start their relatively alike in terms of gender, class, education level and race. Once in training it has been highlighted due to dealing with the nature of the socialising, they experience this conforms unity in perceptions of police work and their roles as police officers (College of Policing 2022).</w:t>
      </w:r>
    </w:p>
    <w:p w14:paraId="2C1BC309" w14:textId="77777777" w:rsidR="00C928BC" w:rsidRPr="00C928BC" w:rsidRDefault="00C928BC" w:rsidP="00C928BC">
      <w:pPr>
        <w:spacing w:line="360" w:lineRule="auto"/>
        <w:rPr>
          <w:rFonts w:asciiTheme="majorHAnsi" w:hAnsiTheme="majorHAnsi" w:cstheme="majorHAnsi"/>
        </w:rPr>
      </w:pPr>
      <w:r w:rsidRPr="00C928BC">
        <w:rPr>
          <w:rFonts w:asciiTheme="majorHAnsi" w:hAnsiTheme="majorHAnsi" w:cstheme="majorHAnsi"/>
        </w:rPr>
        <w:t xml:space="preserve">Research has shown the most common issues which cause a significant obstacle for policing changes and influences are deteriorated, from aspects of organisational culture are the misuse of authority, sexual harassment and discrimination, and excessive force (Barton and Barton 2011). Most other workplaces that have negative aspects of workplace culture is rationalised and usually internally investigated. This is not the case when it comes to policing, these issues are identified and articulated by professionals from outside the profession with varying backgrounds like law, sociology, organisational studies, these are the more subjective sciences. (Boulton </w:t>
      </w:r>
      <w:r w:rsidRPr="00C928BC">
        <w:rPr>
          <w:rFonts w:asciiTheme="majorHAnsi" w:hAnsiTheme="majorHAnsi" w:cstheme="majorHAnsi"/>
          <w:i/>
          <w:iCs/>
        </w:rPr>
        <w:t>et al.</w:t>
      </w:r>
      <w:r w:rsidRPr="00C928BC">
        <w:rPr>
          <w:rFonts w:asciiTheme="majorHAnsi" w:hAnsiTheme="majorHAnsi" w:cstheme="majorHAnsi"/>
        </w:rPr>
        <w:t xml:space="preserve"> 2016)</w:t>
      </w:r>
    </w:p>
    <w:p w14:paraId="4015F73A" w14:textId="77777777" w:rsidR="00C928BC" w:rsidRPr="00C928BC" w:rsidRDefault="00C928BC" w:rsidP="00C928BC">
      <w:pPr>
        <w:spacing w:line="360" w:lineRule="auto"/>
        <w:rPr>
          <w:rFonts w:asciiTheme="majorHAnsi" w:hAnsiTheme="majorHAnsi" w:cstheme="majorHAnsi"/>
        </w:rPr>
      </w:pPr>
      <w:r w:rsidRPr="00C928BC">
        <w:rPr>
          <w:rFonts w:asciiTheme="majorHAnsi" w:hAnsiTheme="majorHAnsi" w:cstheme="majorHAnsi"/>
        </w:rPr>
        <w:t>Policing culture is a means of describing the common values, attitudes and behaviours that are believed to be an issue within the police. This began to be noted by organisational studies around the 1960’s onwards. In the 1970s amongst other key incidents which lay criticism towards the police were also the use of police to stop and search people (</w:t>
      </w:r>
      <w:proofErr w:type="spellStart"/>
      <w:r w:rsidRPr="00C928BC">
        <w:rPr>
          <w:rFonts w:asciiTheme="majorHAnsi" w:hAnsiTheme="majorHAnsi" w:cstheme="majorHAnsi"/>
        </w:rPr>
        <w:t>Laptapi</w:t>
      </w:r>
      <w:proofErr w:type="spellEnd"/>
      <w:r w:rsidRPr="00C928BC">
        <w:rPr>
          <w:rFonts w:asciiTheme="majorHAnsi" w:hAnsiTheme="majorHAnsi" w:cstheme="majorHAnsi"/>
        </w:rPr>
        <w:t xml:space="preserve">, </w:t>
      </w:r>
      <w:proofErr w:type="spellStart"/>
      <w:r w:rsidRPr="00C928BC">
        <w:rPr>
          <w:rFonts w:asciiTheme="majorHAnsi" w:hAnsiTheme="majorHAnsi" w:cstheme="majorHAnsi"/>
        </w:rPr>
        <w:t>Johannsdottir</w:t>
      </w:r>
      <w:proofErr w:type="spellEnd"/>
      <w:r w:rsidRPr="00C928BC">
        <w:rPr>
          <w:rFonts w:asciiTheme="majorHAnsi" w:hAnsiTheme="majorHAnsi" w:cstheme="majorHAnsi"/>
        </w:rPr>
        <w:t xml:space="preserve"> and </w:t>
      </w:r>
      <w:proofErr w:type="spellStart"/>
      <w:r w:rsidRPr="00C928BC">
        <w:rPr>
          <w:rFonts w:asciiTheme="majorHAnsi" w:hAnsiTheme="majorHAnsi" w:cstheme="majorHAnsi"/>
        </w:rPr>
        <w:t>Davidsdottir</w:t>
      </w:r>
      <w:proofErr w:type="spellEnd"/>
      <w:r w:rsidRPr="00C928BC">
        <w:rPr>
          <w:rFonts w:asciiTheme="majorHAnsi" w:hAnsiTheme="majorHAnsi" w:cstheme="majorHAnsi"/>
        </w:rPr>
        <w:t xml:space="preserve"> 2019). The misuse of stop search powers during the 1970s was necessary to be challenged due to the underlining institutional racism which was perceived as organisational culture within the police (Cockcroft 2012). </w:t>
      </w:r>
    </w:p>
    <w:p w14:paraId="25BA4670" w14:textId="77777777" w:rsidR="00C928BC" w:rsidRPr="00C928BC" w:rsidRDefault="00C928BC" w:rsidP="00C928BC">
      <w:pPr>
        <w:spacing w:line="360" w:lineRule="auto"/>
        <w:rPr>
          <w:rFonts w:asciiTheme="majorHAnsi" w:hAnsiTheme="majorHAnsi" w:cstheme="majorHAnsi"/>
        </w:rPr>
      </w:pPr>
      <w:r w:rsidRPr="00C928BC">
        <w:rPr>
          <w:rFonts w:asciiTheme="majorHAnsi" w:hAnsiTheme="majorHAnsi" w:cstheme="majorHAnsi"/>
        </w:rPr>
        <w:t xml:space="preserve">The definition of racism is defined as a perception by an individual, community, or institution using prejudice, discrimination, or antagonism against a person or people based on their ethnic group or </w:t>
      </w:r>
      <w:r w:rsidRPr="00C928BC">
        <w:rPr>
          <w:rFonts w:asciiTheme="majorHAnsi" w:hAnsiTheme="majorHAnsi" w:cstheme="majorHAnsi"/>
        </w:rPr>
        <w:lastRenderedPageBreak/>
        <w:t xml:space="preserve">their membership of a particular race.  </w:t>
      </w:r>
      <w:proofErr w:type="gramStart"/>
      <w:r w:rsidRPr="00C928BC">
        <w:rPr>
          <w:rFonts w:asciiTheme="majorHAnsi" w:hAnsiTheme="majorHAnsi" w:cstheme="majorHAnsi"/>
        </w:rPr>
        <w:t>Typically</w:t>
      </w:r>
      <w:proofErr w:type="gramEnd"/>
      <w:r w:rsidRPr="00C928BC">
        <w:rPr>
          <w:rFonts w:asciiTheme="majorHAnsi" w:hAnsiTheme="majorHAnsi" w:cstheme="majorHAnsi"/>
        </w:rPr>
        <w:t xml:space="preserve"> one that is a minority or marginalized (Blum 2002). During this time there was a focus on police to show accountability when using stop and search powers as young black men were targeted regularly being stopped and searched in a frequent and unacceptable manner (Bowling and Phillips 2007). </w:t>
      </w:r>
    </w:p>
    <w:p w14:paraId="5A75FE92" w14:textId="5F36D6E5" w:rsidR="00C928BC" w:rsidRPr="00C928BC" w:rsidRDefault="00C928BC" w:rsidP="00C928BC">
      <w:pPr>
        <w:spacing w:line="360" w:lineRule="auto"/>
        <w:rPr>
          <w:rFonts w:asciiTheme="majorHAnsi" w:hAnsiTheme="majorHAnsi" w:cstheme="majorHAnsi"/>
        </w:rPr>
      </w:pPr>
      <w:r w:rsidRPr="00C928BC">
        <w:rPr>
          <w:rFonts w:asciiTheme="majorHAnsi" w:hAnsiTheme="majorHAnsi" w:cstheme="majorHAnsi"/>
        </w:rPr>
        <w:t>Due to the misuse in authority by police officers at this time, the statistics were to be documented and the stop search powers were standardised in 1984 under the Police and Criminal Evidence Act (College of Policing 2023a). Giving a power to search anyone who may have a stolen or prohibited article on them throughout England and Wales. The legislation stated there must be an objective hypothesis for the stop and search being either reliable information from a member of public or there is a level of suspicion which, has led to the person to being stopped. Furthermore, changes that have been made for justification of the stop search was that personal factors like colour of skin or the clothes a person was wearing were not sufficient grounds for a stop and search to take place. (College of Policing 2023)</w:t>
      </w:r>
    </w:p>
    <w:p w14:paraId="34765B0D" w14:textId="77777777" w:rsidR="00C928BC" w:rsidRPr="00C928BC" w:rsidRDefault="00C928BC" w:rsidP="00C928BC">
      <w:pPr>
        <w:spacing w:line="360" w:lineRule="auto"/>
        <w:rPr>
          <w:rFonts w:asciiTheme="majorHAnsi" w:hAnsiTheme="majorHAnsi" w:cstheme="majorHAnsi"/>
        </w:rPr>
      </w:pPr>
      <w:r w:rsidRPr="00C928BC">
        <w:rPr>
          <w:rFonts w:asciiTheme="majorHAnsi" w:hAnsiTheme="majorHAnsi" w:cstheme="majorHAnsi"/>
        </w:rPr>
        <w:t xml:space="preserve">Sexual Harassment has been one of the leading issues in need of a police reform aspects of offences which have escalated from within the organisational culture most recently involving the kidnap, rape and killing of Sarah Everard by a serving police officer Wayne </w:t>
      </w:r>
      <w:proofErr w:type="spellStart"/>
      <w:r w:rsidRPr="00C928BC">
        <w:rPr>
          <w:rFonts w:asciiTheme="majorHAnsi" w:hAnsiTheme="majorHAnsi" w:cstheme="majorHAnsi"/>
        </w:rPr>
        <w:t>Couzens</w:t>
      </w:r>
      <w:proofErr w:type="spellEnd"/>
      <w:r w:rsidRPr="00C928BC">
        <w:rPr>
          <w:rFonts w:asciiTheme="majorHAnsi" w:hAnsiTheme="majorHAnsi" w:cstheme="majorHAnsi"/>
        </w:rPr>
        <w:t>.</w:t>
      </w:r>
    </w:p>
    <w:p w14:paraId="3B8FD292" w14:textId="77777777" w:rsidR="00C928BC" w:rsidRPr="00C928BC" w:rsidRDefault="00C928BC" w:rsidP="00C928BC">
      <w:pPr>
        <w:spacing w:line="360" w:lineRule="auto"/>
        <w:rPr>
          <w:rFonts w:asciiTheme="majorHAnsi" w:hAnsiTheme="majorHAnsi" w:cstheme="majorHAnsi"/>
        </w:rPr>
      </w:pPr>
      <w:r w:rsidRPr="00C928BC">
        <w:rPr>
          <w:rFonts w:asciiTheme="majorHAnsi" w:hAnsiTheme="majorHAnsi" w:cstheme="majorHAnsi"/>
        </w:rPr>
        <w:t>Sexual harassment is defined as unwanted behaviour of a sexual nature, whether being an inappropriate sexual remark or unwanted physical advances without consent. These can be in a workplace or other professional or social situation (Gillard, A. 2014).</w:t>
      </w:r>
    </w:p>
    <w:p w14:paraId="178E0482" w14:textId="77777777" w:rsidR="00C928BC" w:rsidRPr="00C928BC" w:rsidRDefault="00C928BC" w:rsidP="00C928BC">
      <w:pPr>
        <w:spacing w:line="360" w:lineRule="auto"/>
        <w:rPr>
          <w:rFonts w:asciiTheme="majorHAnsi" w:hAnsiTheme="majorHAnsi" w:cstheme="majorHAnsi"/>
        </w:rPr>
      </w:pPr>
      <w:r w:rsidRPr="00C928BC">
        <w:rPr>
          <w:rFonts w:asciiTheme="majorHAnsi" w:hAnsiTheme="majorHAnsi" w:cstheme="majorHAnsi"/>
        </w:rPr>
        <w:t xml:space="preserve">Another issue which needs police reform is notably documented as the excessive use of force by police officers. This is most evident from the death of George Floyd who was arrested by serving police officer Derek Chauvin of Minneapolis in America, </w:t>
      </w:r>
      <w:proofErr w:type="gramStart"/>
      <w:r w:rsidRPr="00C928BC">
        <w:rPr>
          <w:rFonts w:asciiTheme="majorHAnsi" w:hAnsiTheme="majorHAnsi" w:cstheme="majorHAnsi"/>
        </w:rPr>
        <w:t>whom</w:t>
      </w:r>
      <w:proofErr w:type="gramEnd"/>
      <w:r w:rsidRPr="00C928BC">
        <w:rPr>
          <w:rFonts w:asciiTheme="majorHAnsi" w:hAnsiTheme="majorHAnsi" w:cstheme="majorHAnsi"/>
        </w:rPr>
        <w:t xml:space="preserve"> used excessive force by kneeled on George Floyds neck whilst being handcuffed for a total of 30 minutes. This position caused the death of George Floyd by Asphyxia, which is a form of suffocation. Use of force in policing is for the purpose of achieving a lawful objective (</w:t>
      </w:r>
      <w:proofErr w:type="spellStart"/>
      <w:r w:rsidRPr="00C928BC">
        <w:rPr>
          <w:rFonts w:asciiTheme="majorHAnsi" w:hAnsiTheme="majorHAnsi" w:cstheme="majorHAnsi"/>
        </w:rPr>
        <w:t>Prenzler</w:t>
      </w:r>
      <w:proofErr w:type="spellEnd"/>
      <w:r w:rsidRPr="00C928BC">
        <w:rPr>
          <w:rFonts w:asciiTheme="majorHAnsi" w:hAnsiTheme="majorHAnsi" w:cstheme="majorHAnsi"/>
        </w:rPr>
        <w:t xml:space="preserve"> </w:t>
      </w:r>
      <w:r w:rsidRPr="00C928BC">
        <w:rPr>
          <w:rFonts w:asciiTheme="majorHAnsi" w:hAnsiTheme="majorHAnsi" w:cstheme="majorHAnsi"/>
          <w:i/>
          <w:iCs/>
        </w:rPr>
        <w:t>et al.</w:t>
      </w:r>
      <w:r w:rsidRPr="00C928BC">
        <w:rPr>
          <w:rFonts w:asciiTheme="majorHAnsi" w:hAnsiTheme="majorHAnsi" w:cstheme="majorHAnsi"/>
        </w:rPr>
        <w:t xml:space="preserve"> (2013), this can be making a lawful arrest, acting in a self-defence or protecting others. Within the police force the common acronym used when relating to the use of force is JPLANE. This stands for Justification, proportionate, legal, accountable, necessary and ethical.</w:t>
      </w:r>
    </w:p>
    <w:p w14:paraId="3E4F9E0F" w14:textId="77777777" w:rsidR="00C928BC" w:rsidRPr="00C928BC" w:rsidRDefault="00C928BC" w:rsidP="00C928BC">
      <w:pPr>
        <w:spacing w:line="360" w:lineRule="auto"/>
        <w:rPr>
          <w:rFonts w:asciiTheme="majorHAnsi" w:hAnsiTheme="majorHAnsi" w:cstheme="majorHAnsi"/>
        </w:rPr>
      </w:pPr>
      <w:r w:rsidRPr="00C928BC">
        <w:rPr>
          <w:rFonts w:asciiTheme="majorHAnsi" w:hAnsiTheme="majorHAnsi" w:cstheme="majorHAnsi"/>
        </w:rPr>
        <w:t>In conclusion it is evident from the research obtained that the negative aspects of policing culture are a set of behavioural attitudes which are the normal within the sociable world of policing. Through research this has shown that significant obstacles which are in need for radical change of those of misuse of authority, sexual harassment and discrimination and excessive force used by police officers.</w:t>
      </w:r>
    </w:p>
    <w:p w14:paraId="599E808B" w14:textId="77777777" w:rsidR="00C928BC" w:rsidRPr="00C928BC" w:rsidRDefault="00C928BC" w:rsidP="00C928BC">
      <w:pPr>
        <w:spacing w:line="360" w:lineRule="auto"/>
        <w:rPr>
          <w:rFonts w:asciiTheme="majorHAnsi" w:hAnsiTheme="majorHAnsi" w:cstheme="majorHAnsi"/>
        </w:rPr>
      </w:pPr>
      <w:r w:rsidRPr="00C928BC">
        <w:rPr>
          <w:rFonts w:asciiTheme="majorHAnsi" w:hAnsiTheme="majorHAnsi" w:cstheme="majorHAnsi"/>
        </w:rPr>
        <w:t xml:space="preserve">Word </w:t>
      </w:r>
      <w:proofErr w:type="gramStart"/>
      <w:r w:rsidRPr="00C928BC">
        <w:rPr>
          <w:rFonts w:asciiTheme="majorHAnsi" w:hAnsiTheme="majorHAnsi" w:cstheme="majorHAnsi"/>
        </w:rPr>
        <w:t>count :</w:t>
      </w:r>
      <w:proofErr w:type="gramEnd"/>
      <w:r w:rsidRPr="00C928BC">
        <w:rPr>
          <w:rFonts w:asciiTheme="majorHAnsi" w:hAnsiTheme="majorHAnsi" w:cstheme="majorHAnsi"/>
        </w:rPr>
        <w:t xml:space="preserve"> 1003</w:t>
      </w:r>
    </w:p>
    <w:p w14:paraId="67927C0E" w14:textId="479DBE9C" w:rsidR="00C928BC" w:rsidRPr="00C928BC" w:rsidRDefault="00A132B9" w:rsidP="00C928BC">
      <w:pPr>
        <w:spacing w:line="360" w:lineRule="auto"/>
        <w:rPr>
          <w:rFonts w:asciiTheme="majorHAnsi" w:hAnsiTheme="majorHAnsi" w:cstheme="majorHAnsi"/>
        </w:rPr>
      </w:pPr>
      <w:r>
        <w:rPr>
          <w:rFonts w:asciiTheme="majorHAnsi" w:hAnsiTheme="majorHAnsi" w:cstheme="majorHAnsi"/>
        </w:rPr>
        <w:lastRenderedPageBreak/>
        <w:t>Essay four:</w:t>
      </w:r>
    </w:p>
    <w:p w14:paraId="02AAAFDD" w14:textId="77777777" w:rsidR="00C928BC" w:rsidRPr="00C928BC" w:rsidRDefault="00C928BC" w:rsidP="00C928BC">
      <w:pPr>
        <w:spacing w:after="3" w:line="252" w:lineRule="auto"/>
        <w:ind w:right="627"/>
        <w:rPr>
          <w:rFonts w:asciiTheme="majorHAnsi" w:eastAsia="Arial" w:hAnsiTheme="majorHAnsi" w:cstheme="majorHAnsi"/>
          <w:color w:val="000000"/>
          <w:lang w:eastAsia="en-GB"/>
        </w:rPr>
      </w:pPr>
      <w:r w:rsidRPr="00C928BC">
        <w:rPr>
          <w:rFonts w:asciiTheme="majorHAnsi" w:eastAsia="Arial" w:hAnsiTheme="majorHAnsi" w:cstheme="majorHAnsi"/>
          <w:color w:val="000000"/>
          <w:lang w:eastAsia="en-GB"/>
        </w:rPr>
        <w:t xml:space="preserve">How effective is MAPPA as a means of protecting vulnerable people from harm? </w:t>
      </w:r>
    </w:p>
    <w:p w14:paraId="6929534D" w14:textId="77777777" w:rsidR="00C928BC" w:rsidRPr="00C928BC" w:rsidRDefault="00C928BC" w:rsidP="00C928BC">
      <w:pPr>
        <w:spacing w:after="3" w:line="252" w:lineRule="auto"/>
        <w:ind w:left="564" w:right="627" w:hanging="10"/>
        <w:rPr>
          <w:rFonts w:asciiTheme="majorHAnsi" w:eastAsia="Arial" w:hAnsiTheme="majorHAnsi" w:cstheme="majorHAnsi"/>
          <w:color w:val="000000"/>
          <w:lang w:eastAsia="en-GB"/>
        </w:rPr>
      </w:pPr>
      <w:r w:rsidRPr="00C928BC">
        <w:rPr>
          <w:rFonts w:asciiTheme="majorHAnsi" w:eastAsia="Arial" w:hAnsiTheme="majorHAnsi" w:cstheme="majorHAnsi"/>
          <w:color w:val="000000"/>
          <w:lang w:eastAsia="en-GB"/>
        </w:rPr>
        <w:t xml:space="preserve">Your answer must be based on academic research, but you may </w:t>
      </w:r>
      <w:proofErr w:type="gramStart"/>
      <w:r w:rsidRPr="00C928BC">
        <w:rPr>
          <w:rFonts w:asciiTheme="majorHAnsi" w:eastAsia="Arial" w:hAnsiTheme="majorHAnsi" w:cstheme="majorHAnsi"/>
          <w:color w:val="000000"/>
          <w:lang w:eastAsia="en-GB"/>
        </w:rPr>
        <w:t>make reference</w:t>
      </w:r>
      <w:proofErr w:type="gramEnd"/>
      <w:r w:rsidRPr="00C928BC">
        <w:rPr>
          <w:rFonts w:asciiTheme="majorHAnsi" w:eastAsia="Arial" w:hAnsiTheme="majorHAnsi" w:cstheme="majorHAnsi"/>
          <w:color w:val="000000"/>
          <w:lang w:eastAsia="en-GB"/>
        </w:rPr>
        <w:t xml:space="preserve"> to relevant case studies. </w:t>
      </w:r>
    </w:p>
    <w:p w14:paraId="34DF8805" w14:textId="77777777" w:rsidR="00C928BC" w:rsidRPr="00C928BC" w:rsidRDefault="00C928BC" w:rsidP="00C928BC">
      <w:pPr>
        <w:spacing w:after="3" w:line="252" w:lineRule="auto"/>
        <w:ind w:right="627"/>
        <w:rPr>
          <w:rFonts w:asciiTheme="majorHAnsi" w:eastAsia="Arial" w:hAnsiTheme="majorHAnsi" w:cstheme="majorHAnsi"/>
          <w:color w:val="000000"/>
          <w:lang w:eastAsia="en-GB"/>
        </w:rPr>
      </w:pPr>
    </w:p>
    <w:p w14:paraId="50187BE5" w14:textId="77777777" w:rsidR="00C928BC" w:rsidRPr="00C928BC" w:rsidRDefault="00C928BC" w:rsidP="00C928BC">
      <w:pPr>
        <w:suppressAutoHyphens/>
        <w:autoSpaceDN w:val="0"/>
        <w:spacing w:line="360" w:lineRule="auto"/>
        <w:rPr>
          <w:rFonts w:asciiTheme="majorHAnsi" w:eastAsia="Calibri" w:hAnsiTheme="majorHAnsi" w:cstheme="majorHAnsi"/>
          <w:kern w:val="3"/>
          <w14:ligatures w14:val="none"/>
        </w:rPr>
      </w:pPr>
      <w:r w:rsidRPr="00C928BC">
        <w:rPr>
          <w:rFonts w:asciiTheme="majorHAnsi" w:eastAsia="Calibri" w:hAnsiTheme="majorHAnsi" w:cstheme="majorHAnsi"/>
          <w:kern w:val="3"/>
          <w14:ligatures w14:val="none"/>
        </w:rPr>
        <w:t>Introduction</w:t>
      </w:r>
    </w:p>
    <w:p w14:paraId="5655DBFA" w14:textId="77777777" w:rsidR="00C928BC" w:rsidRPr="00C928BC" w:rsidRDefault="00C928BC" w:rsidP="00C928BC">
      <w:pPr>
        <w:suppressAutoHyphens/>
        <w:autoSpaceDN w:val="0"/>
        <w:spacing w:line="360" w:lineRule="auto"/>
        <w:rPr>
          <w:rFonts w:asciiTheme="majorHAnsi" w:eastAsia="Calibri" w:hAnsiTheme="majorHAnsi" w:cstheme="majorHAnsi"/>
          <w:kern w:val="3"/>
          <w14:ligatures w14:val="none"/>
        </w:rPr>
      </w:pPr>
      <w:r w:rsidRPr="00C928BC">
        <w:rPr>
          <w:rFonts w:asciiTheme="majorHAnsi" w:eastAsia="Calibri" w:hAnsiTheme="majorHAnsi" w:cstheme="majorHAnsi"/>
          <w:kern w:val="3"/>
          <w14:ligatures w14:val="none"/>
        </w:rPr>
        <w:t xml:space="preserve">This essay will explore the effectiveness of multi-agency public protection arrangements (MAPPA) as a means of protecting vulnerable people from harm. Section 325 to 327B of the Criminal Justice Act 2003 sets out arrangements known as MAPPA (College of Policing 2021). These were established to protect the public from dangerous offenders including those individuals from serious harm by sexual or violent crimes. For this to work it is paramount justice agencies work together with offenders. </w:t>
      </w:r>
    </w:p>
    <w:p w14:paraId="36E4F337" w14:textId="77777777" w:rsidR="00C928BC" w:rsidRPr="00C928BC" w:rsidRDefault="00C928BC" w:rsidP="00C928BC">
      <w:pPr>
        <w:suppressAutoHyphens/>
        <w:autoSpaceDN w:val="0"/>
        <w:spacing w:line="360" w:lineRule="auto"/>
        <w:rPr>
          <w:rFonts w:asciiTheme="majorHAnsi" w:eastAsia="Calibri" w:hAnsiTheme="majorHAnsi" w:cstheme="majorHAnsi"/>
          <w:kern w:val="3"/>
          <w14:ligatures w14:val="none"/>
        </w:rPr>
      </w:pPr>
      <w:r w:rsidRPr="00C928BC">
        <w:rPr>
          <w:rFonts w:asciiTheme="majorHAnsi" w:eastAsia="Calibri" w:hAnsiTheme="majorHAnsi" w:cstheme="majorHAnsi"/>
          <w:kern w:val="3"/>
          <w14:ligatures w14:val="none"/>
        </w:rPr>
        <w:t xml:space="preserve">It is essential the police ensure the rights of all individuals are within the Human Rights Act and are equal for all including victims, the public and offenders. Therefore, ensuring all individuals rights and those offenders are not undermined from previous crimes. There is a responsibility of authorities to adequately assess the risks posed by offenders is managed appropriately. The responsible authorities (RA) oversee the offender and works within the MAPPA as a lead agency to safeguard others by sharing information to identify the risks. Those considered the lead agency are responsible for identify the offender to the appropriate levels within MAPPA. </w:t>
      </w:r>
    </w:p>
    <w:p w14:paraId="08536651" w14:textId="77777777" w:rsidR="00C928BC" w:rsidRPr="00C928BC" w:rsidRDefault="00C928BC" w:rsidP="00C928BC">
      <w:pPr>
        <w:suppressAutoHyphens/>
        <w:autoSpaceDN w:val="0"/>
        <w:spacing w:line="360" w:lineRule="auto"/>
        <w:rPr>
          <w:rFonts w:asciiTheme="majorHAnsi" w:eastAsia="Calibri" w:hAnsiTheme="majorHAnsi" w:cstheme="majorHAnsi"/>
          <w:kern w:val="3"/>
          <w14:ligatures w14:val="none"/>
        </w:rPr>
      </w:pPr>
      <w:r w:rsidRPr="00C928BC">
        <w:rPr>
          <w:rFonts w:asciiTheme="majorHAnsi" w:eastAsia="Calibri" w:hAnsiTheme="majorHAnsi" w:cstheme="majorHAnsi"/>
          <w:kern w:val="3"/>
          <w14:ligatures w14:val="none"/>
        </w:rPr>
        <w:t xml:space="preserve">The lead agency refers to those within the police force having a legal responsibility to effectively manage and notify those offenders under the sex offenders register post probation. Those following their National Probation Service (NPS) will be subject to the lead agency to ensure statutory supervision of the offender (College of Policing 2021). Therefore, any breakings of the offenders are actively followed up and acted upon to ensure the safety of the community and vulnerable individuals. Additionally, His Majesty’s Prison and Probation service (HMPPS) is responsible for the management of MAPPA offenders. This ensures those under MAPPA are supervised and protects the offenders and the public. Those working under the HMPPS and MAPPA are work in conjunction with the police forming joint agency working and therefore is recognised to be good practice (Canton and </w:t>
      </w:r>
      <w:proofErr w:type="spellStart"/>
      <w:r w:rsidRPr="00C928BC">
        <w:rPr>
          <w:rFonts w:asciiTheme="majorHAnsi" w:eastAsia="Calibri" w:hAnsiTheme="majorHAnsi" w:cstheme="majorHAnsi"/>
          <w:kern w:val="3"/>
          <w14:ligatures w14:val="none"/>
        </w:rPr>
        <w:t>Dominey</w:t>
      </w:r>
      <w:proofErr w:type="spellEnd"/>
      <w:r w:rsidRPr="00C928BC">
        <w:rPr>
          <w:rFonts w:asciiTheme="majorHAnsi" w:eastAsia="Calibri" w:hAnsiTheme="majorHAnsi" w:cstheme="majorHAnsi"/>
          <w:kern w:val="3"/>
          <w14:ligatures w14:val="none"/>
        </w:rPr>
        <w:t xml:space="preserve"> 2017). It is paramount those working within the prison service release the information of offender’s release dates as soon as it is known to ensure the protection of the offender and the public. </w:t>
      </w:r>
    </w:p>
    <w:p w14:paraId="0288E308" w14:textId="77777777" w:rsidR="00C928BC" w:rsidRPr="00C928BC" w:rsidRDefault="00C928BC" w:rsidP="00C928BC">
      <w:pPr>
        <w:suppressAutoHyphens/>
        <w:autoSpaceDN w:val="0"/>
        <w:spacing w:line="360" w:lineRule="auto"/>
        <w:rPr>
          <w:rFonts w:asciiTheme="majorHAnsi" w:eastAsia="Calibri" w:hAnsiTheme="majorHAnsi" w:cstheme="majorHAnsi"/>
          <w:kern w:val="3"/>
          <w14:ligatures w14:val="none"/>
        </w:rPr>
      </w:pPr>
      <w:r w:rsidRPr="00C928BC">
        <w:rPr>
          <w:rFonts w:asciiTheme="majorHAnsi" w:eastAsia="Calibri" w:hAnsiTheme="majorHAnsi" w:cstheme="majorHAnsi"/>
          <w:kern w:val="3"/>
          <w14:ligatures w14:val="none"/>
        </w:rPr>
        <w:t>Those offenders under MAPPA must qualify within three categories. Category one refers to sexual offenders and they must comply within the sexual offences act 2003.  Category two relates to those offenders who have committed an offence under the Criminal Justice Act 2003 schedule 15. Category three refers to dangerous offenders who have been cautioned or convicted of a crime which is considered a cause of serious harm (College of Policing 2021).</w:t>
      </w:r>
    </w:p>
    <w:p w14:paraId="587A66D2" w14:textId="77777777" w:rsidR="00C928BC" w:rsidRPr="00C928BC" w:rsidRDefault="00C928BC" w:rsidP="00C928BC">
      <w:pPr>
        <w:suppressAutoHyphens/>
        <w:autoSpaceDN w:val="0"/>
        <w:spacing w:line="360" w:lineRule="auto"/>
        <w:rPr>
          <w:rFonts w:asciiTheme="majorHAnsi" w:eastAsia="Calibri" w:hAnsiTheme="majorHAnsi" w:cstheme="majorHAnsi"/>
          <w:kern w:val="3"/>
          <w14:ligatures w14:val="none"/>
        </w:rPr>
      </w:pPr>
      <w:r w:rsidRPr="00C928BC">
        <w:rPr>
          <w:rFonts w:asciiTheme="majorHAnsi" w:eastAsia="Calibri" w:hAnsiTheme="majorHAnsi" w:cstheme="majorHAnsi"/>
          <w:kern w:val="3"/>
          <w14:ligatures w14:val="none"/>
        </w:rPr>
        <w:lastRenderedPageBreak/>
        <w:t xml:space="preserve">Additionally, the management involved in MAPPA relates to three levels. Level 1 is the ordinary agency management this allows for the risks the offenders possess to the public is managed. This tries to maintain the management of the offender within level 1 but does not mean the management may be passed on to further levels (College of Policing 2021). The use of effective communication between agencies ensures the offenders are discussed between others and their risks are appropriately assessed. Level 2 is the active multi-agency management this relates to offenders who are actively posing as high risk of serious harm. Therefore, the requirement of multiagency is required to ensure the management of the risks is coordinated effectively between RA. Level 3 refers to the active enhanced multiagency management. This relates to offenders meeting the criteria of level 2 however require the management of senior representation from the RA’s and other agencies (Padfield 2011).  </w:t>
      </w:r>
    </w:p>
    <w:p w14:paraId="6AC779FA" w14:textId="77777777" w:rsidR="00C928BC" w:rsidRPr="00C928BC" w:rsidRDefault="00C928BC" w:rsidP="00C928BC">
      <w:pPr>
        <w:suppressAutoHyphens/>
        <w:autoSpaceDN w:val="0"/>
        <w:spacing w:line="360" w:lineRule="auto"/>
        <w:rPr>
          <w:rFonts w:asciiTheme="majorHAnsi" w:eastAsia="Calibri" w:hAnsiTheme="majorHAnsi" w:cstheme="majorHAnsi"/>
          <w:kern w:val="3"/>
          <w14:ligatures w14:val="none"/>
        </w:rPr>
      </w:pPr>
      <w:r w:rsidRPr="00C928BC">
        <w:rPr>
          <w:rFonts w:asciiTheme="majorHAnsi" w:eastAsia="Calibri" w:hAnsiTheme="majorHAnsi" w:cstheme="majorHAnsi"/>
          <w:kern w:val="3"/>
          <w14:ligatures w14:val="none"/>
        </w:rPr>
        <w:t>Effective use of MAPPA has been proven to reduce the rates of reoffending when used in practice (Nash and Walker 2009). Providing those using the management identified by MAPPA and effective communication is used with all those involved within the RA. Ensuring communication among police and other criminal justice systems is paramount to ensure the risk of offenders is identified and is managed appropriately within society (GOV.UK 2023).</w:t>
      </w:r>
    </w:p>
    <w:p w14:paraId="019F6E0D" w14:textId="77777777" w:rsidR="00C928BC" w:rsidRPr="00C928BC" w:rsidRDefault="00C928BC" w:rsidP="00C928BC">
      <w:pPr>
        <w:suppressAutoHyphens/>
        <w:autoSpaceDN w:val="0"/>
        <w:spacing w:line="360" w:lineRule="auto"/>
        <w:rPr>
          <w:rFonts w:asciiTheme="majorHAnsi" w:eastAsia="Calibri" w:hAnsiTheme="majorHAnsi" w:cstheme="majorHAnsi"/>
          <w:kern w:val="3"/>
          <w14:ligatures w14:val="none"/>
        </w:rPr>
      </w:pPr>
      <w:r w:rsidRPr="00C928BC">
        <w:rPr>
          <w:rFonts w:asciiTheme="majorHAnsi" w:eastAsia="Calibri" w:hAnsiTheme="majorHAnsi" w:cstheme="majorHAnsi"/>
          <w:kern w:val="3"/>
          <w14:ligatures w14:val="none"/>
        </w:rPr>
        <w:t xml:space="preserve">Nash and Walker (2009) state that the process of passing on information from one RA to another has been proven to be the most significant benefit of MAPPA working. Therefore, to evaluate the effectiveness of MAPPA it is essential to evaluate the effectiveness of how agencies work well together, the use of risk assessments and the use of management plans in dealing with offenders (Harrison 2013). </w:t>
      </w:r>
    </w:p>
    <w:p w14:paraId="5C4D9082" w14:textId="77777777" w:rsidR="00C928BC" w:rsidRPr="00C928BC" w:rsidRDefault="00C928BC" w:rsidP="00C928BC">
      <w:pPr>
        <w:suppressAutoHyphens/>
        <w:autoSpaceDN w:val="0"/>
        <w:spacing w:line="360" w:lineRule="auto"/>
        <w:rPr>
          <w:rFonts w:asciiTheme="majorHAnsi" w:eastAsia="Calibri" w:hAnsiTheme="majorHAnsi" w:cstheme="majorHAnsi"/>
          <w:kern w:val="3"/>
          <w14:ligatures w14:val="none"/>
        </w:rPr>
      </w:pPr>
      <w:r w:rsidRPr="00C928BC">
        <w:rPr>
          <w:rFonts w:asciiTheme="majorHAnsi" w:eastAsia="Calibri" w:hAnsiTheme="majorHAnsi" w:cstheme="majorHAnsi"/>
          <w:kern w:val="3"/>
          <w14:ligatures w14:val="none"/>
        </w:rPr>
        <w:t xml:space="preserve">As well as effective use of communication among agencies it is paramount information about offenders is appropriately stored. Therefore, the use of </w:t>
      </w:r>
      <w:proofErr w:type="spellStart"/>
      <w:r w:rsidRPr="00C928BC">
        <w:rPr>
          <w:rFonts w:asciiTheme="majorHAnsi" w:eastAsia="Calibri" w:hAnsiTheme="majorHAnsi" w:cstheme="majorHAnsi"/>
          <w:kern w:val="3"/>
          <w14:ligatures w14:val="none"/>
        </w:rPr>
        <w:t>ViSOR</w:t>
      </w:r>
      <w:proofErr w:type="spellEnd"/>
      <w:r w:rsidRPr="00C928BC">
        <w:rPr>
          <w:rFonts w:asciiTheme="majorHAnsi" w:eastAsia="Calibri" w:hAnsiTheme="majorHAnsi" w:cstheme="majorHAnsi"/>
          <w:kern w:val="3"/>
          <w14:ligatures w14:val="none"/>
        </w:rPr>
        <w:t xml:space="preserve"> (also known as the dangerous persons database) (Wood et al 2021). This database can be accessed by those responsible agencies working within the management of MAPPA. Information is archived for a period if no longer required in case date is needed later. The police have a responsibility to ensure the information created under </w:t>
      </w:r>
      <w:proofErr w:type="spellStart"/>
      <w:r w:rsidRPr="00C928BC">
        <w:rPr>
          <w:rFonts w:asciiTheme="majorHAnsi" w:eastAsia="Calibri" w:hAnsiTheme="majorHAnsi" w:cstheme="majorHAnsi"/>
          <w:kern w:val="3"/>
          <w14:ligatures w14:val="none"/>
        </w:rPr>
        <w:t>ViSOR</w:t>
      </w:r>
      <w:proofErr w:type="spellEnd"/>
      <w:r w:rsidRPr="00C928BC">
        <w:rPr>
          <w:rFonts w:asciiTheme="majorHAnsi" w:eastAsia="Calibri" w:hAnsiTheme="majorHAnsi" w:cstheme="majorHAnsi"/>
          <w:kern w:val="3"/>
          <w14:ligatures w14:val="none"/>
        </w:rPr>
        <w:t xml:space="preserve"> is maintained (Blackstone’s 2019). </w:t>
      </w:r>
    </w:p>
    <w:p w14:paraId="26ADB661" w14:textId="77777777" w:rsidR="00C928BC" w:rsidRPr="00C928BC" w:rsidRDefault="00C928BC" w:rsidP="00C928BC">
      <w:pPr>
        <w:suppressAutoHyphens/>
        <w:autoSpaceDN w:val="0"/>
        <w:spacing w:line="360" w:lineRule="auto"/>
        <w:rPr>
          <w:rFonts w:asciiTheme="majorHAnsi" w:eastAsia="Calibri" w:hAnsiTheme="majorHAnsi" w:cstheme="majorHAnsi"/>
          <w:kern w:val="3"/>
          <w14:ligatures w14:val="none"/>
        </w:rPr>
      </w:pPr>
      <w:r w:rsidRPr="00C928BC">
        <w:rPr>
          <w:rFonts w:asciiTheme="majorHAnsi" w:eastAsia="Calibri" w:hAnsiTheme="majorHAnsi" w:cstheme="majorHAnsi"/>
          <w:kern w:val="3"/>
          <w14:ligatures w14:val="none"/>
        </w:rPr>
        <w:t>Additionally, the use of MAPPA shows a reduction of reoffending through the evaluation of the management of MAPPA. As a result of this the percentage of reoffending rates decreased by 0.4 percent from January to March 2021 highlighting the effectiveness of MAPPA (GOV.UK 2022). Also, the use of comprehensive risk assessments allows for those involved in offenders work effectively together to assess and manage the risks appropriately to ensure the safety of the public, vulnerable people, and the offenders (</w:t>
      </w:r>
      <w:proofErr w:type="spellStart"/>
      <w:r w:rsidRPr="00C928BC">
        <w:rPr>
          <w:rFonts w:asciiTheme="majorHAnsi" w:eastAsia="Calibri" w:hAnsiTheme="majorHAnsi" w:cstheme="majorHAnsi"/>
          <w:kern w:val="3"/>
          <w14:ligatures w14:val="none"/>
        </w:rPr>
        <w:t>Kemshall</w:t>
      </w:r>
      <w:proofErr w:type="spellEnd"/>
      <w:r w:rsidRPr="00C928BC">
        <w:rPr>
          <w:rFonts w:asciiTheme="majorHAnsi" w:eastAsia="Calibri" w:hAnsiTheme="majorHAnsi" w:cstheme="majorHAnsi"/>
          <w:kern w:val="3"/>
          <w14:ligatures w14:val="none"/>
        </w:rPr>
        <w:t xml:space="preserve"> 2008). Furthermore, the effectiveness of MAPPA requires a </w:t>
      </w:r>
      <w:r w:rsidRPr="00C928BC">
        <w:rPr>
          <w:rFonts w:asciiTheme="majorHAnsi" w:eastAsia="Calibri" w:hAnsiTheme="majorHAnsi" w:cstheme="majorHAnsi"/>
          <w:kern w:val="3"/>
          <w14:ligatures w14:val="none"/>
        </w:rPr>
        <w:lastRenderedPageBreak/>
        <w:t xml:space="preserve">robust management plan in place to ensure those in potential harm are protected from potential risk (Matravers 2013). </w:t>
      </w:r>
    </w:p>
    <w:p w14:paraId="713A5C6F" w14:textId="77777777" w:rsidR="00C928BC" w:rsidRPr="00C928BC" w:rsidRDefault="00C928BC" w:rsidP="00C928BC">
      <w:pPr>
        <w:suppressAutoHyphens/>
        <w:autoSpaceDN w:val="0"/>
        <w:spacing w:line="360" w:lineRule="auto"/>
        <w:rPr>
          <w:rFonts w:asciiTheme="majorHAnsi" w:eastAsia="Calibri" w:hAnsiTheme="majorHAnsi" w:cstheme="majorHAnsi"/>
          <w:kern w:val="3"/>
          <w14:ligatures w14:val="none"/>
        </w:rPr>
      </w:pPr>
      <w:r w:rsidRPr="00C928BC">
        <w:rPr>
          <w:rFonts w:asciiTheme="majorHAnsi" w:eastAsia="Calibri" w:hAnsiTheme="majorHAnsi" w:cstheme="majorHAnsi"/>
          <w:kern w:val="3"/>
          <w14:ligatures w14:val="none"/>
        </w:rPr>
        <w:t xml:space="preserve">Conclusion </w:t>
      </w:r>
    </w:p>
    <w:p w14:paraId="66F90D2D" w14:textId="77777777" w:rsidR="00C928BC" w:rsidRPr="00C928BC" w:rsidRDefault="00C928BC" w:rsidP="00C928BC">
      <w:pPr>
        <w:suppressAutoHyphens/>
        <w:autoSpaceDN w:val="0"/>
        <w:spacing w:line="360" w:lineRule="auto"/>
        <w:rPr>
          <w:rFonts w:asciiTheme="majorHAnsi" w:eastAsia="Calibri" w:hAnsiTheme="majorHAnsi" w:cstheme="majorHAnsi"/>
          <w:kern w:val="3"/>
          <w14:ligatures w14:val="none"/>
        </w:rPr>
      </w:pPr>
      <w:r w:rsidRPr="00C928BC">
        <w:rPr>
          <w:rFonts w:asciiTheme="majorHAnsi" w:eastAsia="Calibri" w:hAnsiTheme="majorHAnsi" w:cstheme="majorHAnsi"/>
          <w:kern w:val="3"/>
          <w14:ligatures w14:val="none"/>
        </w:rPr>
        <w:t xml:space="preserve">Overall, it is evident from the research highlighted above that to ensure the effectiveness of MAPPA effective communication, detailed risk assessment and appropriate management plans are all essential to manage the risk of offenders. Additionally. ensuring the responsible agencies are updated regarding release dates and other relevant information to ensure they can put appropriate plans in place to protect the community, vulnerable people and the offenders. </w:t>
      </w:r>
    </w:p>
    <w:p w14:paraId="7B7B651D" w14:textId="76EC5042" w:rsidR="00C928BC" w:rsidRPr="00C928BC" w:rsidRDefault="00C928BC" w:rsidP="00C928BC">
      <w:pPr>
        <w:suppressAutoHyphens/>
        <w:autoSpaceDN w:val="0"/>
        <w:spacing w:line="360" w:lineRule="auto"/>
        <w:rPr>
          <w:rFonts w:asciiTheme="majorHAnsi" w:eastAsia="Calibri" w:hAnsiTheme="majorHAnsi" w:cstheme="majorHAnsi"/>
          <w:kern w:val="3"/>
          <w14:ligatures w14:val="none"/>
        </w:rPr>
      </w:pPr>
      <w:r w:rsidRPr="00C928BC">
        <w:rPr>
          <w:rFonts w:asciiTheme="majorHAnsi" w:eastAsia="Calibri" w:hAnsiTheme="majorHAnsi" w:cstheme="majorHAnsi"/>
          <w:kern w:val="3"/>
          <w14:ligatures w14:val="none"/>
        </w:rPr>
        <w:t>Word</w:t>
      </w:r>
      <w:r w:rsidRPr="00C928BC">
        <w:rPr>
          <w:rFonts w:asciiTheme="majorHAnsi" w:eastAsia="Calibri" w:hAnsiTheme="majorHAnsi" w:cstheme="majorHAnsi"/>
          <w:kern w:val="3"/>
          <w14:ligatures w14:val="none"/>
        </w:rPr>
        <w:t xml:space="preserve"> </w:t>
      </w:r>
      <w:proofErr w:type="gramStart"/>
      <w:r w:rsidRPr="00C928BC">
        <w:rPr>
          <w:rFonts w:asciiTheme="majorHAnsi" w:eastAsia="Calibri" w:hAnsiTheme="majorHAnsi" w:cstheme="majorHAnsi"/>
          <w:kern w:val="3"/>
          <w14:ligatures w14:val="none"/>
        </w:rPr>
        <w:t>count :</w:t>
      </w:r>
      <w:proofErr w:type="gramEnd"/>
      <w:r w:rsidRPr="00C928BC">
        <w:rPr>
          <w:rFonts w:asciiTheme="majorHAnsi" w:eastAsia="Calibri" w:hAnsiTheme="majorHAnsi" w:cstheme="majorHAnsi"/>
          <w:kern w:val="3"/>
          <w14:ligatures w14:val="none"/>
        </w:rPr>
        <w:t xml:space="preserve"> 958 </w:t>
      </w:r>
    </w:p>
    <w:p w14:paraId="73EA9BE7" w14:textId="77777777" w:rsidR="00C928BC" w:rsidRPr="00C928BC" w:rsidRDefault="00C928BC" w:rsidP="00C928BC">
      <w:pPr>
        <w:spacing w:after="3" w:line="252" w:lineRule="auto"/>
        <w:ind w:right="627"/>
        <w:rPr>
          <w:rFonts w:asciiTheme="majorHAnsi" w:eastAsia="Arial" w:hAnsiTheme="majorHAnsi" w:cstheme="majorHAnsi"/>
          <w:color w:val="000000"/>
          <w:lang w:eastAsia="en-GB"/>
        </w:rPr>
      </w:pPr>
    </w:p>
    <w:p w14:paraId="3D2F3298" w14:textId="56B4BE3E" w:rsidR="00C928BC" w:rsidRPr="00C928BC" w:rsidRDefault="00722486" w:rsidP="00722486">
      <w:pPr>
        <w:spacing w:line="360" w:lineRule="auto"/>
        <w:rPr>
          <w:rFonts w:asciiTheme="majorHAnsi" w:hAnsiTheme="majorHAnsi" w:cstheme="majorHAnsi"/>
        </w:rPr>
      </w:pPr>
      <w:r w:rsidRPr="00C928BC">
        <w:rPr>
          <w:rFonts w:asciiTheme="majorHAnsi" w:hAnsiTheme="majorHAnsi" w:cstheme="majorHAnsi"/>
        </w:rPr>
        <w:t>Bibliography</w:t>
      </w:r>
    </w:p>
    <w:p w14:paraId="1CB60460" w14:textId="77777777" w:rsidR="00A132B9" w:rsidRPr="00BA1173" w:rsidRDefault="00A132B9" w:rsidP="00BA1173">
      <w:pPr>
        <w:spacing w:line="360" w:lineRule="auto"/>
        <w:rPr>
          <w:rFonts w:asciiTheme="majorHAnsi" w:hAnsiTheme="majorHAnsi" w:cstheme="majorHAnsi"/>
          <w:kern w:val="0"/>
          <w14:ligatures w14:val="none"/>
        </w:rPr>
      </w:pPr>
      <w:r w:rsidRPr="00BA1173">
        <w:rPr>
          <w:rFonts w:asciiTheme="majorHAnsi" w:hAnsiTheme="majorHAnsi" w:cstheme="majorHAnsi"/>
          <w:kern w:val="0"/>
          <w14:ligatures w14:val="none"/>
        </w:rPr>
        <w:t xml:space="preserve">Atlas, R.I. (2013) </w:t>
      </w:r>
      <w:r w:rsidRPr="00BA1173">
        <w:rPr>
          <w:rFonts w:asciiTheme="majorHAnsi" w:hAnsiTheme="majorHAnsi" w:cstheme="majorHAnsi"/>
          <w:i/>
          <w:kern w:val="0"/>
          <w14:ligatures w14:val="none"/>
        </w:rPr>
        <w:t>21st century security and CPTED: Designing for critical infrastructure protection and crime prevention</w:t>
      </w:r>
      <w:r w:rsidRPr="00BA1173">
        <w:rPr>
          <w:rFonts w:asciiTheme="majorHAnsi" w:hAnsiTheme="majorHAnsi" w:cstheme="majorHAnsi"/>
          <w:kern w:val="0"/>
          <w14:ligatures w14:val="none"/>
        </w:rPr>
        <w:t xml:space="preserve">. Boca Raton, FL: CRC Press. </w:t>
      </w:r>
    </w:p>
    <w:p w14:paraId="0DD296DE" w14:textId="77777777" w:rsidR="00A132B9" w:rsidRPr="00C928BC" w:rsidRDefault="00A132B9" w:rsidP="00C928BC">
      <w:pPr>
        <w:suppressAutoHyphens/>
        <w:autoSpaceDN w:val="0"/>
        <w:spacing w:line="360" w:lineRule="auto"/>
        <w:rPr>
          <w:rFonts w:asciiTheme="majorHAnsi" w:eastAsia="Calibri" w:hAnsiTheme="majorHAnsi" w:cstheme="majorHAnsi"/>
          <w:kern w:val="3"/>
          <w14:ligatures w14:val="none"/>
        </w:rPr>
      </w:pPr>
      <w:r w:rsidRPr="00C928BC">
        <w:rPr>
          <w:rFonts w:asciiTheme="majorHAnsi" w:hAnsiTheme="majorHAnsi" w:cstheme="majorHAnsi"/>
        </w:rPr>
        <w:t xml:space="preserve">Barton, L.C. and Barton, H. (2011) ‘Challenges, issues and change: What’s the future for UK policing in the twenty‐first century?’, </w:t>
      </w:r>
      <w:r w:rsidRPr="00C928BC">
        <w:rPr>
          <w:rFonts w:asciiTheme="majorHAnsi" w:hAnsiTheme="majorHAnsi" w:cstheme="majorHAnsi"/>
          <w:i/>
        </w:rPr>
        <w:t>International Journal of Public Sector Management</w:t>
      </w:r>
      <w:r w:rsidRPr="00C928BC">
        <w:rPr>
          <w:rFonts w:asciiTheme="majorHAnsi" w:hAnsiTheme="majorHAnsi" w:cstheme="majorHAnsi"/>
        </w:rPr>
        <w:t xml:space="preserve">, 24(2), pp. 146–156. doi:10.1108/09513551111109044. </w:t>
      </w:r>
    </w:p>
    <w:p w14:paraId="62F27AC5" w14:textId="77777777" w:rsidR="00A132B9" w:rsidRPr="00C928BC" w:rsidRDefault="00A132B9" w:rsidP="00C928BC">
      <w:pPr>
        <w:rPr>
          <w:rFonts w:asciiTheme="majorHAnsi" w:hAnsiTheme="majorHAnsi" w:cstheme="majorHAnsi"/>
        </w:rPr>
      </w:pPr>
      <w:bookmarkStart w:id="0" w:name="_Hlk144757071"/>
      <w:r w:rsidRPr="00C928BC">
        <w:rPr>
          <w:rFonts w:asciiTheme="majorHAnsi" w:hAnsiTheme="majorHAnsi" w:cstheme="majorHAnsi"/>
        </w:rPr>
        <w:t xml:space="preserve">Blum, L. (2002) </w:t>
      </w:r>
      <w:bookmarkEnd w:id="0"/>
      <w:r w:rsidRPr="00C928BC">
        <w:rPr>
          <w:rFonts w:asciiTheme="majorHAnsi" w:hAnsiTheme="majorHAnsi" w:cstheme="majorHAnsi"/>
          <w:i/>
          <w:iCs/>
        </w:rPr>
        <w:t>Racism: What it is and what it isn’t - studies in Philosophy and Education</w:t>
      </w:r>
      <w:r w:rsidRPr="00C928BC">
        <w:rPr>
          <w:rFonts w:asciiTheme="majorHAnsi" w:hAnsiTheme="majorHAnsi" w:cstheme="majorHAnsi"/>
        </w:rPr>
        <w:t xml:space="preserve">, </w:t>
      </w:r>
      <w:r w:rsidRPr="00C928BC">
        <w:rPr>
          <w:rFonts w:asciiTheme="majorHAnsi" w:hAnsiTheme="majorHAnsi" w:cstheme="majorHAnsi"/>
          <w:i/>
          <w:iCs/>
        </w:rPr>
        <w:t>SpringerLink</w:t>
      </w:r>
      <w:r w:rsidRPr="00C928BC">
        <w:rPr>
          <w:rFonts w:asciiTheme="majorHAnsi" w:hAnsiTheme="majorHAnsi" w:cstheme="majorHAnsi"/>
        </w:rPr>
        <w:t xml:space="preserve">. Available at: https://link.springer.com/article/10.1023/A:1015503031960 (Accessed: 04 September 2023). </w:t>
      </w:r>
    </w:p>
    <w:p w14:paraId="0B5CB348" w14:textId="77777777" w:rsidR="00A132B9" w:rsidRPr="00C928BC" w:rsidRDefault="00A132B9" w:rsidP="00C928BC">
      <w:pPr>
        <w:rPr>
          <w:rFonts w:asciiTheme="majorHAnsi" w:hAnsiTheme="majorHAnsi" w:cstheme="majorHAnsi"/>
        </w:rPr>
      </w:pPr>
      <w:bookmarkStart w:id="1" w:name="_Hlk144719908"/>
      <w:r w:rsidRPr="00C928BC">
        <w:rPr>
          <w:rFonts w:asciiTheme="majorHAnsi" w:hAnsiTheme="majorHAnsi" w:cstheme="majorHAnsi"/>
        </w:rPr>
        <w:t xml:space="preserve">Boulton, L. </w:t>
      </w:r>
      <w:r w:rsidRPr="00C928BC">
        <w:rPr>
          <w:rFonts w:asciiTheme="majorHAnsi" w:hAnsiTheme="majorHAnsi" w:cstheme="majorHAnsi"/>
          <w:i/>
          <w:iCs/>
        </w:rPr>
        <w:t>et al.</w:t>
      </w:r>
      <w:r w:rsidRPr="00C928BC">
        <w:rPr>
          <w:rFonts w:asciiTheme="majorHAnsi" w:hAnsiTheme="majorHAnsi" w:cstheme="majorHAnsi"/>
        </w:rPr>
        <w:t xml:space="preserve"> (2016b</w:t>
      </w:r>
      <w:bookmarkEnd w:id="1"/>
      <w:r w:rsidRPr="00C928BC">
        <w:rPr>
          <w:rFonts w:asciiTheme="majorHAnsi" w:hAnsiTheme="majorHAnsi" w:cstheme="majorHAnsi"/>
        </w:rPr>
        <w:t xml:space="preserve">) </w:t>
      </w:r>
      <w:r w:rsidRPr="00C928BC">
        <w:rPr>
          <w:rFonts w:asciiTheme="majorHAnsi" w:hAnsiTheme="majorHAnsi" w:cstheme="majorHAnsi"/>
          <w:i/>
          <w:iCs/>
        </w:rPr>
        <w:t>Police culture</w:t>
      </w:r>
      <w:r w:rsidRPr="00C928BC">
        <w:rPr>
          <w:rFonts w:asciiTheme="majorHAnsi" w:hAnsiTheme="majorHAnsi" w:cstheme="majorHAnsi"/>
        </w:rPr>
        <w:t xml:space="preserve">, </w:t>
      </w:r>
      <w:r w:rsidRPr="00C928BC">
        <w:rPr>
          <w:rFonts w:asciiTheme="majorHAnsi" w:hAnsiTheme="majorHAnsi" w:cstheme="majorHAnsi"/>
          <w:i/>
          <w:iCs/>
        </w:rPr>
        <w:t>Google Books</w:t>
      </w:r>
      <w:r w:rsidRPr="00C928BC">
        <w:rPr>
          <w:rFonts w:asciiTheme="majorHAnsi" w:hAnsiTheme="majorHAnsi" w:cstheme="majorHAnsi"/>
        </w:rPr>
        <w:t xml:space="preserve">. Available at: https://books.google.co.uk/books?hl=en&amp;lr=&amp;id=yyrTDwAAQBAJ&amp;oi=fnd&amp;pg=PR9&amp;dq=police%2Bnegative%2Borganisational%2Bculture%2Buk&amp;ots=4aWrBRdJTW&amp;sig=NrSdHjk4lR4M2UCnvjNi4uU3LiE#v=onepage&amp;q=police%20negative%20organisational%20culture%20uk&amp;f=true (Accessed: 04 September 2023). </w:t>
      </w:r>
    </w:p>
    <w:p w14:paraId="7E569137" w14:textId="77777777" w:rsidR="00A132B9" w:rsidRPr="00C928BC" w:rsidRDefault="00A132B9" w:rsidP="00C928BC">
      <w:pPr>
        <w:rPr>
          <w:rFonts w:asciiTheme="majorHAnsi" w:hAnsiTheme="majorHAnsi" w:cstheme="majorHAnsi"/>
        </w:rPr>
      </w:pPr>
      <w:r w:rsidRPr="00C928BC">
        <w:rPr>
          <w:rFonts w:asciiTheme="majorHAnsi" w:hAnsiTheme="majorHAnsi" w:cstheme="majorHAnsi"/>
        </w:rPr>
        <w:t xml:space="preserve">Bowling, B. and Phillips, C. (2007) ‘Disproportionate and discriminatory: Reviewing the evidence on police stop and Search’, </w:t>
      </w:r>
      <w:r w:rsidRPr="00C928BC">
        <w:rPr>
          <w:rFonts w:asciiTheme="majorHAnsi" w:hAnsiTheme="majorHAnsi" w:cstheme="majorHAnsi"/>
          <w:i/>
        </w:rPr>
        <w:t>Modern Law Review</w:t>
      </w:r>
      <w:r w:rsidRPr="00C928BC">
        <w:rPr>
          <w:rFonts w:asciiTheme="majorHAnsi" w:hAnsiTheme="majorHAnsi" w:cstheme="majorHAnsi"/>
        </w:rPr>
        <w:t>, 70(6), pp. 936–961. doi:10.1111/j.1468-2230.2007.</w:t>
      </w:r>
      <w:proofErr w:type="gramStart"/>
      <w:r w:rsidRPr="00C928BC">
        <w:rPr>
          <w:rFonts w:asciiTheme="majorHAnsi" w:hAnsiTheme="majorHAnsi" w:cstheme="majorHAnsi"/>
        </w:rPr>
        <w:t>00671.x.</w:t>
      </w:r>
      <w:proofErr w:type="gramEnd"/>
      <w:r w:rsidRPr="00C928BC">
        <w:rPr>
          <w:rFonts w:asciiTheme="majorHAnsi" w:hAnsiTheme="majorHAnsi" w:cstheme="majorHAnsi"/>
        </w:rPr>
        <w:t xml:space="preserve"> </w:t>
      </w:r>
    </w:p>
    <w:p w14:paraId="5A0DF6CC" w14:textId="77777777" w:rsidR="00A132B9" w:rsidRDefault="00A132B9" w:rsidP="00A132B9">
      <w:pPr>
        <w:spacing w:line="360" w:lineRule="auto"/>
        <w:rPr>
          <w:rFonts w:asciiTheme="majorHAnsi" w:hAnsiTheme="majorHAnsi" w:cstheme="majorHAnsi"/>
        </w:rPr>
      </w:pPr>
      <w:r w:rsidRPr="00C928BC">
        <w:rPr>
          <w:rFonts w:asciiTheme="majorHAnsi" w:hAnsiTheme="majorHAnsi" w:cstheme="majorHAnsi"/>
          <w:i/>
        </w:rPr>
        <w:t>Burnout</w:t>
      </w:r>
      <w:r w:rsidRPr="00C928BC">
        <w:rPr>
          <w:rFonts w:asciiTheme="majorHAnsi" w:hAnsiTheme="majorHAnsi" w:cstheme="majorHAnsi"/>
        </w:rPr>
        <w:t xml:space="preserve"> (2023) </w:t>
      </w:r>
      <w:r w:rsidRPr="00C928BC">
        <w:rPr>
          <w:rFonts w:asciiTheme="majorHAnsi" w:hAnsiTheme="majorHAnsi" w:cstheme="majorHAnsi"/>
          <w:i/>
        </w:rPr>
        <w:t>Mental Health UK</w:t>
      </w:r>
      <w:r w:rsidRPr="00C928BC">
        <w:rPr>
          <w:rFonts w:asciiTheme="majorHAnsi" w:hAnsiTheme="majorHAnsi" w:cstheme="majorHAnsi"/>
        </w:rPr>
        <w:t xml:space="preserve">. Available at: https://mentalhealth-uk.org/burnout/ (Accessed: 03 September 2023). </w:t>
      </w:r>
    </w:p>
    <w:p w14:paraId="64C1C7D9" w14:textId="77777777" w:rsidR="00A132B9" w:rsidRPr="00C928BC" w:rsidRDefault="00A132B9" w:rsidP="00A132B9">
      <w:pPr>
        <w:spacing w:line="360" w:lineRule="auto"/>
        <w:rPr>
          <w:rFonts w:asciiTheme="majorHAnsi" w:hAnsiTheme="majorHAnsi" w:cstheme="majorHAnsi"/>
        </w:rPr>
      </w:pPr>
      <w:r w:rsidRPr="00C928BC">
        <w:rPr>
          <w:rFonts w:asciiTheme="majorHAnsi" w:eastAsia="Calibri" w:hAnsiTheme="majorHAnsi" w:cstheme="majorHAnsi"/>
          <w:kern w:val="3"/>
          <w14:ligatures w14:val="none"/>
        </w:rPr>
        <w:t xml:space="preserve">Canton, R. and </w:t>
      </w:r>
      <w:proofErr w:type="spellStart"/>
      <w:r w:rsidRPr="00C928BC">
        <w:rPr>
          <w:rFonts w:asciiTheme="majorHAnsi" w:eastAsia="Calibri" w:hAnsiTheme="majorHAnsi" w:cstheme="majorHAnsi"/>
          <w:kern w:val="3"/>
          <w14:ligatures w14:val="none"/>
        </w:rPr>
        <w:t>Dominey</w:t>
      </w:r>
      <w:proofErr w:type="spellEnd"/>
      <w:r w:rsidRPr="00C928BC">
        <w:rPr>
          <w:rFonts w:asciiTheme="majorHAnsi" w:eastAsia="Calibri" w:hAnsiTheme="majorHAnsi" w:cstheme="majorHAnsi"/>
          <w:kern w:val="3"/>
          <w14:ligatures w14:val="none"/>
        </w:rPr>
        <w:t xml:space="preserve">, J. (2017) ‘Probation, risk and public protection’, </w:t>
      </w:r>
      <w:r w:rsidRPr="00C928BC">
        <w:rPr>
          <w:rFonts w:asciiTheme="majorHAnsi" w:eastAsia="Calibri" w:hAnsiTheme="majorHAnsi" w:cstheme="majorHAnsi"/>
          <w:i/>
          <w:kern w:val="3"/>
          <w14:ligatures w14:val="none"/>
        </w:rPr>
        <w:t>Probation</w:t>
      </w:r>
      <w:r w:rsidRPr="00C928BC">
        <w:rPr>
          <w:rFonts w:asciiTheme="majorHAnsi" w:eastAsia="Calibri" w:hAnsiTheme="majorHAnsi" w:cstheme="majorHAnsi"/>
          <w:kern w:val="3"/>
          <w14:ligatures w14:val="none"/>
        </w:rPr>
        <w:t xml:space="preserve">, pp. 149–165. doi:10.4324/9781315407029-10. </w:t>
      </w:r>
    </w:p>
    <w:p w14:paraId="791CC491" w14:textId="77777777" w:rsidR="00A132B9" w:rsidRPr="00C928BC" w:rsidRDefault="00A132B9" w:rsidP="00A132B9">
      <w:pPr>
        <w:pStyle w:val="NormalWeb"/>
        <w:ind w:left="567" w:hanging="567"/>
        <w:rPr>
          <w:rFonts w:asciiTheme="majorHAnsi" w:hAnsiTheme="majorHAnsi" w:cstheme="majorHAnsi"/>
          <w:sz w:val="22"/>
          <w:szCs w:val="22"/>
        </w:rPr>
      </w:pPr>
      <w:r w:rsidRPr="00C928BC">
        <w:rPr>
          <w:rFonts w:asciiTheme="majorHAnsi" w:hAnsiTheme="majorHAnsi" w:cstheme="majorHAnsi"/>
          <w:sz w:val="22"/>
          <w:szCs w:val="22"/>
        </w:rPr>
        <w:t xml:space="preserve">Cockcroft, T. (2012) </w:t>
      </w:r>
      <w:r w:rsidRPr="00C928BC">
        <w:rPr>
          <w:rFonts w:asciiTheme="majorHAnsi" w:hAnsiTheme="majorHAnsi" w:cstheme="majorHAnsi"/>
          <w:i/>
          <w:iCs/>
          <w:sz w:val="22"/>
          <w:szCs w:val="22"/>
        </w:rPr>
        <w:t>Police cultures</w:t>
      </w:r>
      <w:r w:rsidRPr="00C928BC">
        <w:rPr>
          <w:rFonts w:asciiTheme="majorHAnsi" w:hAnsiTheme="majorHAnsi" w:cstheme="majorHAnsi"/>
          <w:sz w:val="22"/>
          <w:szCs w:val="22"/>
        </w:rPr>
        <w:t>. Hoboken: Taylor and Francis.</w:t>
      </w:r>
    </w:p>
    <w:p w14:paraId="5FADEEBA" w14:textId="77777777" w:rsidR="00A132B9" w:rsidRPr="00C928BC" w:rsidRDefault="00A132B9" w:rsidP="00C928BC">
      <w:pPr>
        <w:rPr>
          <w:rFonts w:asciiTheme="majorHAnsi" w:hAnsiTheme="majorHAnsi" w:cstheme="majorHAnsi"/>
        </w:rPr>
      </w:pPr>
      <w:bookmarkStart w:id="2" w:name="_Hlk144734215"/>
      <w:r w:rsidRPr="00C928BC">
        <w:rPr>
          <w:rFonts w:asciiTheme="majorHAnsi" w:hAnsiTheme="majorHAnsi" w:cstheme="majorHAnsi"/>
        </w:rPr>
        <w:lastRenderedPageBreak/>
        <w:t>College Of Policing (2023</w:t>
      </w:r>
      <w:bookmarkEnd w:id="2"/>
      <w:r w:rsidRPr="00C928BC">
        <w:rPr>
          <w:rFonts w:asciiTheme="majorHAnsi" w:hAnsiTheme="majorHAnsi" w:cstheme="majorHAnsi"/>
        </w:rPr>
        <w:t xml:space="preserve">) </w:t>
      </w:r>
      <w:r w:rsidRPr="00C928BC">
        <w:rPr>
          <w:rFonts w:asciiTheme="majorHAnsi" w:hAnsiTheme="majorHAnsi" w:cstheme="majorHAnsi"/>
          <w:i/>
          <w:iCs/>
        </w:rPr>
        <w:t>Quick reference guide: Legal basis</w:t>
      </w:r>
      <w:r w:rsidRPr="00C928BC">
        <w:rPr>
          <w:rFonts w:asciiTheme="majorHAnsi" w:hAnsiTheme="majorHAnsi" w:cstheme="majorHAnsi"/>
        </w:rPr>
        <w:t xml:space="preserve">, </w:t>
      </w:r>
      <w:r w:rsidRPr="00C928BC">
        <w:rPr>
          <w:rFonts w:asciiTheme="majorHAnsi" w:hAnsiTheme="majorHAnsi" w:cstheme="majorHAnsi"/>
          <w:i/>
          <w:iCs/>
        </w:rPr>
        <w:t>College of Policing</w:t>
      </w:r>
      <w:r w:rsidRPr="00C928BC">
        <w:rPr>
          <w:rFonts w:asciiTheme="majorHAnsi" w:hAnsiTheme="majorHAnsi" w:cstheme="majorHAnsi"/>
        </w:rPr>
        <w:t xml:space="preserve">. Available at: https://www.college.police.uk/app/stop-and-search/quick-reference-guides/legal-quick-reference-guides/quick-reference-guide-legal-basis (Accessed: 04 September 2023). </w:t>
      </w:r>
    </w:p>
    <w:p w14:paraId="2EAC3FBF" w14:textId="77777777" w:rsidR="00A132B9" w:rsidRPr="00C928BC" w:rsidRDefault="00A132B9" w:rsidP="00C928BC">
      <w:pPr>
        <w:rPr>
          <w:rFonts w:asciiTheme="majorHAnsi" w:hAnsiTheme="majorHAnsi" w:cstheme="majorHAnsi"/>
        </w:rPr>
      </w:pPr>
      <w:bookmarkStart w:id="3" w:name="_Hlk144734641"/>
      <w:r w:rsidRPr="00C928BC">
        <w:rPr>
          <w:rFonts w:asciiTheme="majorHAnsi" w:hAnsiTheme="majorHAnsi" w:cstheme="majorHAnsi"/>
        </w:rPr>
        <w:t xml:space="preserve">College Of Policing (2023a) </w:t>
      </w:r>
      <w:bookmarkEnd w:id="3"/>
      <w:r w:rsidRPr="00C928BC">
        <w:rPr>
          <w:rFonts w:asciiTheme="majorHAnsi" w:hAnsiTheme="majorHAnsi" w:cstheme="majorHAnsi"/>
          <w:i/>
          <w:iCs/>
        </w:rPr>
        <w:t>Legal basis</w:t>
      </w:r>
      <w:r w:rsidRPr="00C928BC">
        <w:rPr>
          <w:rFonts w:asciiTheme="majorHAnsi" w:hAnsiTheme="majorHAnsi" w:cstheme="majorHAnsi"/>
        </w:rPr>
        <w:t xml:space="preserve">, </w:t>
      </w:r>
      <w:r w:rsidRPr="00C928BC">
        <w:rPr>
          <w:rFonts w:asciiTheme="majorHAnsi" w:hAnsiTheme="majorHAnsi" w:cstheme="majorHAnsi"/>
          <w:i/>
          <w:iCs/>
        </w:rPr>
        <w:t>College of Policing</w:t>
      </w:r>
      <w:r w:rsidRPr="00C928BC">
        <w:rPr>
          <w:rFonts w:asciiTheme="majorHAnsi" w:hAnsiTheme="majorHAnsi" w:cstheme="majorHAnsi"/>
        </w:rPr>
        <w:t xml:space="preserve">. Available at: https://www.college.police.uk/app/stop-and-search/legal/legal-basis#section-1-of-the-police-and-criminal-evidence-act-1984 (Accessed: 04 September 2023). </w:t>
      </w:r>
    </w:p>
    <w:p w14:paraId="211644A0" w14:textId="77777777" w:rsidR="00A132B9" w:rsidRPr="00C928BC" w:rsidRDefault="00A132B9" w:rsidP="00722486">
      <w:pPr>
        <w:spacing w:line="360" w:lineRule="auto"/>
        <w:rPr>
          <w:rFonts w:asciiTheme="majorHAnsi" w:hAnsiTheme="majorHAnsi" w:cstheme="majorHAnsi"/>
        </w:rPr>
      </w:pPr>
      <w:r w:rsidRPr="00C928BC">
        <w:rPr>
          <w:rFonts w:asciiTheme="majorHAnsi" w:hAnsiTheme="majorHAnsi" w:cstheme="majorHAnsi"/>
          <w:i/>
        </w:rPr>
        <w:t>Conflict management skills</w:t>
      </w:r>
      <w:r w:rsidRPr="00C928BC">
        <w:rPr>
          <w:rFonts w:asciiTheme="majorHAnsi" w:hAnsiTheme="majorHAnsi" w:cstheme="majorHAnsi"/>
        </w:rPr>
        <w:t xml:space="preserve"> (2023) </w:t>
      </w:r>
      <w:r w:rsidRPr="00C928BC">
        <w:rPr>
          <w:rFonts w:asciiTheme="majorHAnsi" w:hAnsiTheme="majorHAnsi" w:cstheme="majorHAnsi"/>
          <w:i/>
        </w:rPr>
        <w:t>College of Policing</w:t>
      </w:r>
      <w:r w:rsidRPr="00C928BC">
        <w:rPr>
          <w:rFonts w:asciiTheme="majorHAnsi" w:hAnsiTheme="majorHAnsi" w:cstheme="majorHAnsi"/>
        </w:rPr>
        <w:t xml:space="preserve">. Available at: https://www.college.police.uk/guidance/conflict-management/conflict-management-skills (Accessed: 03 September 2023). </w:t>
      </w:r>
    </w:p>
    <w:p w14:paraId="6E53777A" w14:textId="77777777" w:rsidR="00A132B9" w:rsidRPr="00C928BC" w:rsidRDefault="00A132B9" w:rsidP="00A132B9">
      <w:pPr>
        <w:pStyle w:val="NormalWeb"/>
        <w:rPr>
          <w:rFonts w:asciiTheme="majorHAnsi" w:hAnsiTheme="majorHAnsi" w:cstheme="majorHAnsi"/>
          <w:sz w:val="22"/>
          <w:szCs w:val="22"/>
        </w:rPr>
      </w:pPr>
      <w:bookmarkStart w:id="4" w:name="_Hlk144796283"/>
      <w:r w:rsidRPr="00C928BC">
        <w:rPr>
          <w:rFonts w:asciiTheme="majorHAnsi" w:hAnsiTheme="majorHAnsi" w:cstheme="majorHAnsi"/>
          <w:sz w:val="22"/>
          <w:szCs w:val="22"/>
        </w:rPr>
        <w:t xml:space="preserve">Corsianos, M. (2009) </w:t>
      </w:r>
      <w:bookmarkEnd w:id="4"/>
      <w:r w:rsidRPr="00C928BC">
        <w:rPr>
          <w:rFonts w:asciiTheme="majorHAnsi" w:hAnsiTheme="majorHAnsi" w:cstheme="majorHAnsi"/>
          <w:i/>
          <w:iCs/>
          <w:sz w:val="22"/>
          <w:szCs w:val="22"/>
        </w:rPr>
        <w:t>Policing and Examining the possibilities</w:t>
      </w:r>
      <w:r w:rsidRPr="00C928BC">
        <w:rPr>
          <w:rFonts w:asciiTheme="majorHAnsi" w:hAnsiTheme="majorHAnsi" w:cstheme="majorHAnsi"/>
          <w:sz w:val="22"/>
          <w:szCs w:val="22"/>
        </w:rPr>
        <w:t xml:space="preserve">, </w:t>
      </w:r>
      <w:r w:rsidRPr="00C928BC">
        <w:rPr>
          <w:rFonts w:asciiTheme="majorHAnsi" w:hAnsiTheme="majorHAnsi" w:cstheme="majorHAnsi"/>
          <w:i/>
          <w:iCs/>
          <w:sz w:val="22"/>
          <w:szCs w:val="22"/>
        </w:rPr>
        <w:t>Google Books</w:t>
      </w:r>
      <w:r w:rsidRPr="00C928BC">
        <w:rPr>
          <w:rFonts w:asciiTheme="majorHAnsi" w:hAnsiTheme="majorHAnsi" w:cstheme="majorHAnsi"/>
          <w:sz w:val="22"/>
          <w:szCs w:val="22"/>
        </w:rPr>
        <w:t xml:space="preserve">. Available at: https://www.google.co.uk/books/edition/Policing_and_Gendered_Justice/ab4YN0w_R8YC?hl=en&amp;gbpv=1&amp;dq=police%2Boccupational%2Bculture%2Bus%2Bvs%2Bthem&amp;pg=PA95&amp;printsec=frontcover (Accessed: 05 September 2023). </w:t>
      </w:r>
    </w:p>
    <w:p w14:paraId="131B7CDB" w14:textId="77777777" w:rsidR="00A132B9" w:rsidRPr="00BA1173" w:rsidRDefault="00A132B9" w:rsidP="00BA1173">
      <w:pPr>
        <w:spacing w:line="360" w:lineRule="auto"/>
        <w:rPr>
          <w:rFonts w:asciiTheme="majorHAnsi" w:hAnsiTheme="majorHAnsi" w:cstheme="majorHAnsi"/>
          <w:kern w:val="0"/>
          <w14:ligatures w14:val="none"/>
        </w:rPr>
      </w:pPr>
      <w:proofErr w:type="gramStart"/>
      <w:r w:rsidRPr="00BA1173">
        <w:rPr>
          <w:rFonts w:asciiTheme="majorHAnsi" w:hAnsiTheme="majorHAnsi" w:cstheme="majorHAnsi"/>
          <w:kern w:val="0"/>
          <w14:ligatures w14:val="none"/>
        </w:rPr>
        <w:t>Cozens ,</w:t>
      </w:r>
      <w:proofErr w:type="gramEnd"/>
      <w:r w:rsidRPr="00BA1173">
        <w:rPr>
          <w:rFonts w:asciiTheme="majorHAnsi" w:hAnsiTheme="majorHAnsi" w:cstheme="majorHAnsi"/>
          <w:kern w:val="0"/>
          <w14:ligatures w14:val="none"/>
        </w:rPr>
        <w:t xml:space="preserve"> P. and Love , T. (2017) ‘Crime prevention through environmental design (CPTED)’, </w:t>
      </w:r>
      <w:r w:rsidRPr="00BA1173">
        <w:rPr>
          <w:rFonts w:asciiTheme="majorHAnsi" w:hAnsiTheme="majorHAnsi" w:cstheme="majorHAnsi"/>
          <w:i/>
          <w:kern w:val="0"/>
          <w14:ligatures w14:val="none"/>
        </w:rPr>
        <w:t>Crime Prevention</w:t>
      </w:r>
      <w:r w:rsidRPr="00BA1173">
        <w:rPr>
          <w:rFonts w:asciiTheme="majorHAnsi" w:hAnsiTheme="majorHAnsi" w:cstheme="majorHAnsi"/>
          <w:kern w:val="0"/>
          <w14:ligatures w14:val="none"/>
        </w:rPr>
        <w:t xml:space="preserve">, pp. 431–458. doi:10.1201/9781315314211-24. </w:t>
      </w:r>
    </w:p>
    <w:p w14:paraId="2091A903" w14:textId="77777777" w:rsidR="00A132B9" w:rsidRPr="00BA1173" w:rsidRDefault="00A132B9" w:rsidP="00BA1173">
      <w:pPr>
        <w:spacing w:line="360" w:lineRule="auto"/>
        <w:rPr>
          <w:rFonts w:asciiTheme="majorHAnsi" w:hAnsiTheme="majorHAnsi" w:cstheme="majorHAnsi"/>
          <w:kern w:val="0"/>
          <w14:ligatures w14:val="none"/>
        </w:rPr>
      </w:pPr>
      <w:r w:rsidRPr="00BA1173">
        <w:rPr>
          <w:rFonts w:asciiTheme="majorHAnsi" w:hAnsiTheme="majorHAnsi" w:cstheme="majorHAnsi"/>
          <w:kern w:val="0"/>
          <w14:ligatures w14:val="none"/>
        </w:rPr>
        <w:t xml:space="preserve">Cozens, P. and Love, T. (2014) ‘The dark side of crime prevention through Environmental Design (CPTED)’, </w:t>
      </w:r>
      <w:r w:rsidRPr="00BA1173">
        <w:rPr>
          <w:rFonts w:asciiTheme="majorHAnsi" w:hAnsiTheme="majorHAnsi" w:cstheme="majorHAnsi"/>
          <w:i/>
          <w:kern w:val="0"/>
          <w14:ligatures w14:val="none"/>
        </w:rPr>
        <w:t xml:space="preserve">Oxford Research </w:t>
      </w:r>
      <w:proofErr w:type="spellStart"/>
      <w:r w:rsidRPr="00BA1173">
        <w:rPr>
          <w:rFonts w:asciiTheme="majorHAnsi" w:hAnsiTheme="majorHAnsi" w:cstheme="majorHAnsi"/>
          <w:i/>
          <w:kern w:val="0"/>
          <w14:ligatures w14:val="none"/>
        </w:rPr>
        <w:t>Encyclopedia</w:t>
      </w:r>
      <w:proofErr w:type="spellEnd"/>
      <w:r w:rsidRPr="00BA1173">
        <w:rPr>
          <w:rFonts w:asciiTheme="majorHAnsi" w:hAnsiTheme="majorHAnsi" w:cstheme="majorHAnsi"/>
          <w:i/>
          <w:kern w:val="0"/>
          <w14:ligatures w14:val="none"/>
        </w:rPr>
        <w:t xml:space="preserve"> of Criminology and Criminal Justice</w:t>
      </w:r>
      <w:r w:rsidRPr="00BA1173">
        <w:rPr>
          <w:rFonts w:asciiTheme="majorHAnsi" w:hAnsiTheme="majorHAnsi" w:cstheme="majorHAnsi"/>
          <w:kern w:val="0"/>
          <w14:ligatures w14:val="none"/>
        </w:rPr>
        <w:t xml:space="preserve"> [Preprint]. doi:10.1093/</w:t>
      </w:r>
      <w:proofErr w:type="spellStart"/>
      <w:r w:rsidRPr="00BA1173">
        <w:rPr>
          <w:rFonts w:asciiTheme="majorHAnsi" w:hAnsiTheme="majorHAnsi" w:cstheme="majorHAnsi"/>
          <w:kern w:val="0"/>
          <w14:ligatures w14:val="none"/>
        </w:rPr>
        <w:t>acrefore</w:t>
      </w:r>
      <w:proofErr w:type="spellEnd"/>
      <w:r w:rsidRPr="00BA1173">
        <w:rPr>
          <w:rFonts w:asciiTheme="majorHAnsi" w:hAnsiTheme="majorHAnsi" w:cstheme="majorHAnsi"/>
          <w:kern w:val="0"/>
          <w14:ligatures w14:val="none"/>
        </w:rPr>
        <w:t xml:space="preserve">/9780190264079.013.2. </w:t>
      </w:r>
    </w:p>
    <w:p w14:paraId="0F0DAE8F" w14:textId="77777777" w:rsidR="00A132B9" w:rsidRPr="00BA1173" w:rsidRDefault="00A132B9" w:rsidP="00BA1173">
      <w:pPr>
        <w:spacing w:line="360" w:lineRule="auto"/>
        <w:rPr>
          <w:rFonts w:asciiTheme="majorHAnsi" w:hAnsiTheme="majorHAnsi" w:cstheme="majorHAnsi"/>
          <w:kern w:val="0"/>
          <w14:ligatures w14:val="none"/>
        </w:rPr>
      </w:pPr>
      <w:r w:rsidRPr="00BA1173">
        <w:rPr>
          <w:rFonts w:asciiTheme="majorHAnsi" w:hAnsiTheme="majorHAnsi" w:cstheme="majorHAnsi"/>
          <w:kern w:val="0"/>
          <w14:ligatures w14:val="none"/>
        </w:rPr>
        <w:t xml:space="preserve">Cozens, P. and Love, T. (2017) ‘The dark side of crime prevention through Environmental Design (CPTED)’, </w:t>
      </w:r>
      <w:r w:rsidRPr="00BA1173">
        <w:rPr>
          <w:rFonts w:asciiTheme="majorHAnsi" w:hAnsiTheme="majorHAnsi" w:cstheme="majorHAnsi"/>
          <w:i/>
          <w:kern w:val="0"/>
          <w14:ligatures w14:val="none"/>
        </w:rPr>
        <w:t xml:space="preserve">Oxford Research </w:t>
      </w:r>
      <w:proofErr w:type="spellStart"/>
      <w:r w:rsidRPr="00BA1173">
        <w:rPr>
          <w:rFonts w:asciiTheme="majorHAnsi" w:hAnsiTheme="majorHAnsi" w:cstheme="majorHAnsi"/>
          <w:i/>
          <w:kern w:val="0"/>
          <w14:ligatures w14:val="none"/>
        </w:rPr>
        <w:t>Encyclopedia</w:t>
      </w:r>
      <w:proofErr w:type="spellEnd"/>
      <w:r w:rsidRPr="00BA1173">
        <w:rPr>
          <w:rFonts w:asciiTheme="majorHAnsi" w:hAnsiTheme="majorHAnsi" w:cstheme="majorHAnsi"/>
          <w:i/>
          <w:kern w:val="0"/>
          <w14:ligatures w14:val="none"/>
        </w:rPr>
        <w:t xml:space="preserve"> of Criminology and Criminal Justice</w:t>
      </w:r>
      <w:r w:rsidRPr="00BA1173">
        <w:rPr>
          <w:rFonts w:asciiTheme="majorHAnsi" w:hAnsiTheme="majorHAnsi" w:cstheme="majorHAnsi"/>
          <w:kern w:val="0"/>
          <w14:ligatures w14:val="none"/>
        </w:rPr>
        <w:t xml:space="preserve"> [Preprint]. doi:10.1093/</w:t>
      </w:r>
      <w:proofErr w:type="spellStart"/>
      <w:r w:rsidRPr="00BA1173">
        <w:rPr>
          <w:rFonts w:asciiTheme="majorHAnsi" w:hAnsiTheme="majorHAnsi" w:cstheme="majorHAnsi"/>
          <w:kern w:val="0"/>
          <w14:ligatures w14:val="none"/>
        </w:rPr>
        <w:t>acrefore</w:t>
      </w:r>
      <w:proofErr w:type="spellEnd"/>
      <w:r w:rsidRPr="00BA1173">
        <w:rPr>
          <w:rFonts w:asciiTheme="majorHAnsi" w:hAnsiTheme="majorHAnsi" w:cstheme="majorHAnsi"/>
          <w:kern w:val="0"/>
          <w14:ligatures w14:val="none"/>
        </w:rPr>
        <w:t xml:space="preserve">/9780190264079.013.2. </w:t>
      </w:r>
    </w:p>
    <w:p w14:paraId="1AEE6EF4" w14:textId="77777777" w:rsidR="00A132B9" w:rsidRPr="00BA1173" w:rsidRDefault="00A132B9" w:rsidP="00BA1173">
      <w:pPr>
        <w:spacing w:line="360" w:lineRule="auto"/>
        <w:rPr>
          <w:rFonts w:asciiTheme="majorHAnsi" w:hAnsiTheme="majorHAnsi" w:cstheme="majorHAnsi"/>
          <w:kern w:val="0"/>
          <w14:ligatures w14:val="none"/>
        </w:rPr>
      </w:pPr>
      <w:r w:rsidRPr="00BA1173">
        <w:rPr>
          <w:rFonts w:asciiTheme="majorHAnsi" w:hAnsiTheme="majorHAnsi" w:cstheme="majorHAnsi"/>
          <w:i/>
          <w:kern w:val="0"/>
          <w14:ligatures w14:val="none"/>
        </w:rPr>
        <w:t>Crime prevention through environmental design</w:t>
      </w:r>
      <w:r w:rsidRPr="00BA1173">
        <w:rPr>
          <w:rFonts w:asciiTheme="majorHAnsi" w:hAnsiTheme="majorHAnsi" w:cstheme="majorHAnsi"/>
          <w:kern w:val="0"/>
          <w14:ligatures w14:val="none"/>
        </w:rPr>
        <w:t xml:space="preserve"> (no date) </w:t>
      </w:r>
      <w:r w:rsidRPr="00BA1173">
        <w:rPr>
          <w:rFonts w:asciiTheme="majorHAnsi" w:hAnsiTheme="majorHAnsi" w:cstheme="majorHAnsi"/>
          <w:i/>
          <w:kern w:val="0"/>
          <w14:ligatures w14:val="none"/>
        </w:rPr>
        <w:t>College of Policing</w:t>
      </w:r>
      <w:r w:rsidRPr="00BA1173">
        <w:rPr>
          <w:rFonts w:asciiTheme="majorHAnsi" w:hAnsiTheme="majorHAnsi" w:cstheme="majorHAnsi"/>
          <w:kern w:val="0"/>
          <w14:ligatures w14:val="none"/>
        </w:rPr>
        <w:t xml:space="preserve">. Available at: https://www.college.police.uk/research/crime-reduction-toolkit/environmental-design (Accessed: 03 September 2023). </w:t>
      </w:r>
    </w:p>
    <w:p w14:paraId="482359A9" w14:textId="77777777" w:rsidR="00A132B9" w:rsidRPr="00BA1173" w:rsidRDefault="00A132B9" w:rsidP="00BA1173">
      <w:pPr>
        <w:spacing w:line="360" w:lineRule="auto"/>
        <w:rPr>
          <w:rFonts w:asciiTheme="majorHAnsi" w:hAnsiTheme="majorHAnsi" w:cstheme="majorHAnsi"/>
          <w:kern w:val="0"/>
          <w14:ligatures w14:val="none"/>
        </w:rPr>
      </w:pPr>
      <w:proofErr w:type="gramStart"/>
      <w:r w:rsidRPr="00BA1173">
        <w:rPr>
          <w:rFonts w:asciiTheme="majorHAnsi" w:hAnsiTheme="majorHAnsi" w:cstheme="majorHAnsi"/>
          <w:kern w:val="0"/>
          <w14:ligatures w14:val="none"/>
        </w:rPr>
        <w:t>Crowe ,</w:t>
      </w:r>
      <w:proofErr w:type="gramEnd"/>
      <w:r w:rsidRPr="00BA1173">
        <w:rPr>
          <w:rFonts w:asciiTheme="majorHAnsi" w:hAnsiTheme="majorHAnsi" w:cstheme="majorHAnsi"/>
          <w:kern w:val="0"/>
          <w14:ligatures w14:val="none"/>
        </w:rPr>
        <w:t xml:space="preserve"> T. and Fennelly , L. (2013) </w:t>
      </w:r>
      <w:r w:rsidRPr="00BA1173">
        <w:rPr>
          <w:rFonts w:asciiTheme="majorHAnsi" w:hAnsiTheme="majorHAnsi" w:cstheme="majorHAnsi"/>
          <w:i/>
          <w:kern w:val="0"/>
          <w14:ligatures w14:val="none"/>
        </w:rPr>
        <w:t>Crime Prevention Through Environmental Design</w:t>
      </w:r>
      <w:r w:rsidRPr="00BA1173">
        <w:rPr>
          <w:rFonts w:asciiTheme="majorHAnsi" w:hAnsiTheme="majorHAnsi" w:cstheme="majorHAnsi"/>
          <w:kern w:val="0"/>
          <w14:ligatures w14:val="none"/>
        </w:rPr>
        <w:t xml:space="preserve">. Third. </w:t>
      </w:r>
    </w:p>
    <w:p w14:paraId="0F338C21" w14:textId="77777777" w:rsidR="00A132B9" w:rsidRPr="00C928BC" w:rsidRDefault="00A132B9" w:rsidP="00722486">
      <w:pPr>
        <w:spacing w:line="360" w:lineRule="auto"/>
        <w:rPr>
          <w:rFonts w:asciiTheme="majorHAnsi" w:hAnsiTheme="majorHAnsi" w:cstheme="majorHAnsi"/>
        </w:rPr>
      </w:pPr>
      <w:r w:rsidRPr="00C928BC">
        <w:rPr>
          <w:rFonts w:asciiTheme="majorHAnsi" w:hAnsiTheme="majorHAnsi" w:cstheme="majorHAnsi"/>
        </w:rPr>
        <w:t xml:space="preserve">Evans, R., </w:t>
      </w:r>
      <w:proofErr w:type="spellStart"/>
      <w:r w:rsidRPr="00C928BC">
        <w:rPr>
          <w:rFonts w:asciiTheme="majorHAnsi" w:hAnsiTheme="majorHAnsi" w:cstheme="majorHAnsi"/>
        </w:rPr>
        <w:t>Pistrang</w:t>
      </w:r>
      <w:proofErr w:type="spellEnd"/>
      <w:r w:rsidRPr="00C928BC">
        <w:rPr>
          <w:rFonts w:asciiTheme="majorHAnsi" w:hAnsiTheme="majorHAnsi" w:cstheme="majorHAnsi"/>
        </w:rPr>
        <w:t xml:space="preserve">, N. and Billings, J. (2013) ‘Police officers’ experiences of supportive and unsupportive social interactions following traumatic incidents’, </w:t>
      </w:r>
      <w:r w:rsidRPr="00C928BC">
        <w:rPr>
          <w:rFonts w:asciiTheme="majorHAnsi" w:hAnsiTheme="majorHAnsi" w:cstheme="majorHAnsi"/>
          <w:i/>
        </w:rPr>
        <w:t xml:space="preserve">European Journal of </w:t>
      </w:r>
      <w:proofErr w:type="spellStart"/>
      <w:r w:rsidRPr="00C928BC">
        <w:rPr>
          <w:rFonts w:asciiTheme="majorHAnsi" w:hAnsiTheme="majorHAnsi" w:cstheme="majorHAnsi"/>
          <w:i/>
        </w:rPr>
        <w:t>Psychotraumatology</w:t>
      </w:r>
      <w:proofErr w:type="spellEnd"/>
      <w:r w:rsidRPr="00C928BC">
        <w:rPr>
          <w:rFonts w:asciiTheme="majorHAnsi" w:hAnsiTheme="majorHAnsi" w:cstheme="majorHAnsi"/>
        </w:rPr>
        <w:t>, 4(1). doi:10.3402/</w:t>
      </w:r>
      <w:proofErr w:type="gramStart"/>
      <w:r w:rsidRPr="00C928BC">
        <w:rPr>
          <w:rFonts w:asciiTheme="majorHAnsi" w:hAnsiTheme="majorHAnsi" w:cstheme="majorHAnsi"/>
        </w:rPr>
        <w:t>ejpt.v</w:t>
      </w:r>
      <w:proofErr w:type="gramEnd"/>
      <w:r w:rsidRPr="00C928BC">
        <w:rPr>
          <w:rFonts w:asciiTheme="majorHAnsi" w:hAnsiTheme="majorHAnsi" w:cstheme="majorHAnsi"/>
        </w:rPr>
        <w:t xml:space="preserve">4i0.19696. </w:t>
      </w:r>
    </w:p>
    <w:p w14:paraId="47937866" w14:textId="77777777" w:rsidR="00A132B9" w:rsidRPr="00BA1173" w:rsidRDefault="00A132B9" w:rsidP="00BA1173">
      <w:pPr>
        <w:spacing w:line="360" w:lineRule="auto"/>
        <w:rPr>
          <w:rFonts w:asciiTheme="majorHAnsi" w:hAnsiTheme="majorHAnsi" w:cstheme="majorHAnsi"/>
          <w:kern w:val="0"/>
          <w14:ligatures w14:val="none"/>
        </w:rPr>
      </w:pPr>
      <w:r w:rsidRPr="00BA1173">
        <w:rPr>
          <w:rFonts w:asciiTheme="majorHAnsi" w:hAnsiTheme="majorHAnsi" w:cstheme="majorHAnsi"/>
          <w:kern w:val="0"/>
          <w14:ligatures w14:val="none"/>
        </w:rPr>
        <w:t xml:space="preserve">FAWAZ, M., HARB, M. and GHARBIEH, A. (2012) ‘Living Beirut’s security zones: An investigation of the modalities and practice of Urban security’, </w:t>
      </w:r>
      <w:r w:rsidRPr="00BA1173">
        <w:rPr>
          <w:rFonts w:asciiTheme="majorHAnsi" w:hAnsiTheme="majorHAnsi" w:cstheme="majorHAnsi"/>
          <w:i/>
          <w:kern w:val="0"/>
          <w14:ligatures w14:val="none"/>
        </w:rPr>
        <w:t>City &amp;amp; Society</w:t>
      </w:r>
      <w:r w:rsidRPr="00BA1173">
        <w:rPr>
          <w:rFonts w:asciiTheme="majorHAnsi" w:hAnsiTheme="majorHAnsi" w:cstheme="majorHAnsi"/>
          <w:kern w:val="0"/>
          <w14:ligatures w14:val="none"/>
        </w:rPr>
        <w:t>, 24(2), pp. 173–195. doi:10.1111/j.1548-744x.2012.</w:t>
      </w:r>
      <w:proofErr w:type="gramStart"/>
      <w:r w:rsidRPr="00BA1173">
        <w:rPr>
          <w:rFonts w:asciiTheme="majorHAnsi" w:hAnsiTheme="majorHAnsi" w:cstheme="majorHAnsi"/>
          <w:kern w:val="0"/>
          <w14:ligatures w14:val="none"/>
        </w:rPr>
        <w:t>01074.x.</w:t>
      </w:r>
      <w:proofErr w:type="gramEnd"/>
      <w:r w:rsidRPr="00BA1173">
        <w:rPr>
          <w:rFonts w:asciiTheme="majorHAnsi" w:hAnsiTheme="majorHAnsi" w:cstheme="majorHAnsi"/>
          <w:kern w:val="0"/>
          <w14:ligatures w14:val="none"/>
        </w:rPr>
        <w:t xml:space="preserve"> </w:t>
      </w:r>
    </w:p>
    <w:p w14:paraId="7F7EB38C" w14:textId="77777777" w:rsidR="00A132B9" w:rsidRPr="00C928BC" w:rsidRDefault="00A132B9" w:rsidP="00722486">
      <w:pPr>
        <w:spacing w:line="360" w:lineRule="auto"/>
        <w:rPr>
          <w:rFonts w:asciiTheme="majorHAnsi" w:hAnsiTheme="majorHAnsi" w:cstheme="majorHAnsi"/>
        </w:rPr>
      </w:pPr>
      <w:r w:rsidRPr="00C928BC">
        <w:rPr>
          <w:rFonts w:asciiTheme="majorHAnsi" w:hAnsiTheme="majorHAnsi" w:cstheme="majorHAnsi"/>
        </w:rPr>
        <w:lastRenderedPageBreak/>
        <w:t xml:space="preserve">Foley, J. and Massey, K.L. (2020) ‘The “cost” of caring in policing: From burnout to PTSD in police officers in England and Wales’, </w:t>
      </w:r>
      <w:r w:rsidRPr="00C928BC">
        <w:rPr>
          <w:rFonts w:asciiTheme="majorHAnsi" w:hAnsiTheme="majorHAnsi" w:cstheme="majorHAnsi"/>
          <w:i/>
        </w:rPr>
        <w:t>The Police Journal: Theory, Practice and Principles</w:t>
      </w:r>
      <w:r w:rsidRPr="00C928BC">
        <w:rPr>
          <w:rFonts w:asciiTheme="majorHAnsi" w:hAnsiTheme="majorHAnsi" w:cstheme="majorHAnsi"/>
        </w:rPr>
        <w:t xml:space="preserve">, 94(3), pp. 298–315. doi:10.1177/0032258x20917442. </w:t>
      </w:r>
    </w:p>
    <w:p w14:paraId="3ABB018A" w14:textId="77777777" w:rsidR="00A132B9" w:rsidRPr="00C928BC" w:rsidRDefault="00A132B9" w:rsidP="00722486">
      <w:pPr>
        <w:spacing w:line="360" w:lineRule="auto"/>
        <w:rPr>
          <w:rFonts w:asciiTheme="majorHAnsi" w:hAnsiTheme="majorHAnsi" w:cstheme="majorHAnsi"/>
        </w:rPr>
      </w:pPr>
      <w:bookmarkStart w:id="5" w:name="_Hlk144651970"/>
      <w:r w:rsidRPr="00C928BC">
        <w:rPr>
          <w:rFonts w:asciiTheme="majorHAnsi" w:hAnsiTheme="majorHAnsi" w:cstheme="majorHAnsi"/>
        </w:rPr>
        <w:t xml:space="preserve">Foley, J., </w:t>
      </w:r>
      <w:proofErr w:type="spellStart"/>
      <w:r w:rsidRPr="00C928BC">
        <w:rPr>
          <w:rFonts w:asciiTheme="majorHAnsi" w:hAnsiTheme="majorHAnsi" w:cstheme="majorHAnsi"/>
        </w:rPr>
        <w:t>Hassett</w:t>
      </w:r>
      <w:proofErr w:type="spellEnd"/>
      <w:r w:rsidRPr="00C928BC">
        <w:rPr>
          <w:rFonts w:asciiTheme="majorHAnsi" w:hAnsiTheme="majorHAnsi" w:cstheme="majorHAnsi"/>
        </w:rPr>
        <w:t xml:space="preserve">, A. and Williams, E. (2021) </w:t>
      </w:r>
      <w:bookmarkEnd w:id="5"/>
      <w:r w:rsidRPr="00C928BC">
        <w:rPr>
          <w:rFonts w:asciiTheme="majorHAnsi" w:hAnsiTheme="majorHAnsi" w:cstheme="majorHAnsi"/>
        </w:rPr>
        <w:t xml:space="preserve">‘“getting on with the job”: A systematised literature review of secondary trauma and post-traumatic stress disorder (PTSD) in policing within the United Kingdom (UK)’, </w:t>
      </w:r>
      <w:r w:rsidRPr="00C928BC">
        <w:rPr>
          <w:rFonts w:asciiTheme="majorHAnsi" w:hAnsiTheme="majorHAnsi" w:cstheme="majorHAnsi"/>
          <w:i/>
          <w:iCs/>
        </w:rPr>
        <w:t>The Police Journal: Theory, Practice and Principles</w:t>
      </w:r>
      <w:r w:rsidRPr="00C928BC">
        <w:rPr>
          <w:rFonts w:asciiTheme="majorHAnsi" w:hAnsiTheme="majorHAnsi" w:cstheme="majorHAnsi"/>
        </w:rPr>
        <w:t xml:space="preserve">, 95(1), pp. 224–252. doi:10.1177/0032258x21990412. </w:t>
      </w:r>
    </w:p>
    <w:p w14:paraId="3336D264" w14:textId="77777777" w:rsidR="00A132B9" w:rsidRPr="00C928BC" w:rsidRDefault="00A132B9" w:rsidP="00A132B9">
      <w:pPr>
        <w:pStyle w:val="NormalWeb"/>
        <w:rPr>
          <w:rFonts w:asciiTheme="majorHAnsi" w:hAnsiTheme="majorHAnsi" w:cstheme="majorHAnsi"/>
          <w:sz w:val="22"/>
          <w:szCs w:val="22"/>
        </w:rPr>
      </w:pPr>
      <w:bookmarkStart w:id="6" w:name="_Hlk144762839"/>
      <w:r w:rsidRPr="00C928BC">
        <w:rPr>
          <w:rFonts w:asciiTheme="majorHAnsi" w:hAnsiTheme="majorHAnsi" w:cstheme="majorHAnsi"/>
          <w:sz w:val="22"/>
          <w:szCs w:val="22"/>
        </w:rPr>
        <w:t>Gillard, A. (2014</w:t>
      </w:r>
      <w:bookmarkEnd w:id="6"/>
      <w:r w:rsidRPr="00C928BC">
        <w:rPr>
          <w:rFonts w:asciiTheme="majorHAnsi" w:hAnsiTheme="majorHAnsi" w:cstheme="majorHAnsi"/>
          <w:sz w:val="22"/>
          <w:szCs w:val="22"/>
        </w:rPr>
        <w:t xml:space="preserve">) </w:t>
      </w:r>
      <w:r w:rsidRPr="00C928BC">
        <w:rPr>
          <w:rFonts w:asciiTheme="majorHAnsi" w:hAnsiTheme="majorHAnsi" w:cstheme="majorHAnsi"/>
          <w:i/>
          <w:iCs/>
          <w:sz w:val="22"/>
          <w:szCs w:val="22"/>
        </w:rPr>
        <w:t>Sexual harassment</w:t>
      </w:r>
      <w:r w:rsidRPr="00C928BC">
        <w:rPr>
          <w:rFonts w:asciiTheme="majorHAnsi" w:hAnsiTheme="majorHAnsi" w:cstheme="majorHAnsi"/>
          <w:sz w:val="22"/>
          <w:szCs w:val="22"/>
        </w:rPr>
        <w:t xml:space="preserve">, </w:t>
      </w:r>
      <w:r w:rsidRPr="00C928BC">
        <w:rPr>
          <w:rFonts w:asciiTheme="majorHAnsi" w:hAnsiTheme="majorHAnsi" w:cstheme="majorHAnsi"/>
          <w:i/>
          <w:iCs/>
          <w:sz w:val="22"/>
          <w:szCs w:val="22"/>
        </w:rPr>
        <w:t>Google Books</w:t>
      </w:r>
      <w:r w:rsidRPr="00C928BC">
        <w:rPr>
          <w:rFonts w:asciiTheme="majorHAnsi" w:hAnsiTheme="majorHAnsi" w:cstheme="majorHAnsi"/>
          <w:sz w:val="22"/>
          <w:szCs w:val="22"/>
        </w:rPr>
        <w:t xml:space="preserve">. Available at: https://www.google.co.uk/books/edition/Sexual_Harassment/GIZmDwAAQBAJ?hl=en&amp;gbpv=1&amp;dq=sexual%2Bharassment&amp;printsec=frontcover (Accessed: 04 September 2023). </w:t>
      </w:r>
    </w:p>
    <w:p w14:paraId="59321633" w14:textId="77777777" w:rsidR="00A132B9" w:rsidRPr="00BA1173" w:rsidRDefault="00A132B9" w:rsidP="00BA1173">
      <w:pPr>
        <w:spacing w:line="360" w:lineRule="auto"/>
        <w:rPr>
          <w:rFonts w:asciiTheme="majorHAnsi" w:hAnsiTheme="majorHAnsi" w:cstheme="majorHAnsi"/>
          <w:kern w:val="0"/>
          <w14:ligatures w14:val="none"/>
        </w:rPr>
      </w:pPr>
      <w:r w:rsidRPr="00BA1173">
        <w:rPr>
          <w:rFonts w:asciiTheme="majorHAnsi" w:hAnsiTheme="majorHAnsi" w:cstheme="majorHAnsi"/>
          <w:kern w:val="0"/>
          <w14:ligatures w14:val="none"/>
        </w:rPr>
        <w:t xml:space="preserve">Gomez-Torres, A. (2019) ‘Temporary appropriation and public space: Assessing the CPTED principle of activity support’, </w:t>
      </w:r>
      <w:r w:rsidRPr="00BA1173">
        <w:rPr>
          <w:rFonts w:asciiTheme="majorHAnsi" w:hAnsiTheme="majorHAnsi" w:cstheme="majorHAnsi"/>
          <w:i/>
          <w:kern w:val="0"/>
          <w14:ligatures w14:val="none"/>
        </w:rPr>
        <w:t>Temporary Appropriation in Cities</w:t>
      </w:r>
      <w:r w:rsidRPr="00BA1173">
        <w:rPr>
          <w:rFonts w:asciiTheme="majorHAnsi" w:hAnsiTheme="majorHAnsi" w:cstheme="majorHAnsi"/>
          <w:kern w:val="0"/>
          <w14:ligatures w14:val="none"/>
        </w:rPr>
        <w:t xml:space="preserve">, pp. 95–116. doi:10.1007/978-3-030-32120-8_6. </w:t>
      </w:r>
    </w:p>
    <w:p w14:paraId="718A947E" w14:textId="77777777" w:rsidR="00A132B9" w:rsidRPr="00BA1173" w:rsidRDefault="00A132B9" w:rsidP="00BA1173">
      <w:pPr>
        <w:spacing w:line="360" w:lineRule="auto"/>
        <w:rPr>
          <w:rFonts w:asciiTheme="majorHAnsi" w:hAnsiTheme="majorHAnsi" w:cstheme="majorHAnsi"/>
          <w:kern w:val="0"/>
          <w14:ligatures w14:val="none"/>
        </w:rPr>
      </w:pPr>
      <w:r w:rsidRPr="00BA1173">
        <w:rPr>
          <w:rFonts w:asciiTheme="majorHAnsi" w:hAnsiTheme="majorHAnsi" w:cstheme="majorHAnsi"/>
          <w:kern w:val="0"/>
          <w14:ligatures w14:val="none"/>
        </w:rPr>
        <w:t xml:space="preserve">Gov.uk (2021) </w:t>
      </w:r>
      <w:r w:rsidRPr="00BA1173">
        <w:rPr>
          <w:rFonts w:asciiTheme="majorHAnsi" w:hAnsiTheme="majorHAnsi" w:cstheme="majorHAnsi"/>
          <w:i/>
          <w:kern w:val="0"/>
          <w14:ligatures w14:val="none"/>
        </w:rPr>
        <w:t>Surveillance camera code of practice - gov.uk</w:t>
      </w:r>
      <w:r w:rsidRPr="00BA1173">
        <w:rPr>
          <w:rFonts w:asciiTheme="majorHAnsi" w:hAnsiTheme="majorHAnsi" w:cstheme="majorHAnsi"/>
          <w:kern w:val="0"/>
          <w14:ligatures w14:val="none"/>
        </w:rPr>
        <w:t xml:space="preserve">. Available at: https://assets.publishing.service.gov.uk/government/uploads/system/uploads/attachment_data/file/1035067/Surveillance_Camera_CoP_Accessible_PDF.pdf (Accessed: 03 September 2023). </w:t>
      </w:r>
    </w:p>
    <w:p w14:paraId="6C6F8A2D" w14:textId="77777777" w:rsidR="00A132B9" w:rsidRPr="00C928BC" w:rsidRDefault="00A132B9" w:rsidP="00C928BC">
      <w:pPr>
        <w:suppressAutoHyphens/>
        <w:autoSpaceDN w:val="0"/>
        <w:spacing w:line="360" w:lineRule="auto"/>
        <w:rPr>
          <w:rFonts w:asciiTheme="majorHAnsi" w:eastAsia="Calibri" w:hAnsiTheme="majorHAnsi" w:cstheme="majorHAnsi"/>
          <w:kern w:val="3"/>
          <w14:ligatures w14:val="none"/>
        </w:rPr>
      </w:pPr>
      <w:r w:rsidRPr="00C928BC">
        <w:rPr>
          <w:rFonts w:asciiTheme="majorHAnsi" w:eastAsia="Calibri" w:hAnsiTheme="majorHAnsi" w:cstheme="majorHAnsi"/>
          <w:kern w:val="3"/>
          <w14:ligatures w14:val="none"/>
        </w:rPr>
        <w:t xml:space="preserve">Harrison, K. (2013) </w:t>
      </w:r>
      <w:r w:rsidRPr="00C928BC">
        <w:rPr>
          <w:rFonts w:asciiTheme="majorHAnsi" w:eastAsia="Calibri" w:hAnsiTheme="majorHAnsi" w:cstheme="majorHAnsi"/>
          <w:i/>
          <w:kern w:val="3"/>
          <w14:ligatures w14:val="none"/>
        </w:rPr>
        <w:t>Managing high-risk sex offenders in the community: Risk Management, treatment and social responsibility</w:t>
      </w:r>
      <w:r w:rsidRPr="00C928BC">
        <w:rPr>
          <w:rFonts w:asciiTheme="majorHAnsi" w:eastAsia="Calibri" w:hAnsiTheme="majorHAnsi" w:cstheme="majorHAnsi"/>
          <w:kern w:val="3"/>
          <w14:ligatures w14:val="none"/>
        </w:rPr>
        <w:t xml:space="preserve">. London: Routledge. </w:t>
      </w:r>
    </w:p>
    <w:p w14:paraId="0E14C97A" w14:textId="77777777" w:rsidR="00A132B9" w:rsidRPr="00C928BC" w:rsidRDefault="00A132B9" w:rsidP="00722486">
      <w:pPr>
        <w:spacing w:line="360" w:lineRule="auto"/>
        <w:rPr>
          <w:rFonts w:asciiTheme="majorHAnsi" w:hAnsiTheme="majorHAnsi" w:cstheme="majorHAnsi"/>
        </w:rPr>
      </w:pPr>
      <w:bookmarkStart w:id="7" w:name="_Hlk144646916"/>
      <w:r w:rsidRPr="00C928BC">
        <w:rPr>
          <w:rFonts w:asciiTheme="majorHAnsi" w:hAnsiTheme="majorHAnsi" w:cstheme="majorHAnsi"/>
        </w:rPr>
        <w:t xml:space="preserve">Hesketh, I. and Tehrani, N. (2018) </w:t>
      </w:r>
      <w:bookmarkEnd w:id="7"/>
      <w:r w:rsidRPr="00C928BC">
        <w:rPr>
          <w:rFonts w:asciiTheme="majorHAnsi" w:hAnsiTheme="majorHAnsi" w:cstheme="majorHAnsi"/>
          <w:i/>
          <w:iCs/>
        </w:rPr>
        <w:t>Psychological Trauma Risk Management in the UK Police Service</w:t>
      </w:r>
      <w:r w:rsidRPr="00C928BC">
        <w:rPr>
          <w:rFonts w:asciiTheme="majorHAnsi" w:hAnsiTheme="majorHAnsi" w:cstheme="majorHAnsi"/>
        </w:rPr>
        <w:t xml:space="preserve">, </w:t>
      </w:r>
      <w:r w:rsidRPr="00C928BC">
        <w:rPr>
          <w:rFonts w:asciiTheme="majorHAnsi" w:hAnsiTheme="majorHAnsi" w:cstheme="majorHAnsi"/>
          <w:i/>
          <w:iCs/>
        </w:rPr>
        <w:t>Academic.oup.com</w:t>
      </w:r>
      <w:r w:rsidRPr="00C928BC">
        <w:rPr>
          <w:rFonts w:asciiTheme="majorHAnsi" w:hAnsiTheme="majorHAnsi" w:cstheme="majorHAnsi"/>
        </w:rPr>
        <w:t xml:space="preserve">. Available at: https://academic.oup.com/policing/article/13/4/531/5174705?login=true (Accessed: 03 September 2023). </w:t>
      </w:r>
    </w:p>
    <w:p w14:paraId="4E81FACD" w14:textId="77777777" w:rsidR="00A132B9" w:rsidRPr="00C928BC" w:rsidRDefault="00A132B9" w:rsidP="00722486">
      <w:pPr>
        <w:spacing w:line="360" w:lineRule="auto"/>
        <w:rPr>
          <w:rFonts w:asciiTheme="majorHAnsi" w:hAnsiTheme="majorHAnsi" w:cstheme="majorHAnsi"/>
        </w:rPr>
      </w:pPr>
      <w:proofErr w:type="spellStart"/>
      <w:r w:rsidRPr="00C928BC">
        <w:rPr>
          <w:rFonts w:asciiTheme="majorHAnsi" w:hAnsiTheme="majorHAnsi" w:cstheme="majorHAnsi"/>
        </w:rPr>
        <w:t>Houdmont</w:t>
      </w:r>
      <w:proofErr w:type="spellEnd"/>
      <w:r w:rsidRPr="00C928BC">
        <w:rPr>
          <w:rFonts w:asciiTheme="majorHAnsi" w:hAnsiTheme="majorHAnsi" w:cstheme="majorHAnsi"/>
        </w:rPr>
        <w:t xml:space="preserve">, J. and Randall, R. (2016) ‘Working Hours and common mental disorders in English police officers’, </w:t>
      </w:r>
      <w:r w:rsidRPr="00C928BC">
        <w:rPr>
          <w:rFonts w:asciiTheme="majorHAnsi" w:hAnsiTheme="majorHAnsi" w:cstheme="majorHAnsi"/>
          <w:i/>
        </w:rPr>
        <w:t>Occupational Medicine</w:t>
      </w:r>
      <w:r w:rsidRPr="00C928BC">
        <w:rPr>
          <w:rFonts w:asciiTheme="majorHAnsi" w:hAnsiTheme="majorHAnsi" w:cstheme="majorHAnsi"/>
        </w:rPr>
        <w:t>, 66(9), pp. 713–718. doi:10.1093/</w:t>
      </w:r>
      <w:proofErr w:type="spellStart"/>
      <w:r w:rsidRPr="00C928BC">
        <w:rPr>
          <w:rFonts w:asciiTheme="majorHAnsi" w:hAnsiTheme="majorHAnsi" w:cstheme="majorHAnsi"/>
        </w:rPr>
        <w:t>occmed</w:t>
      </w:r>
      <w:proofErr w:type="spellEnd"/>
      <w:r w:rsidRPr="00C928BC">
        <w:rPr>
          <w:rFonts w:asciiTheme="majorHAnsi" w:hAnsiTheme="majorHAnsi" w:cstheme="majorHAnsi"/>
        </w:rPr>
        <w:t xml:space="preserve">/kqw166. </w:t>
      </w:r>
    </w:p>
    <w:p w14:paraId="6B7F6E20" w14:textId="77777777" w:rsidR="00A132B9" w:rsidRPr="00BA1173" w:rsidRDefault="00A132B9" w:rsidP="00BA1173">
      <w:pPr>
        <w:spacing w:line="360" w:lineRule="auto"/>
        <w:rPr>
          <w:rFonts w:asciiTheme="majorHAnsi" w:hAnsiTheme="majorHAnsi" w:cstheme="majorHAnsi"/>
          <w:kern w:val="0"/>
          <w14:ligatures w14:val="none"/>
        </w:rPr>
      </w:pPr>
      <w:r w:rsidRPr="00BA1173">
        <w:rPr>
          <w:rFonts w:asciiTheme="majorHAnsi" w:hAnsiTheme="majorHAnsi" w:cstheme="majorHAnsi"/>
          <w:kern w:val="0"/>
          <w14:ligatures w14:val="none"/>
        </w:rPr>
        <w:t xml:space="preserve">Johnson, S.D. </w:t>
      </w:r>
      <w:r w:rsidRPr="00BA1173">
        <w:rPr>
          <w:rFonts w:asciiTheme="majorHAnsi" w:hAnsiTheme="majorHAnsi" w:cstheme="majorHAnsi"/>
          <w:i/>
          <w:kern w:val="0"/>
          <w14:ligatures w14:val="none"/>
        </w:rPr>
        <w:t>et al.</w:t>
      </w:r>
      <w:r w:rsidRPr="00BA1173">
        <w:rPr>
          <w:rFonts w:asciiTheme="majorHAnsi" w:hAnsiTheme="majorHAnsi" w:cstheme="majorHAnsi"/>
          <w:kern w:val="0"/>
          <w14:ligatures w14:val="none"/>
        </w:rPr>
        <w:t xml:space="preserve"> (2017) ‘Evaluation of Operation Swordfish: A near-repeat target-hardening strategy’, </w:t>
      </w:r>
      <w:r w:rsidRPr="00BA1173">
        <w:rPr>
          <w:rFonts w:asciiTheme="majorHAnsi" w:hAnsiTheme="majorHAnsi" w:cstheme="majorHAnsi"/>
          <w:i/>
          <w:kern w:val="0"/>
          <w14:ligatures w14:val="none"/>
        </w:rPr>
        <w:t>Journal of Experimental Criminology</w:t>
      </w:r>
      <w:r w:rsidRPr="00BA1173">
        <w:rPr>
          <w:rFonts w:asciiTheme="majorHAnsi" w:hAnsiTheme="majorHAnsi" w:cstheme="majorHAnsi"/>
          <w:kern w:val="0"/>
          <w14:ligatures w14:val="none"/>
        </w:rPr>
        <w:t xml:space="preserve">, 13(4), pp. 505–525. doi:10.1007/s11292-017-9301-7. </w:t>
      </w:r>
    </w:p>
    <w:p w14:paraId="12B0B1CC" w14:textId="77777777" w:rsidR="00A132B9" w:rsidRPr="00C928BC" w:rsidRDefault="00A132B9" w:rsidP="00C928BC">
      <w:pPr>
        <w:suppressAutoHyphens/>
        <w:autoSpaceDN w:val="0"/>
        <w:spacing w:line="360" w:lineRule="auto"/>
        <w:rPr>
          <w:rFonts w:asciiTheme="majorHAnsi" w:eastAsia="Calibri" w:hAnsiTheme="majorHAnsi" w:cstheme="majorHAnsi"/>
          <w:kern w:val="3"/>
          <w14:ligatures w14:val="none"/>
        </w:rPr>
      </w:pPr>
      <w:r w:rsidRPr="00C928BC">
        <w:rPr>
          <w:rFonts w:asciiTheme="majorHAnsi" w:eastAsia="Calibri" w:hAnsiTheme="majorHAnsi" w:cstheme="majorHAnsi"/>
          <w:kern w:val="3"/>
          <w14:ligatures w14:val="none"/>
        </w:rPr>
        <w:t xml:space="preserve">Justice, M. of (2023) </w:t>
      </w:r>
      <w:r w:rsidRPr="00C928BC">
        <w:rPr>
          <w:rFonts w:asciiTheme="majorHAnsi" w:eastAsia="Calibri" w:hAnsiTheme="majorHAnsi" w:cstheme="majorHAnsi"/>
          <w:i/>
          <w:kern w:val="3"/>
          <w14:ligatures w14:val="none"/>
        </w:rPr>
        <w:t>Multi-agency Public Protection Arrangements (MAPPA): Guidance</w:t>
      </w:r>
      <w:r w:rsidRPr="00C928BC">
        <w:rPr>
          <w:rFonts w:asciiTheme="majorHAnsi" w:eastAsia="Calibri" w:hAnsiTheme="majorHAnsi" w:cstheme="majorHAnsi"/>
          <w:kern w:val="3"/>
          <w14:ligatures w14:val="none"/>
        </w:rPr>
        <w:t xml:space="preserve">, </w:t>
      </w:r>
      <w:r w:rsidRPr="00C928BC">
        <w:rPr>
          <w:rFonts w:asciiTheme="majorHAnsi" w:eastAsia="Calibri" w:hAnsiTheme="majorHAnsi" w:cstheme="majorHAnsi"/>
          <w:i/>
          <w:kern w:val="3"/>
          <w14:ligatures w14:val="none"/>
        </w:rPr>
        <w:t>GOV.UK</w:t>
      </w:r>
      <w:r w:rsidRPr="00C928BC">
        <w:rPr>
          <w:rFonts w:asciiTheme="majorHAnsi" w:eastAsia="Calibri" w:hAnsiTheme="majorHAnsi" w:cstheme="majorHAnsi"/>
          <w:kern w:val="3"/>
          <w14:ligatures w14:val="none"/>
        </w:rPr>
        <w:t xml:space="preserve">. Available at: https://www.gov.uk/government/publications/multi-agency-public-protection-arrangements-mappa-guidance (Accessed: 04 September 2023). </w:t>
      </w:r>
    </w:p>
    <w:p w14:paraId="1FA18F71" w14:textId="77777777" w:rsidR="00A132B9" w:rsidRPr="00C928BC" w:rsidRDefault="00A132B9" w:rsidP="00C928BC">
      <w:pPr>
        <w:suppressAutoHyphens/>
        <w:autoSpaceDN w:val="0"/>
        <w:spacing w:line="360" w:lineRule="auto"/>
        <w:rPr>
          <w:rFonts w:asciiTheme="majorHAnsi" w:eastAsia="Calibri" w:hAnsiTheme="majorHAnsi" w:cstheme="majorHAnsi"/>
          <w:kern w:val="3"/>
          <w14:ligatures w14:val="none"/>
        </w:rPr>
      </w:pPr>
      <w:proofErr w:type="spellStart"/>
      <w:r w:rsidRPr="00C928BC">
        <w:rPr>
          <w:rFonts w:asciiTheme="majorHAnsi" w:eastAsia="Calibri" w:hAnsiTheme="majorHAnsi" w:cstheme="majorHAnsi"/>
          <w:kern w:val="3"/>
          <w14:ligatures w14:val="none"/>
        </w:rPr>
        <w:t>Kemshall</w:t>
      </w:r>
      <w:proofErr w:type="spellEnd"/>
      <w:r w:rsidRPr="00C928BC">
        <w:rPr>
          <w:rFonts w:asciiTheme="majorHAnsi" w:eastAsia="Calibri" w:hAnsiTheme="majorHAnsi" w:cstheme="majorHAnsi"/>
          <w:kern w:val="3"/>
          <w14:ligatures w14:val="none"/>
        </w:rPr>
        <w:t xml:space="preserve">, H. (2008) </w:t>
      </w:r>
      <w:r w:rsidRPr="00C928BC">
        <w:rPr>
          <w:rFonts w:asciiTheme="majorHAnsi" w:eastAsia="Calibri" w:hAnsiTheme="majorHAnsi" w:cstheme="majorHAnsi"/>
          <w:i/>
          <w:kern w:val="3"/>
          <w14:ligatures w14:val="none"/>
        </w:rPr>
        <w:t xml:space="preserve">Understanding the management of </w:t>
      </w:r>
      <w:proofErr w:type="gramStart"/>
      <w:r w:rsidRPr="00C928BC">
        <w:rPr>
          <w:rFonts w:asciiTheme="majorHAnsi" w:eastAsia="Calibri" w:hAnsiTheme="majorHAnsi" w:cstheme="majorHAnsi"/>
          <w:i/>
          <w:kern w:val="3"/>
          <w14:ligatures w14:val="none"/>
        </w:rPr>
        <w:t>high risk</w:t>
      </w:r>
      <w:proofErr w:type="gramEnd"/>
      <w:r w:rsidRPr="00C928BC">
        <w:rPr>
          <w:rFonts w:asciiTheme="majorHAnsi" w:eastAsia="Calibri" w:hAnsiTheme="majorHAnsi" w:cstheme="majorHAnsi"/>
          <w:i/>
          <w:kern w:val="3"/>
          <w14:ligatures w14:val="none"/>
        </w:rPr>
        <w:t xml:space="preserve"> offenders</w:t>
      </w:r>
      <w:r w:rsidRPr="00C928BC">
        <w:rPr>
          <w:rFonts w:asciiTheme="majorHAnsi" w:eastAsia="Calibri" w:hAnsiTheme="majorHAnsi" w:cstheme="majorHAnsi"/>
          <w:kern w:val="3"/>
          <w14:ligatures w14:val="none"/>
        </w:rPr>
        <w:t xml:space="preserve">. United Kingdom: Open University Press. </w:t>
      </w:r>
    </w:p>
    <w:p w14:paraId="14089B99" w14:textId="77777777" w:rsidR="00A132B9" w:rsidRPr="00C928BC" w:rsidRDefault="00A132B9" w:rsidP="00722486">
      <w:pPr>
        <w:spacing w:line="360" w:lineRule="auto"/>
        <w:rPr>
          <w:rFonts w:asciiTheme="majorHAnsi" w:hAnsiTheme="majorHAnsi" w:cstheme="majorHAnsi"/>
        </w:rPr>
      </w:pPr>
      <w:proofErr w:type="spellStart"/>
      <w:r w:rsidRPr="00C928BC">
        <w:rPr>
          <w:rFonts w:asciiTheme="majorHAnsi" w:hAnsiTheme="majorHAnsi" w:cstheme="majorHAnsi"/>
        </w:rPr>
        <w:lastRenderedPageBreak/>
        <w:t>Kirschman</w:t>
      </w:r>
      <w:proofErr w:type="spellEnd"/>
      <w:r w:rsidRPr="00C928BC">
        <w:rPr>
          <w:rFonts w:asciiTheme="majorHAnsi" w:hAnsiTheme="majorHAnsi" w:cstheme="majorHAnsi"/>
        </w:rPr>
        <w:t xml:space="preserve">, E., </w:t>
      </w:r>
      <w:proofErr w:type="spellStart"/>
      <w:r w:rsidRPr="00C928BC">
        <w:rPr>
          <w:rFonts w:asciiTheme="majorHAnsi" w:hAnsiTheme="majorHAnsi" w:cstheme="majorHAnsi"/>
        </w:rPr>
        <w:t>Kamena</w:t>
      </w:r>
      <w:proofErr w:type="spellEnd"/>
      <w:r w:rsidRPr="00C928BC">
        <w:rPr>
          <w:rFonts w:asciiTheme="majorHAnsi" w:hAnsiTheme="majorHAnsi" w:cstheme="majorHAnsi"/>
        </w:rPr>
        <w:t xml:space="preserve">, M. and Fay, J. (2015) </w:t>
      </w:r>
      <w:proofErr w:type="spellStart"/>
      <w:r w:rsidRPr="00C928BC">
        <w:rPr>
          <w:rFonts w:asciiTheme="majorHAnsi" w:hAnsiTheme="majorHAnsi" w:cstheme="majorHAnsi"/>
          <w:i/>
        </w:rPr>
        <w:t>Counseling</w:t>
      </w:r>
      <w:proofErr w:type="spellEnd"/>
      <w:r w:rsidRPr="00C928BC">
        <w:rPr>
          <w:rFonts w:asciiTheme="majorHAnsi" w:hAnsiTheme="majorHAnsi" w:cstheme="majorHAnsi"/>
          <w:i/>
        </w:rPr>
        <w:t xml:space="preserve"> cops: What clinicians need to know</w:t>
      </w:r>
      <w:r w:rsidRPr="00C928BC">
        <w:rPr>
          <w:rFonts w:asciiTheme="majorHAnsi" w:hAnsiTheme="majorHAnsi" w:cstheme="majorHAnsi"/>
        </w:rPr>
        <w:t xml:space="preserve">. New York: The Guilford Press. </w:t>
      </w:r>
    </w:p>
    <w:p w14:paraId="2946033E" w14:textId="77777777" w:rsidR="00A132B9" w:rsidRDefault="00A132B9" w:rsidP="00A132B9">
      <w:pPr>
        <w:pStyle w:val="NormalWeb"/>
        <w:rPr>
          <w:rFonts w:asciiTheme="majorHAnsi" w:hAnsiTheme="majorHAnsi" w:cstheme="majorHAnsi"/>
          <w:sz w:val="22"/>
          <w:szCs w:val="22"/>
        </w:rPr>
      </w:pPr>
      <w:proofErr w:type="spellStart"/>
      <w:r w:rsidRPr="00C928BC">
        <w:rPr>
          <w:rFonts w:asciiTheme="majorHAnsi" w:hAnsiTheme="majorHAnsi" w:cstheme="majorHAnsi"/>
          <w:sz w:val="22"/>
          <w:szCs w:val="22"/>
        </w:rPr>
        <w:t>Latapí</w:t>
      </w:r>
      <w:proofErr w:type="spellEnd"/>
      <w:r w:rsidRPr="00C928BC">
        <w:rPr>
          <w:rFonts w:asciiTheme="majorHAnsi" w:hAnsiTheme="majorHAnsi" w:cstheme="majorHAnsi"/>
          <w:sz w:val="22"/>
          <w:szCs w:val="22"/>
        </w:rPr>
        <w:t xml:space="preserve"> </w:t>
      </w:r>
      <w:proofErr w:type="spellStart"/>
      <w:r w:rsidRPr="00C928BC">
        <w:rPr>
          <w:rFonts w:asciiTheme="majorHAnsi" w:hAnsiTheme="majorHAnsi" w:cstheme="majorHAnsi"/>
          <w:sz w:val="22"/>
          <w:szCs w:val="22"/>
        </w:rPr>
        <w:t>Agudelo</w:t>
      </w:r>
      <w:proofErr w:type="spellEnd"/>
      <w:r w:rsidRPr="00C928BC">
        <w:rPr>
          <w:rFonts w:asciiTheme="majorHAnsi" w:hAnsiTheme="majorHAnsi" w:cstheme="majorHAnsi"/>
          <w:sz w:val="22"/>
          <w:szCs w:val="22"/>
        </w:rPr>
        <w:t xml:space="preserve">, M.A., </w:t>
      </w:r>
      <w:proofErr w:type="spellStart"/>
      <w:r w:rsidRPr="00C928BC">
        <w:rPr>
          <w:rFonts w:asciiTheme="majorHAnsi" w:hAnsiTheme="majorHAnsi" w:cstheme="majorHAnsi"/>
          <w:sz w:val="22"/>
          <w:szCs w:val="22"/>
        </w:rPr>
        <w:t>Jóhannsdóttir</w:t>
      </w:r>
      <w:proofErr w:type="spellEnd"/>
      <w:r w:rsidRPr="00C928BC">
        <w:rPr>
          <w:rFonts w:asciiTheme="majorHAnsi" w:hAnsiTheme="majorHAnsi" w:cstheme="majorHAnsi"/>
          <w:sz w:val="22"/>
          <w:szCs w:val="22"/>
        </w:rPr>
        <w:t xml:space="preserve">, L. and </w:t>
      </w:r>
      <w:proofErr w:type="spellStart"/>
      <w:r w:rsidRPr="00C928BC">
        <w:rPr>
          <w:rFonts w:asciiTheme="majorHAnsi" w:hAnsiTheme="majorHAnsi" w:cstheme="majorHAnsi"/>
          <w:sz w:val="22"/>
          <w:szCs w:val="22"/>
        </w:rPr>
        <w:t>Davídsdóttir</w:t>
      </w:r>
      <w:proofErr w:type="spellEnd"/>
      <w:r w:rsidRPr="00C928BC">
        <w:rPr>
          <w:rFonts w:asciiTheme="majorHAnsi" w:hAnsiTheme="majorHAnsi" w:cstheme="majorHAnsi"/>
          <w:sz w:val="22"/>
          <w:szCs w:val="22"/>
        </w:rPr>
        <w:t xml:space="preserve">, B. (2019) ‘A literature review of the history and evolution of Corporate Social Responsibility’, </w:t>
      </w:r>
      <w:r w:rsidRPr="00C928BC">
        <w:rPr>
          <w:rFonts w:asciiTheme="majorHAnsi" w:hAnsiTheme="majorHAnsi" w:cstheme="majorHAnsi"/>
          <w:i/>
          <w:iCs/>
          <w:sz w:val="22"/>
          <w:szCs w:val="22"/>
        </w:rPr>
        <w:t>International Journal of Corporate Social Responsibility</w:t>
      </w:r>
      <w:r w:rsidRPr="00C928BC">
        <w:rPr>
          <w:rFonts w:asciiTheme="majorHAnsi" w:hAnsiTheme="majorHAnsi" w:cstheme="majorHAnsi"/>
          <w:sz w:val="22"/>
          <w:szCs w:val="22"/>
        </w:rPr>
        <w:t xml:space="preserve">, 4(1). doi:10.1186/s40991-018-0039-y. </w:t>
      </w:r>
    </w:p>
    <w:p w14:paraId="7DF72003" w14:textId="77777777" w:rsidR="00A132B9" w:rsidRPr="00BA1173" w:rsidRDefault="00A132B9" w:rsidP="00BA1173">
      <w:pPr>
        <w:spacing w:line="360" w:lineRule="auto"/>
        <w:rPr>
          <w:rFonts w:asciiTheme="majorHAnsi" w:hAnsiTheme="majorHAnsi" w:cstheme="majorHAnsi"/>
          <w:kern w:val="0"/>
          <w14:ligatures w14:val="none"/>
        </w:rPr>
      </w:pPr>
      <w:r w:rsidRPr="00BA1173">
        <w:rPr>
          <w:rFonts w:asciiTheme="majorHAnsi" w:hAnsiTheme="majorHAnsi" w:cstheme="majorHAnsi"/>
          <w:kern w:val="0"/>
          <w14:ligatures w14:val="none"/>
        </w:rPr>
        <w:t xml:space="preserve">Lee, J., Park, S. and Jung, S. (2016) ‘Effect of crime prevention through environmental design (CPTED) measures on active living and fear of crime’, </w:t>
      </w:r>
      <w:r w:rsidRPr="00BA1173">
        <w:rPr>
          <w:rFonts w:asciiTheme="majorHAnsi" w:hAnsiTheme="majorHAnsi" w:cstheme="majorHAnsi"/>
          <w:i/>
          <w:kern w:val="0"/>
          <w14:ligatures w14:val="none"/>
        </w:rPr>
        <w:t>Sustainability</w:t>
      </w:r>
      <w:r w:rsidRPr="00BA1173">
        <w:rPr>
          <w:rFonts w:asciiTheme="majorHAnsi" w:hAnsiTheme="majorHAnsi" w:cstheme="majorHAnsi"/>
          <w:kern w:val="0"/>
          <w14:ligatures w14:val="none"/>
        </w:rPr>
        <w:t xml:space="preserve">, 8(9), p. 872. doi:10.3390/su8090872. </w:t>
      </w:r>
    </w:p>
    <w:p w14:paraId="0C93FFAA" w14:textId="77777777" w:rsidR="00A132B9" w:rsidRPr="00C928BC" w:rsidRDefault="00A132B9" w:rsidP="00722486">
      <w:pPr>
        <w:spacing w:line="360" w:lineRule="auto"/>
        <w:rPr>
          <w:rFonts w:asciiTheme="majorHAnsi" w:hAnsiTheme="majorHAnsi" w:cstheme="majorHAnsi"/>
        </w:rPr>
      </w:pPr>
      <w:r w:rsidRPr="00C928BC">
        <w:rPr>
          <w:rFonts w:asciiTheme="majorHAnsi" w:hAnsiTheme="majorHAnsi" w:cstheme="majorHAnsi"/>
        </w:rPr>
        <w:t xml:space="preserve">Lumsden, K. and Black, A. (2017) ‘Austerity policing, emotional labour and the boundaries of police work: An ethnography of a police force control room in England’, </w:t>
      </w:r>
      <w:r w:rsidRPr="00C928BC">
        <w:rPr>
          <w:rFonts w:asciiTheme="majorHAnsi" w:hAnsiTheme="majorHAnsi" w:cstheme="majorHAnsi"/>
          <w:i/>
        </w:rPr>
        <w:t>The British Journal of Criminology</w:t>
      </w:r>
      <w:r w:rsidRPr="00C928BC">
        <w:rPr>
          <w:rFonts w:asciiTheme="majorHAnsi" w:hAnsiTheme="majorHAnsi" w:cstheme="majorHAnsi"/>
        </w:rPr>
        <w:t>, 58(3), pp. 606–623. doi:10.1093/</w:t>
      </w:r>
      <w:proofErr w:type="spellStart"/>
      <w:r w:rsidRPr="00C928BC">
        <w:rPr>
          <w:rFonts w:asciiTheme="majorHAnsi" w:hAnsiTheme="majorHAnsi" w:cstheme="majorHAnsi"/>
        </w:rPr>
        <w:t>bjc</w:t>
      </w:r>
      <w:proofErr w:type="spellEnd"/>
      <w:r w:rsidRPr="00C928BC">
        <w:rPr>
          <w:rFonts w:asciiTheme="majorHAnsi" w:hAnsiTheme="majorHAnsi" w:cstheme="majorHAnsi"/>
        </w:rPr>
        <w:t xml:space="preserve">/azx045. </w:t>
      </w:r>
    </w:p>
    <w:p w14:paraId="24C3D7E1" w14:textId="77777777" w:rsidR="00A132B9" w:rsidRPr="00C928BC" w:rsidRDefault="00A132B9" w:rsidP="00C928BC">
      <w:pPr>
        <w:rPr>
          <w:rFonts w:asciiTheme="majorHAnsi" w:hAnsiTheme="majorHAnsi" w:cstheme="majorHAnsi"/>
        </w:rPr>
      </w:pPr>
      <w:r w:rsidRPr="00C928BC">
        <w:rPr>
          <w:rFonts w:asciiTheme="majorHAnsi" w:hAnsiTheme="majorHAnsi" w:cstheme="majorHAnsi"/>
        </w:rPr>
        <w:t xml:space="preserve">Maguire, M. and John, T. (2006) ‘Intelligence led policing, managerialism and community engagement: Competing priorities and the role of the National Intelligence Model in the UK’, </w:t>
      </w:r>
      <w:r w:rsidRPr="00C928BC">
        <w:rPr>
          <w:rFonts w:asciiTheme="majorHAnsi" w:hAnsiTheme="majorHAnsi" w:cstheme="majorHAnsi"/>
          <w:i/>
        </w:rPr>
        <w:t>Policing and Society</w:t>
      </w:r>
      <w:r w:rsidRPr="00C928BC">
        <w:rPr>
          <w:rFonts w:asciiTheme="majorHAnsi" w:hAnsiTheme="majorHAnsi" w:cstheme="majorHAnsi"/>
        </w:rPr>
        <w:t xml:space="preserve">, 16(1), pp. 67–85. doi:10.1080/10439460500399791. </w:t>
      </w:r>
    </w:p>
    <w:p w14:paraId="083D9248" w14:textId="77777777" w:rsidR="00A132B9" w:rsidRPr="00C928BC" w:rsidRDefault="00A132B9" w:rsidP="00722486">
      <w:pPr>
        <w:spacing w:line="360" w:lineRule="auto"/>
        <w:rPr>
          <w:rFonts w:asciiTheme="majorHAnsi" w:hAnsiTheme="majorHAnsi" w:cstheme="majorHAnsi"/>
        </w:rPr>
      </w:pPr>
      <w:r w:rsidRPr="00C928BC">
        <w:rPr>
          <w:rFonts w:asciiTheme="majorHAnsi" w:hAnsiTheme="majorHAnsi" w:cstheme="majorHAnsi"/>
        </w:rPr>
        <w:t xml:space="preserve">Martínez, L.E. (2010) ‘Police departments’ response in dealing with persons with mental illness’, </w:t>
      </w:r>
      <w:r w:rsidRPr="00C928BC">
        <w:rPr>
          <w:rFonts w:asciiTheme="majorHAnsi" w:hAnsiTheme="majorHAnsi" w:cstheme="majorHAnsi"/>
          <w:i/>
        </w:rPr>
        <w:t>Journal of Police Crisis Negotiations</w:t>
      </w:r>
      <w:r w:rsidRPr="00C928BC">
        <w:rPr>
          <w:rFonts w:asciiTheme="majorHAnsi" w:hAnsiTheme="majorHAnsi" w:cstheme="majorHAnsi"/>
        </w:rPr>
        <w:t xml:space="preserve">, 10(1–2), pp. 166–174. doi:10.1080/15332581003785462. </w:t>
      </w:r>
    </w:p>
    <w:p w14:paraId="3D2188D5" w14:textId="77777777" w:rsidR="00A132B9" w:rsidRPr="00C928BC" w:rsidRDefault="00A132B9" w:rsidP="00C928BC">
      <w:pPr>
        <w:suppressAutoHyphens/>
        <w:autoSpaceDN w:val="0"/>
        <w:spacing w:line="360" w:lineRule="auto"/>
        <w:rPr>
          <w:rFonts w:asciiTheme="majorHAnsi" w:eastAsia="Calibri" w:hAnsiTheme="majorHAnsi" w:cstheme="majorHAnsi"/>
          <w:kern w:val="3"/>
          <w14:ligatures w14:val="none"/>
        </w:rPr>
      </w:pPr>
      <w:r w:rsidRPr="00C928BC">
        <w:rPr>
          <w:rFonts w:asciiTheme="majorHAnsi" w:eastAsia="Calibri" w:hAnsiTheme="majorHAnsi" w:cstheme="majorHAnsi"/>
          <w:kern w:val="3"/>
          <w14:ligatures w14:val="none"/>
        </w:rPr>
        <w:t xml:space="preserve">Matravers, A. (2013) </w:t>
      </w:r>
      <w:r w:rsidRPr="00C928BC">
        <w:rPr>
          <w:rFonts w:asciiTheme="majorHAnsi" w:eastAsia="Calibri" w:hAnsiTheme="majorHAnsi" w:cstheme="majorHAnsi"/>
          <w:i/>
          <w:kern w:val="3"/>
          <w14:ligatures w14:val="none"/>
        </w:rPr>
        <w:t>Sex offenders in the community managing and reducing the risks</w:t>
      </w:r>
      <w:r w:rsidRPr="00C928BC">
        <w:rPr>
          <w:rFonts w:asciiTheme="majorHAnsi" w:eastAsia="Calibri" w:hAnsiTheme="majorHAnsi" w:cstheme="majorHAnsi"/>
          <w:kern w:val="3"/>
          <w14:ligatures w14:val="none"/>
        </w:rPr>
        <w:t xml:space="preserve">. Cullompton: Taylor and Francis. </w:t>
      </w:r>
    </w:p>
    <w:p w14:paraId="4A8B2174" w14:textId="77777777" w:rsidR="00A132B9" w:rsidRPr="00C928BC" w:rsidRDefault="00A132B9" w:rsidP="00C928BC">
      <w:pPr>
        <w:suppressAutoHyphens/>
        <w:autoSpaceDN w:val="0"/>
        <w:spacing w:line="360" w:lineRule="auto"/>
        <w:rPr>
          <w:rFonts w:asciiTheme="majorHAnsi" w:eastAsia="Calibri" w:hAnsiTheme="majorHAnsi" w:cstheme="majorHAnsi"/>
          <w:kern w:val="3"/>
          <w14:ligatures w14:val="none"/>
        </w:rPr>
      </w:pPr>
      <w:r w:rsidRPr="00C928BC">
        <w:rPr>
          <w:rFonts w:asciiTheme="majorHAnsi" w:eastAsia="Calibri" w:hAnsiTheme="majorHAnsi" w:cstheme="majorHAnsi"/>
          <w:i/>
          <w:kern w:val="3"/>
          <w14:ligatures w14:val="none"/>
        </w:rPr>
        <w:t>Multi-agency Public Protection Arrangements (MAPPA)</w:t>
      </w:r>
      <w:r w:rsidRPr="00C928BC">
        <w:rPr>
          <w:rFonts w:asciiTheme="majorHAnsi" w:eastAsia="Calibri" w:hAnsiTheme="majorHAnsi" w:cstheme="majorHAnsi"/>
          <w:kern w:val="3"/>
          <w14:ligatures w14:val="none"/>
        </w:rPr>
        <w:t xml:space="preserve"> (2021) </w:t>
      </w:r>
      <w:r w:rsidRPr="00C928BC">
        <w:rPr>
          <w:rFonts w:asciiTheme="majorHAnsi" w:eastAsia="Calibri" w:hAnsiTheme="majorHAnsi" w:cstheme="majorHAnsi"/>
          <w:i/>
          <w:kern w:val="3"/>
          <w14:ligatures w14:val="none"/>
        </w:rPr>
        <w:t>College of Policing</w:t>
      </w:r>
      <w:r w:rsidRPr="00C928BC">
        <w:rPr>
          <w:rFonts w:asciiTheme="majorHAnsi" w:eastAsia="Calibri" w:hAnsiTheme="majorHAnsi" w:cstheme="majorHAnsi"/>
          <w:kern w:val="3"/>
          <w14:ligatures w14:val="none"/>
        </w:rPr>
        <w:t xml:space="preserve">. Available at: https://www.college.police.uk/app/major-investigation-and-public-protection/managing-sexual-offenders-and-violent-offenders/multi-agency-public-protection-arrangements-mappa (Accessed: 04 September 2023). </w:t>
      </w:r>
    </w:p>
    <w:p w14:paraId="568F4352" w14:textId="77777777" w:rsidR="00A132B9" w:rsidRPr="00C928BC" w:rsidRDefault="00A132B9" w:rsidP="00C928BC">
      <w:pPr>
        <w:suppressAutoHyphens/>
        <w:autoSpaceDN w:val="0"/>
        <w:spacing w:line="360" w:lineRule="auto"/>
        <w:rPr>
          <w:rFonts w:asciiTheme="majorHAnsi" w:eastAsia="Calibri" w:hAnsiTheme="majorHAnsi" w:cstheme="majorHAnsi"/>
          <w:kern w:val="3"/>
          <w14:ligatures w14:val="none"/>
        </w:rPr>
      </w:pPr>
      <w:r w:rsidRPr="00C928BC">
        <w:rPr>
          <w:rFonts w:asciiTheme="majorHAnsi" w:eastAsia="Calibri" w:hAnsiTheme="majorHAnsi" w:cstheme="majorHAnsi"/>
          <w:i/>
          <w:kern w:val="3"/>
          <w14:ligatures w14:val="none"/>
        </w:rPr>
        <w:t>Multi-agency Public Protection Arrangements</w:t>
      </w:r>
      <w:r>
        <w:rPr>
          <w:rFonts w:asciiTheme="majorHAnsi" w:eastAsia="Calibri" w:hAnsiTheme="majorHAnsi" w:cstheme="majorHAnsi"/>
          <w:i/>
          <w:kern w:val="3"/>
          <w14:ligatures w14:val="none"/>
        </w:rPr>
        <w:t xml:space="preserve"> 2021</w:t>
      </w:r>
      <w:r w:rsidRPr="00C928BC">
        <w:rPr>
          <w:rFonts w:asciiTheme="majorHAnsi" w:eastAsia="Calibri" w:hAnsiTheme="majorHAnsi" w:cstheme="majorHAnsi"/>
          <w:kern w:val="3"/>
          <w14:ligatures w14:val="none"/>
        </w:rPr>
        <w:t xml:space="preserve">. Available at: https://www.justiceinspectorates.gov.uk/hmiprobation/research/the-evidence-base-probation/specific-types-of-delivery/mappa/ (Accessed: 04 September 2023). </w:t>
      </w:r>
    </w:p>
    <w:p w14:paraId="51167502" w14:textId="77777777" w:rsidR="00A132B9" w:rsidRPr="00C928BC" w:rsidRDefault="00A132B9" w:rsidP="00C928BC">
      <w:pPr>
        <w:suppressAutoHyphens/>
        <w:autoSpaceDN w:val="0"/>
        <w:spacing w:line="360" w:lineRule="auto"/>
        <w:rPr>
          <w:rFonts w:asciiTheme="majorHAnsi" w:eastAsia="Calibri" w:hAnsiTheme="majorHAnsi" w:cstheme="majorHAnsi"/>
          <w:kern w:val="3"/>
          <w14:ligatures w14:val="none"/>
        </w:rPr>
      </w:pPr>
      <w:r w:rsidRPr="00C928BC">
        <w:rPr>
          <w:rFonts w:asciiTheme="majorHAnsi" w:eastAsia="Calibri" w:hAnsiTheme="majorHAnsi" w:cstheme="majorHAnsi"/>
          <w:kern w:val="3"/>
          <w14:ligatures w14:val="none"/>
        </w:rPr>
        <w:t>Nash, M. and Walker, L. (2009) ‘</w:t>
      </w:r>
      <w:proofErr w:type="spellStart"/>
      <w:r w:rsidRPr="00C928BC">
        <w:rPr>
          <w:rFonts w:asciiTheme="majorHAnsi" w:eastAsia="Calibri" w:hAnsiTheme="majorHAnsi" w:cstheme="majorHAnsi"/>
          <w:kern w:val="3"/>
          <w14:ligatures w14:val="none"/>
        </w:rPr>
        <w:t>Mappa</w:t>
      </w:r>
      <w:proofErr w:type="spellEnd"/>
      <w:r w:rsidRPr="00C928BC">
        <w:rPr>
          <w:rFonts w:asciiTheme="majorHAnsi" w:eastAsia="Calibri" w:hAnsiTheme="majorHAnsi" w:cstheme="majorHAnsi"/>
          <w:kern w:val="3"/>
          <w14:ligatures w14:val="none"/>
        </w:rPr>
        <w:t xml:space="preserve">--is closer collaboration really the key to effectiveness?’, </w:t>
      </w:r>
      <w:r w:rsidRPr="00C928BC">
        <w:rPr>
          <w:rFonts w:asciiTheme="majorHAnsi" w:eastAsia="Calibri" w:hAnsiTheme="majorHAnsi" w:cstheme="majorHAnsi"/>
          <w:i/>
          <w:kern w:val="3"/>
          <w14:ligatures w14:val="none"/>
        </w:rPr>
        <w:t>Policing</w:t>
      </w:r>
      <w:r w:rsidRPr="00C928BC">
        <w:rPr>
          <w:rFonts w:asciiTheme="majorHAnsi" w:eastAsia="Calibri" w:hAnsiTheme="majorHAnsi" w:cstheme="majorHAnsi"/>
          <w:kern w:val="3"/>
          <w14:ligatures w14:val="none"/>
        </w:rPr>
        <w:t xml:space="preserve">, 3(2), pp. 172–180. doi:10.1093/police/pap007. </w:t>
      </w:r>
    </w:p>
    <w:p w14:paraId="6593ADDC" w14:textId="77777777" w:rsidR="00A132B9" w:rsidRPr="00C928BC" w:rsidRDefault="00A132B9" w:rsidP="00C928BC">
      <w:pPr>
        <w:rPr>
          <w:rFonts w:asciiTheme="majorHAnsi" w:hAnsiTheme="majorHAnsi" w:cstheme="majorHAnsi"/>
        </w:rPr>
      </w:pPr>
      <w:r w:rsidRPr="00C928BC">
        <w:rPr>
          <w:rFonts w:asciiTheme="majorHAnsi" w:hAnsiTheme="majorHAnsi" w:cstheme="majorHAnsi"/>
          <w:i/>
          <w:iCs/>
        </w:rPr>
        <w:t>National decision model</w:t>
      </w:r>
      <w:r w:rsidRPr="00C928BC">
        <w:rPr>
          <w:rFonts w:asciiTheme="majorHAnsi" w:hAnsiTheme="majorHAnsi" w:cstheme="majorHAnsi"/>
        </w:rPr>
        <w:t xml:space="preserve"> (2013) </w:t>
      </w:r>
      <w:r w:rsidRPr="00C928BC">
        <w:rPr>
          <w:rFonts w:asciiTheme="majorHAnsi" w:hAnsiTheme="majorHAnsi" w:cstheme="majorHAnsi"/>
          <w:i/>
          <w:iCs/>
        </w:rPr>
        <w:t>College of Policing</w:t>
      </w:r>
      <w:r w:rsidRPr="00C928BC">
        <w:rPr>
          <w:rFonts w:asciiTheme="majorHAnsi" w:hAnsiTheme="majorHAnsi" w:cstheme="majorHAnsi"/>
        </w:rPr>
        <w:t xml:space="preserve">. Available at: https://www.college.police.uk/app/national-decision-model/national-decision-model#policing-principles (Accessed: 04 August 2023). </w:t>
      </w:r>
    </w:p>
    <w:p w14:paraId="6D81AC7B" w14:textId="77777777" w:rsidR="00A132B9" w:rsidRPr="00C928BC" w:rsidRDefault="00A132B9" w:rsidP="00C928BC">
      <w:pPr>
        <w:rPr>
          <w:rFonts w:asciiTheme="majorHAnsi" w:hAnsiTheme="majorHAnsi" w:cstheme="majorHAnsi"/>
        </w:rPr>
      </w:pPr>
      <w:r w:rsidRPr="00C928BC">
        <w:rPr>
          <w:rFonts w:asciiTheme="majorHAnsi" w:hAnsiTheme="majorHAnsi" w:cstheme="majorHAnsi"/>
          <w:i/>
        </w:rPr>
        <w:t>National decision model</w:t>
      </w:r>
      <w:r w:rsidRPr="00C928BC">
        <w:rPr>
          <w:rFonts w:asciiTheme="majorHAnsi" w:hAnsiTheme="majorHAnsi" w:cstheme="majorHAnsi"/>
        </w:rPr>
        <w:t xml:space="preserve"> (2014) </w:t>
      </w:r>
      <w:r w:rsidRPr="00C928BC">
        <w:rPr>
          <w:rFonts w:asciiTheme="majorHAnsi" w:hAnsiTheme="majorHAnsi" w:cstheme="majorHAnsi"/>
          <w:i/>
        </w:rPr>
        <w:t>College of Policing</w:t>
      </w:r>
      <w:r w:rsidRPr="00C928BC">
        <w:rPr>
          <w:rFonts w:asciiTheme="majorHAnsi" w:hAnsiTheme="majorHAnsi" w:cstheme="majorHAnsi"/>
        </w:rPr>
        <w:t xml:space="preserve">. Available at: https://www.college.police.uk/app/national-decision-model/national-decision-model (Accessed: 04 September 2023). </w:t>
      </w:r>
    </w:p>
    <w:p w14:paraId="22C2E98A" w14:textId="77777777" w:rsidR="00A132B9" w:rsidRPr="00C928BC" w:rsidRDefault="00A132B9" w:rsidP="00C928BC">
      <w:pPr>
        <w:suppressAutoHyphens/>
        <w:autoSpaceDN w:val="0"/>
        <w:spacing w:line="360" w:lineRule="auto"/>
        <w:rPr>
          <w:rFonts w:asciiTheme="majorHAnsi" w:eastAsia="Calibri" w:hAnsiTheme="majorHAnsi" w:cstheme="majorHAnsi"/>
          <w:kern w:val="3"/>
          <w14:ligatures w14:val="none"/>
        </w:rPr>
      </w:pPr>
      <w:r w:rsidRPr="00C928BC">
        <w:rPr>
          <w:rFonts w:asciiTheme="majorHAnsi" w:eastAsia="Calibri" w:hAnsiTheme="majorHAnsi" w:cstheme="majorHAnsi"/>
          <w:kern w:val="3"/>
          <w14:ligatures w14:val="none"/>
        </w:rPr>
        <w:lastRenderedPageBreak/>
        <w:t xml:space="preserve">Padfield, N. (2011) </w:t>
      </w:r>
      <w:r w:rsidRPr="00C928BC">
        <w:rPr>
          <w:rFonts w:asciiTheme="majorHAnsi" w:eastAsia="Calibri" w:hAnsiTheme="majorHAnsi" w:cstheme="majorHAnsi"/>
          <w:i/>
          <w:kern w:val="3"/>
          <w14:ligatures w14:val="none"/>
        </w:rPr>
        <w:t xml:space="preserve">Who to </w:t>
      </w:r>
      <w:proofErr w:type="gramStart"/>
      <w:r w:rsidRPr="00C928BC">
        <w:rPr>
          <w:rFonts w:asciiTheme="majorHAnsi" w:eastAsia="Calibri" w:hAnsiTheme="majorHAnsi" w:cstheme="majorHAnsi"/>
          <w:i/>
          <w:kern w:val="3"/>
          <w14:ligatures w14:val="none"/>
        </w:rPr>
        <w:t>release?:</w:t>
      </w:r>
      <w:proofErr w:type="gramEnd"/>
      <w:r w:rsidRPr="00C928BC">
        <w:rPr>
          <w:rFonts w:asciiTheme="majorHAnsi" w:eastAsia="Calibri" w:hAnsiTheme="majorHAnsi" w:cstheme="majorHAnsi"/>
          <w:i/>
          <w:kern w:val="3"/>
          <w14:ligatures w14:val="none"/>
        </w:rPr>
        <w:t xml:space="preserve"> Parole, fairness and criminal justice</w:t>
      </w:r>
      <w:r w:rsidRPr="00C928BC">
        <w:rPr>
          <w:rFonts w:asciiTheme="majorHAnsi" w:eastAsia="Calibri" w:hAnsiTheme="majorHAnsi" w:cstheme="majorHAnsi"/>
          <w:kern w:val="3"/>
          <w14:ligatures w14:val="none"/>
        </w:rPr>
        <w:t xml:space="preserve">. London: Routledge, Taylor &amp; Francis Group. </w:t>
      </w:r>
    </w:p>
    <w:p w14:paraId="2A861A8B" w14:textId="77777777" w:rsidR="00A132B9" w:rsidRPr="00C928BC" w:rsidRDefault="00A132B9" w:rsidP="00A132B9">
      <w:pPr>
        <w:pStyle w:val="NormalWeb"/>
        <w:rPr>
          <w:rFonts w:asciiTheme="majorHAnsi" w:hAnsiTheme="majorHAnsi" w:cstheme="majorHAnsi"/>
          <w:sz w:val="22"/>
          <w:szCs w:val="22"/>
        </w:rPr>
      </w:pPr>
      <w:r w:rsidRPr="00C928BC">
        <w:rPr>
          <w:rFonts w:asciiTheme="majorHAnsi" w:hAnsiTheme="majorHAnsi" w:cstheme="majorHAnsi"/>
          <w:sz w:val="22"/>
          <w:szCs w:val="22"/>
        </w:rPr>
        <w:t xml:space="preserve">Phythian, R. </w:t>
      </w:r>
      <w:r w:rsidRPr="00C928BC">
        <w:rPr>
          <w:rFonts w:asciiTheme="majorHAnsi" w:hAnsiTheme="majorHAnsi" w:cstheme="majorHAnsi"/>
          <w:i/>
          <w:iCs/>
          <w:sz w:val="22"/>
          <w:szCs w:val="22"/>
        </w:rPr>
        <w:t>et al.</w:t>
      </w:r>
      <w:r w:rsidRPr="00C928BC">
        <w:rPr>
          <w:rFonts w:asciiTheme="majorHAnsi" w:hAnsiTheme="majorHAnsi" w:cstheme="majorHAnsi"/>
          <w:sz w:val="22"/>
          <w:szCs w:val="22"/>
        </w:rPr>
        <w:t xml:space="preserve"> (2022) ‘Developments in UK police wellbeing: A review of blue light wellbeing frameworks’, </w:t>
      </w:r>
      <w:r w:rsidRPr="00C928BC">
        <w:rPr>
          <w:rFonts w:asciiTheme="majorHAnsi" w:hAnsiTheme="majorHAnsi" w:cstheme="majorHAnsi"/>
          <w:i/>
          <w:iCs/>
          <w:sz w:val="22"/>
          <w:szCs w:val="22"/>
        </w:rPr>
        <w:t>The Police Journal: Theory, Practice and Principles</w:t>
      </w:r>
      <w:r w:rsidRPr="00C928BC">
        <w:rPr>
          <w:rFonts w:asciiTheme="majorHAnsi" w:hAnsiTheme="majorHAnsi" w:cstheme="majorHAnsi"/>
          <w:sz w:val="22"/>
          <w:szCs w:val="22"/>
        </w:rPr>
        <w:t xml:space="preserve">, 95(1), pp. 24–49. doi:10.1177/0032258x211073003. </w:t>
      </w:r>
    </w:p>
    <w:p w14:paraId="75B4FDF1" w14:textId="77777777" w:rsidR="00A132B9" w:rsidRPr="00C928BC" w:rsidRDefault="00A132B9" w:rsidP="00722486">
      <w:pPr>
        <w:spacing w:line="360" w:lineRule="auto"/>
        <w:rPr>
          <w:rFonts w:asciiTheme="majorHAnsi" w:hAnsiTheme="majorHAnsi" w:cstheme="majorHAnsi"/>
        </w:rPr>
      </w:pPr>
      <w:r w:rsidRPr="00C928BC">
        <w:rPr>
          <w:rFonts w:asciiTheme="majorHAnsi" w:hAnsiTheme="majorHAnsi" w:cstheme="majorHAnsi"/>
        </w:rPr>
        <w:t xml:space="preserve">Phythian, R. </w:t>
      </w:r>
      <w:r w:rsidRPr="00C928BC">
        <w:rPr>
          <w:rFonts w:asciiTheme="majorHAnsi" w:hAnsiTheme="majorHAnsi" w:cstheme="majorHAnsi"/>
          <w:i/>
        </w:rPr>
        <w:t>et al.</w:t>
      </w:r>
      <w:r w:rsidRPr="00C928BC">
        <w:rPr>
          <w:rFonts w:asciiTheme="majorHAnsi" w:hAnsiTheme="majorHAnsi" w:cstheme="majorHAnsi"/>
        </w:rPr>
        <w:t xml:space="preserve"> (2022) ‘Developments in UK police wellbeing: A review of blue light wellbeing frameworks’, </w:t>
      </w:r>
      <w:r w:rsidRPr="00C928BC">
        <w:rPr>
          <w:rFonts w:asciiTheme="majorHAnsi" w:hAnsiTheme="majorHAnsi" w:cstheme="majorHAnsi"/>
          <w:i/>
        </w:rPr>
        <w:t>The Police Journal: Theory, Practice and Principles</w:t>
      </w:r>
      <w:r w:rsidRPr="00C928BC">
        <w:rPr>
          <w:rFonts w:asciiTheme="majorHAnsi" w:hAnsiTheme="majorHAnsi" w:cstheme="majorHAnsi"/>
        </w:rPr>
        <w:t xml:space="preserve">, 95(1), pp. 24–49. doi:10.1177/0032258x211073003. </w:t>
      </w:r>
    </w:p>
    <w:p w14:paraId="3B7EF046" w14:textId="77777777" w:rsidR="00A132B9" w:rsidRPr="00BA1173" w:rsidRDefault="00A132B9" w:rsidP="00BA1173">
      <w:pPr>
        <w:spacing w:line="360" w:lineRule="auto"/>
        <w:rPr>
          <w:rFonts w:asciiTheme="majorHAnsi" w:hAnsiTheme="majorHAnsi" w:cstheme="majorHAnsi"/>
          <w:kern w:val="0"/>
          <w14:ligatures w14:val="none"/>
        </w:rPr>
      </w:pPr>
      <w:proofErr w:type="spellStart"/>
      <w:r w:rsidRPr="00BA1173">
        <w:rPr>
          <w:rFonts w:asciiTheme="majorHAnsi" w:hAnsiTheme="majorHAnsi" w:cstheme="majorHAnsi"/>
          <w:kern w:val="0"/>
          <w14:ligatures w14:val="none"/>
        </w:rPr>
        <w:t>Piroozfar</w:t>
      </w:r>
      <w:proofErr w:type="spellEnd"/>
      <w:r w:rsidRPr="00BA1173">
        <w:rPr>
          <w:rFonts w:asciiTheme="majorHAnsi" w:hAnsiTheme="majorHAnsi" w:cstheme="majorHAnsi"/>
          <w:kern w:val="0"/>
          <w14:ligatures w14:val="none"/>
        </w:rPr>
        <w:t xml:space="preserve">, P. </w:t>
      </w:r>
      <w:r w:rsidRPr="00BA1173">
        <w:rPr>
          <w:rFonts w:asciiTheme="majorHAnsi" w:hAnsiTheme="majorHAnsi" w:cstheme="majorHAnsi"/>
          <w:i/>
          <w:kern w:val="0"/>
          <w14:ligatures w14:val="none"/>
        </w:rPr>
        <w:t>et al.</w:t>
      </w:r>
      <w:r w:rsidRPr="00BA1173">
        <w:rPr>
          <w:rFonts w:asciiTheme="majorHAnsi" w:hAnsiTheme="majorHAnsi" w:cstheme="majorHAnsi"/>
          <w:kern w:val="0"/>
          <w14:ligatures w14:val="none"/>
        </w:rPr>
        <w:t xml:space="preserve"> (2019) ‘Crime prevention in urban spaces through environmental design: A critical UK perspective’, </w:t>
      </w:r>
      <w:r w:rsidRPr="00BA1173">
        <w:rPr>
          <w:rFonts w:asciiTheme="majorHAnsi" w:hAnsiTheme="majorHAnsi" w:cstheme="majorHAnsi"/>
          <w:i/>
          <w:kern w:val="0"/>
          <w14:ligatures w14:val="none"/>
        </w:rPr>
        <w:t>Cities</w:t>
      </w:r>
      <w:r w:rsidRPr="00BA1173">
        <w:rPr>
          <w:rFonts w:asciiTheme="majorHAnsi" w:hAnsiTheme="majorHAnsi" w:cstheme="majorHAnsi"/>
          <w:kern w:val="0"/>
          <w14:ligatures w14:val="none"/>
        </w:rPr>
        <w:t xml:space="preserve">, 95, p. 102411. </w:t>
      </w:r>
      <w:proofErr w:type="gramStart"/>
      <w:r w:rsidRPr="00BA1173">
        <w:rPr>
          <w:rFonts w:asciiTheme="majorHAnsi" w:hAnsiTheme="majorHAnsi" w:cstheme="majorHAnsi"/>
          <w:kern w:val="0"/>
          <w14:ligatures w14:val="none"/>
        </w:rPr>
        <w:t>doi:10.1016/j.cities</w:t>
      </w:r>
      <w:proofErr w:type="gramEnd"/>
      <w:r w:rsidRPr="00BA1173">
        <w:rPr>
          <w:rFonts w:asciiTheme="majorHAnsi" w:hAnsiTheme="majorHAnsi" w:cstheme="majorHAnsi"/>
          <w:kern w:val="0"/>
          <w14:ligatures w14:val="none"/>
        </w:rPr>
        <w:t xml:space="preserve">.2019.102411. </w:t>
      </w:r>
    </w:p>
    <w:p w14:paraId="0FD492A9" w14:textId="77777777" w:rsidR="00A132B9" w:rsidRPr="00C928BC" w:rsidRDefault="00A132B9" w:rsidP="00722486">
      <w:pPr>
        <w:spacing w:line="360" w:lineRule="auto"/>
        <w:rPr>
          <w:rFonts w:asciiTheme="majorHAnsi" w:hAnsiTheme="majorHAnsi" w:cstheme="majorHAnsi"/>
        </w:rPr>
      </w:pPr>
      <w:r w:rsidRPr="00C928BC">
        <w:rPr>
          <w:rFonts w:asciiTheme="majorHAnsi" w:hAnsiTheme="majorHAnsi" w:cstheme="majorHAnsi"/>
        </w:rPr>
        <w:t xml:space="preserve">pratt, R. and </w:t>
      </w:r>
      <w:proofErr w:type="spellStart"/>
      <w:r w:rsidRPr="00C928BC">
        <w:rPr>
          <w:rFonts w:asciiTheme="majorHAnsi" w:hAnsiTheme="majorHAnsi" w:cstheme="majorHAnsi"/>
        </w:rPr>
        <w:t>Lasselgreaves</w:t>
      </w:r>
      <w:proofErr w:type="spellEnd"/>
      <w:r w:rsidRPr="00C928BC">
        <w:rPr>
          <w:rFonts w:asciiTheme="majorHAnsi" w:hAnsiTheme="majorHAnsi" w:cstheme="majorHAnsi"/>
        </w:rPr>
        <w:t xml:space="preserve">, H. (2017) </w:t>
      </w:r>
      <w:r w:rsidRPr="00C928BC">
        <w:rPr>
          <w:rFonts w:asciiTheme="majorHAnsi" w:hAnsiTheme="majorHAnsi" w:cstheme="majorHAnsi"/>
          <w:i/>
          <w:iCs/>
        </w:rPr>
        <w:t>Unpredictable working time, well-being and health in the Police Service</w:t>
      </w:r>
      <w:r w:rsidRPr="00C928BC">
        <w:rPr>
          <w:rFonts w:asciiTheme="majorHAnsi" w:hAnsiTheme="majorHAnsi" w:cstheme="majorHAnsi"/>
        </w:rPr>
        <w:t xml:space="preserve">, </w:t>
      </w:r>
      <w:r w:rsidRPr="00C928BC">
        <w:rPr>
          <w:rFonts w:asciiTheme="majorHAnsi" w:hAnsiTheme="majorHAnsi" w:cstheme="majorHAnsi"/>
          <w:i/>
          <w:iCs/>
        </w:rPr>
        <w:t>Unpredictable working time, well-being and health in the police service</w:t>
      </w:r>
      <w:r w:rsidRPr="00C928BC">
        <w:rPr>
          <w:rFonts w:asciiTheme="majorHAnsi" w:hAnsiTheme="majorHAnsi" w:cstheme="majorHAnsi"/>
        </w:rPr>
        <w:t xml:space="preserve">. Available at: https://www.tandfonline.com/doi/full/10.1080/09585192.2017.1314314 (Accessed: 03 September 2023). </w:t>
      </w:r>
    </w:p>
    <w:p w14:paraId="690B2014" w14:textId="77777777" w:rsidR="00A132B9" w:rsidRPr="00C928BC" w:rsidRDefault="00A132B9" w:rsidP="00A132B9">
      <w:pPr>
        <w:pStyle w:val="NormalWeb"/>
        <w:rPr>
          <w:rFonts w:asciiTheme="majorHAnsi" w:hAnsiTheme="majorHAnsi" w:cstheme="majorHAnsi"/>
          <w:sz w:val="22"/>
          <w:szCs w:val="22"/>
        </w:rPr>
      </w:pPr>
      <w:bookmarkStart w:id="8" w:name="_Hlk144765503"/>
      <w:proofErr w:type="spellStart"/>
      <w:r w:rsidRPr="00C928BC">
        <w:rPr>
          <w:rFonts w:asciiTheme="majorHAnsi" w:hAnsiTheme="majorHAnsi" w:cstheme="majorHAnsi"/>
          <w:sz w:val="22"/>
          <w:szCs w:val="22"/>
        </w:rPr>
        <w:t>Prenzler</w:t>
      </w:r>
      <w:proofErr w:type="spellEnd"/>
      <w:r w:rsidRPr="00C928BC">
        <w:rPr>
          <w:rFonts w:asciiTheme="majorHAnsi" w:hAnsiTheme="majorHAnsi" w:cstheme="majorHAnsi"/>
          <w:sz w:val="22"/>
          <w:szCs w:val="22"/>
        </w:rPr>
        <w:t xml:space="preserve"> </w:t>
      </w:r>
      <w:r w:rsidRPr="00C928BC">
        <w:rPr>
          <w:rFonts w:asciiTheme="majorHAnsi" w:hAnsiTheme="majorHAnsi" w:cstheme="majorHAnsi"/>
          <w:i/>
          <w:iCs/>
          <w:sz w:val="22"/>
          <w:szCs w:val="22"/>
        </w:rPr>
        <w:t>et al.</w:t>
      </w:r>
      <w:r w:rsidRPr="00C928BC">
        <w:rPr>
          <w:rFonts w:asciiTheme="majorHAnsi" w:hAnsiTheme="majorHAnsi" w:cstheme="majorHAnsi"/>
          <w:sz w:val="22"/>
          <w:szCs w:val="22"/>
        </w:rPr>
        <w:t xml:space="preserve"> (2013) </w:t>
      </w:r>
      <w:bookmarkEnd w:id="8"/>
      <w:r w:rsidRPr="00C928BC">
        <w:rPr>
          <w:rFonts w:asciiTheme="majorHAnsi" w:hAnsiTheme="majorHAnsi" w:cstheme="majorHAnsi"/>
          <w:i/>
          <w:iCs/>
          <w:sz w:val="22"/>
          <w:szCs w:val="22"/>
        </w:rPr>
        <w:t>Reducing police use of force: Case studies and prospects</w:t>
      </w:r>
      <w:r w:rsidRPr="00C928BC">
        <w:rPr>
          <w:rFonts w:asciiTheme="majorHAnsi" w:hAnsiTheme="majorHAnsi" w:cstheme="majorHAnsi"/>
          <w:sz w:val="22"/>
          <w:szCs w:val="22"/>
        </w:rPr>
        <w:t xml:space="preserve">, </w:t>
      </w:r>
      <w:r w:rsidRPr="00C928BC">
        <w:rPr>
          <w:rFonts w:asciiTheme="majorHAnsi" w:hAnsiTheme="majorHAnsi" w:cstheme="majorHAnsi"/>
          <w:i/>
          <w:iCs/>
          <w:sz w:val="22"/>
          <w:szCs w:val="22"/>
        </w:rPr>
        <w:t xml:space="preserve">Aggression and Violent </w:t>
      </w:r>
      <w:proofErr w:type="spellStart"/>
      <w:r w:rsidRPr="00C928BC">
        <w:rPr>
          <w:rFonts w:asciiTheme="majorHAnsi" w:hAnsiTheme="majorHAnsi" w:cstheme="majorHAnsi"/>
          <w:i/>
          <w:iCs/>
          <w:sz w:val="22"/>
          <w:szCs w:val="22"/>
        </w:rPr>
        <w:t>Behavior</w:t>
      </w:r>
      <w:proofErr w:type="spellEnd"/>
      <w:r w:rsidRPr="00C928BC">
        <w:rPr>
          <w:rFonts w:asciiTheme="majorHAnsi" w:hAnsiTheme="majorHAnsi" w:cstheme="majorHAnsi"/>
          <w:sz w:val="22"/>
          <w:szCs w:val="22"/>
        </w:rPr>
        <w:t xml:space="preserve">. Available at: https://www.sciencedirect.com/science/article/abs/pii/S1359178912001528 (Accessed: 05 September 2023). </w:t>
      </w:r>
    </w:p>
    <w:p w14:paraId="6ADA926E" w14:textId="77777777" w:rsidR="00A132B9" w:rsidRPr="00C928BC" w:rsidRDefault="00A132B9" w:rsidP="00C928BC">
      <w:pPr>
        <w:suppressAutoHyphens/>
        <w:autoSpaceDN w:val="0"/>
        <w:spacing w:line="360" w:lineRule="auto"/>
        <w:rPr>
          <w:rFonts w:asciiTheme="majorHAnsi" w:eastAsia="Calibri" w:hAnsiTheme="majorHAnsi" w:cstheme="majorHAnsi"/>
          <w:kern w:val="3"/>
          <w14:ligatures w14:val="none"/>
        </w:rPr>
      </w:pPr>
      <w:r w:rsidRPr="00C928BC">
        <w:rPr>
          <w:rFonts w:asciiTheme="majorHAnsi" w:eastAsia="Calibri" w:hAnsiTheme="majorHAnsi" w:cstheme="majorHAnsi"/>
          <w:i/>
          <w:kern w:val="3"/>
          <w14:ligatures w14:val="none"/>
        </w:rPr>
        <w:t>Proven reoffending statistics: January to March 2021</w:t>
      </w:r>
      <w:r w:rsidRPr="00C928BC">
        <w:rPr>
          <w:rFonts w:asciiTheme="majorHAnsi" w:eastAsia="Calibri" w:hAnsiTheme="majorHAnsi" w:cstheme="majorHAnsi"/>
          <w:kern w:val="3"/>
          <w14:ligatures w14:val="none"/>
        </w:rPr>
        <w:t xml:space="preserve"> (2022) </w:t>
      </w:r>
      <w:r w:rsidRPr="00C928BC">
        <w:rPr>
          <w:rFonts w:asciiTheme="majorHAnsi" w:eastAsia="Calibri" w:hAnsiTheme="majorHAnsi" w:cstheme="majorHAnsi"/>
          <w:i/>
          <w:kern w:val="3"/>
          <w14:ligatures w14:val="none"/>
        </w:rPr>
        <w:t>GOV.UK</w:t>
      </w:r>
      <w:r w:rsidRPr="00C928BC">
        <w:rPr>
          <w:rFonts w:asciiTheme="majorHAnsi" w:eastAsia="Calibri" w:hAnsiTheme="majorHAnsi" w:cstheme="majorHAnsi"/>
          <w:kern w:val="3"/>
          <w14:ligatures w14:val="none"/>
        </w:rPr>
        <w:t xml:space="preserve">. Available at: https://www.gov.uk/government/statistics/proven-reoffending-statistics-january-to-march-2021/proven-reoffending-statistics-january-to-march-2021 (Accessed: 04 September 2023). </w:t>
      </w:r>
    </w:p>
    <w:p w14:paraId="5E3066C4" w14:textId="77777777" w:rsidR="00A132B9" w:rsidRPr="00C928BC" w:rsidRDefault="00A132B9" w:rsidP="00C928BC">
      <w:pPr>
        <w:rPr>
          <w:rFonts w:asciiTheme="majorHAnsi" w:hAnsiTheme="majorHAnsi" w:cstheme="majorHAnsi"/>
        </w:rPr>
      </w:pPr>
      <w:r w:rsidRPr="00C928BC">
        <w:rPr>
          <w:rFonts w:asciiTheme="majorHAnsi" w:hAnsiTheme="majorHAnsi" w:cstheme="majorHAnsi"/>
          <w:i/>
          <w:iCs/>
        </w:rPr>
        <w:t>Sage journals: Your gateway to world-class journal research</w:t>
      </w:r>
      <w:r w:rsidRPr="00C928BC">
        <w:rPr>
          <w:rFonts w:asciiTheme="majorHAnsi" w:hAnsiTheme="majorHAnsi" w:cstheme="majorHAnsi"/>
        </w:rPr>
        <w:t xml:space="preserve"> (2016) </w:t>
      </w:r>
      <w:proofErr w:type="spellStart"/>
      <w:r w:rsidRPr="00C928BC">
        <w:rPr>
          <w:rFonts w:asciiTheme="majorHAnsi" w:hAnsiTheme="majorHAnsi" w:cstheme="majorHAnsi"/>
          <w:i/>
          <w:iCs/>
        </w:rPr>
        <w:t>Journals.sagepub</w:t>
      </w:r>
      <w:proofErr w:type="spellEnd"/>
      <w:r w:rsidRPr="00C928BC">
        <w:rPr>
          <w:rFonts w:asciiTheme="majorHAnsi" w:hAnsiTheme="majorHAnsi" w:cstheme="majorHAnsi"/>
        </w:rPr>
        <w:t xml:space="preserve">. Available at: https://journals.sagepub.com/doi/full/10.1177/1461355716638361 (Accessed: 04 August 2023). </w:t>
      </w:r>
    </w:p>
    <w:p w14:paraId="01E3611F" w14:textId="77777777" w:rsidR="00A132B9" w:rsidRPr="00BA1173" w:rsidRDefault="00A132B9" w:rsidP="00BA1173">
      <w:pPr>
        <w:spacing w:line="360" w:lineRule="auto"/>
        <w:rPr>
          <w:rFonts w:asciiTheme="majorHAnsi" w:hAnsiTheme="majorHAnsi" w:cstheme="majorHAnsi"/>
          <w:kern w:val="0"/>
          <w14:ligatures w14:val="none"/>
        </w:rPr>
      </w:pPr>
      <w:r w:rsidRPr="00BA1173">
        <w:rPr>
          <w:rFonts w:asciiTheme="majorHAnsi" w:hAnsiTheme="majorHAnsi" w:cstheme="majorHAnsi"/>
          <w:kern w:val="0"/>
          <w14:ligatures w14:val="none"/>
        </w:rPr>
        <w:t xml:space="preserve">Saville, G. and Cleveland, G. (2013) ‘Second-generation </w:t>
      </w:r>
      <w:proofErr w:type="spellStart"/>
      <w:r w:rsidRPr="00BA1173">
        <w:rPr>
          <w:rFonts w:asciiTheme="majorHAnsi" w:hAnsiTheme="majorHAnsi" w:cstheme="majorHAnsi"/>
          <w:kern w:val="0"/>
          <w14:ligatures w14:val="none"/>
        </w:rPr>
        <w:t>cpted</w:t>
      </w:r>
      <w:proofErr w:type="spellEnd"/>
      <w:r w:rsidRPr="00BA1173">
        <w:rPr>
          <w:rFonts w:asciiTheme="majorHAnsi" w:hAnsiTheme="majorHAnsi" w:cstheme="majorHAnsi"/>
          <w:kern w:val="0"/>
          <w14:ligatures w14:val="none"/>
        </w:rPr>
        <w:t xml:space="preserve">’, </w:t>
      </w:r>
      <w:r w:rsidRPr="00BA1173">
        <w:rPr>
          <w:rFonts w:asciiTheme="majorHAnsi" w:hAnsiTheme="majorHAnsi" w:cstheme="majorHAnsi"/>
          <w:i/>
          <w:kern w:val="0"/>
          <w14:ligatures w14:val="none"/>
        </w:rPr>
        <w:t>21st Century Security and CPTED</w:t>
      </w:r>
      <w:r w:rsidRPr="00BA1173">
        <w:rPr>
          <w:rFonts w:asciiTheme="majorHAnsi" w:hAnsiTheme="majorHAnsi" w:cstheme="majorHAnsi"/>
          <w:kern w:val="0"/>
          <w14:ligatures w14:val="none"/>
        </w:rPr>
        <w:t xml:space="preserve">, pp. 91–106. doi:10.1201/b15046-8. </w:t>
      </w:r>
    </w:p>
    <w:p w14:paraId="0B1195AB" w14:textId="77777777" w:rsidR="00A132B9" w:rsidRPr="00C928BC" w:rsidRDefault="00A132B9" w:rsidP="00722486">
      <w:pPr>
        <w:spacing w:line="360" w:lineRule="auto"/>
        <w:rPr>
          <w:rFonts w:asciiTheme="majorHAnsi" w:hAnsiTheme="majorHAnsi" w:cstheme="majorHAnsi"/>
        </w:rPr>
      </w:pPr>
      <w:proofErr w:type="spellStart"/>
      <w:r w:rsidRPr="00C928BC">
        <w:rPr>
          <w:rFonts w:asciiTheme="majorHAnsi" w:hAnsiTheme="majorHAnsi" w:cstheme="majorHAnsi"/>
        </w:rPr>
        <w:t>Seba</w:t>
      </w:r>
      <w:proofErr w:type="spellEnd"/>
      <w:r w:rsidRPr="00C928BC">
        <w:rPr>
          <w:rFonts w:asciiTheme="majorHAnsi" w:hAnsiTheme="majorHAnsi" w:cstheme="majorHAnsi"/>
        </w:rPr>
        <w:t xml:space="preserve">, I. and Rowley, J. (2010) ‘Knowledge management in UK police forces’, </w:t>
      </w:r>
      <w:r w:rsidRPr="00C928BC">
        <w:rPr>
          <w:rFonts w:asciiTheme="majorHAnsi" w:hAnsiTheme="majorHAnsi" w:cstheme="majorHAnsi"/>
          <w:i/>
        </w:rPr>
        <w:t>Journal of Knowledge Management</w:t>
      </w:r>
      <w:r w:rsidRPr="00C928BC">
        <w:rPr>
          <w:rFonts w:asciiTheme="majorHAnsi" w:hAnsiTheme="majorHAnsi" w:cstheme="majorHAnsi"/>
        </w:rPr>
        <w:t xml:space="preserve">, 14(4), pp. 611–626. doi:10.1108/13673271011059554. </w:t>
      </w:r>
    </w:p>
    <w:p w14:paraId="3CA76577" w14:textId="77777777" w:rsidR="00A132B9" w:rsidRDefault="00A132B9" w:rsidP="00A132B9">
      <w:pPr>
        <w:pStyle w:val="NormalWeb"/>
        <w:rPr>
          <w:rFonts w:asciiTheme="majorHAnsi" w:hAnsiTheme="majorHAnsi" w:cstheme="majorHAnsi"/>
          <w:sz w:val="22"/>
          <w:szCs w:val="22"/>
        </w:rPr>
      </w:pPr>
      <w:r w:rsidRPr="00C928BC">
        <w:rPr>
          <w:rFonts w:asciiTheme="majorHAnsi" w:hAnsiTheme="majorHAnsi" w:cstheme="majorHAnsi"/>
          <w:i/>
          <w:iCs/>
          <w:sz w:val="22"/>
          <w:szCs w:val="22"/>
        </w:rPr>
        <w:t>Socialisation of student officers</w:t>
      </w:r>
      <w:r w:rsidRPr="00C928BC">
        <w:rPr>
          <w:rFonts w:asciiTheme="majorHAnsi" w:hAnsiTheme="majorHAnsi" w:cstheme="majorHAnsi"/>
          <w:sz w:val="22"/>
          <w:szCs w:val="22"/>
        </w:rPr>
        <w:t xml:space="preserve"> (2022) </w:t>
      </w:r>
      <w:r w:rsidRPr="00C928BC">
        <w:rPr>
          <w:rFonts w:asciiTheme="majorHAnsi" w:hAnsiTheme="majorHAnsi" w:cstheme="majorHAnsi"/>
          <w:i/>
          <w:iCs/>
          <w:sz w:val="22"/>
          <w:szCs w:val="22"/>
        </w:rPr>
        <w:t>College of Policing</w:t>
      </w:r>
      <w:r w:rsidRPr="00C928BC">
        <w:rPr>
          <w:rFonts w:asciiTheme="majorHAnsi" w:hAnsiTheme="majorHAnsi" w:cstheme="majorHAnsi"/>
          <w:sz w:val="22"/>
          <w:szCs w:val="22"/>
        </w:rPr>
        <w:t xml:space="preserve">. Available at: https://www.college.police.uk/article/socialisation-student-officers (Accessed: 05 September 2023). </w:t>
      </w:r>
    </w:p>
    <w:p w14:paraId="7CEC545E" w14:textId="77777777" w:rsidR="00A132B9" w:rsidRPr="00C928BC" w:rsidRDefault="00A132B9" w:rsidP="00722486">
      <w:pPr>
        <w:spacing w:line="360" w:lineRule="auto"/>
        <w:rPr>
          <w:rFonts w:asciiTheme="majorHAnsi" w:hAnsiTheme="majorHAnsi" w:cstheme="majorHAnsi"/>
        </w:rPr>
      </w:pPr>
      <w:r w:rsidRPr="00C928BC">
        <w:rPr>
          <w:rFonts w:asciiTheme="majorHAnsi" w:hAnsiTheme="majorHAnsi" w:cstheme="majorHAnsi"/>
        </w:rPr>
        <w:t xml:space="preserve">Velazquez, E. and Hernandez, M. (2019) ‘Effects of police officer exposure to traumatic experiences and recognizing the stigma associated with police officer mental health’, </w:t>
      </w:r>
      <w:r w:rsidRPr="00C928BC">
        <w:rPr>
          <w:rFonts w:asciiTheme="majorHAnsi" w:hAnsiTheme="majorHAnsi" w:cstheme="majorHAnsi"/>
          <w:i/>
        </w:rPr>
        <w:t>Policing: An International Journal</w:t>
      </w:r>
      <w:r w:rsidRPr="00C928BC">
        <w:rPr>
          <w:rFonts w:asciiTheme="majorHAnsi" w:hAnsiTheme="majorHAnsi" w:cstheme="majorHAnsi"/>
        </w:rPr>
        <w:t xml:space="preserve">, 42(4), pp. 711–724. doi:10.1108/pijpsm-09-2018-0147. </w:t>
      </w:r>
    </w:p>
    <w:p w14:paraId="116D9C61" w14:textId="77777777" w:rsidR="00A132B9" w:rsidRPr="00BA1173" w:rsidRDefault="00A132B9" w:rsidP="00BA1173">
      <w:pPr>
        <w:spacing w:line="360" w:lineRule="auto"/>
        <w:rPr>
          <w:rFonts w:asciiTheme="majorHAnsi" w:hAnsiTheme="majorHAnsi" w:cstheme="majorHAnsi"/>
          <w:kern w:val="0"/>
          <w14:ligatures w14:val="none"/>
        </w:rPr>
      </w:pPr>
      <w:r w:rsidRPr="00BA1173">
        <w:rPr>
          <w:rFonts w:asciiTheme="majorHAnsi" w:hAnsiTheme="majorHAnsi" w:cstheme="majorHAnsi"/>
          <w:kern w:val="0"/>
          <w14:ligatures w14:val="none"/>
        </w:rPr>
        <w:lastRenderedPageBreak/>
        <w:t xml:space="preserve">Walker, J.T. (2011) </w:t>
      </w:r>
      <w:r w:rsidRPr="00BA1173">
        <w:rPr>
          <w:rFonts w:asciiTheme="majorHAnsi" w:hAnsiTheme="majorHAnsi" w:cstheme="majorHAnsi"/>
          <w:i/>
          <w:kern w:val="0"/>
          <w14:ligatures w14:val="none"/>
        </w:rPr>
        <w:t>Social, ecological and environmental theories of crime</w:t>
      </w:r>
      <w:r w:rsidRPr="00BA1173">
        <w:rPr>
          <w:rFonts w:asciiTheme="majorHAnsi" w:hAnsiTheme="majorHAnsi" w:cstheme="majorHAnsi"/>
          <w:kern w:val="0"/>
          <w14:ligatures w14:val="none"/>
        </w:rPr>
        <w:t xml:space="preserve">. Surrey, England: Ashgate. </w:t>
      </w:r>
    </w:p>
    <w:p w14:paraId="3514DD07" w14:textId="77777777" w:rsidR="00A132B9" w:rsidRPr="00C928BC" w:rsidRDefault="00A132B9" w:rsidP="00722486">
      <w:pPr>
        <w:spacing w:line="360" w:lineRule="auto"/>
        <w:rPr>
          <w:rFonts w:asciiTheme="majorHAnsi" w:hAnsiTheme="majorHAnsi" w:cstheme="majorHAnsi"/>
        </w:rPr>
      </w:pPr>
      <w:bookmarkStart w:id="9" w:name="_Hlk144644051"/>
      <w:r w:rsidRPr="00C928BC">
        <w:rPr>
          <w:rFonts w:asciiTheme="majorHAnsi" w:hAnsiTheme="majorHAnsi" w:cstheme="majorHAnsi"/>
        </w:rPr>
        <w:t>Waters, J.A. and Ussery, W. (2007</w:t>
      </w:r>
      <w:bookmarkEnd w:id="9"/>
      <w:r w:rsidRPr="00C928BC">
        <w:rPr>
          <w:rFonts w:asciiTheme="majorHAnsi" w:hAnsiTheme="majorHAnsi" w:cstheme="majorHAnsi"/>
        </w:rPr>
        <w:t xml:space="preserve">) </w:t>
      </w:r>
      <w:r w:rsidRPr="00C928BC">
        <w:rPr>
          <w:rFonts w:asciiTheme="majorHAnsi" w:hAnsiTheme="majorHAnsi" w:cstheme="majorHAnsi"/>
          <w:i/>
          <w:iCs/>
        </w:rPr>
        <w:t>Police stress: History, contributing factors, symptoms, and interventions</w:t>
      </w:r>
      <w:r w:rsidRPr="00C928BC">
        <w:rPr>
          <w:rFonts w:asciiTheme="majorHAnsi" w:hAnsiTheme="majorHAnsi" w:cstheme="majorHAnsi"/>
        </w:rPr>
        <w:t xml:space="preserve">, </w:t>
      </w:r>
      <w:r w:rsidRPr="00C928BC">
        <w:rPr>
          <w:rFonts w:asciiTheme="majorHAnsi" w:hAnsiTheme="majorHAnsi" w:cstheme="majorHAnsi"/>
          <w:i/>
          <w:iCs/>
        </w:rPr>
        <w:t>Policing: An International Journal of Police Strategies &amp; Management</w:t>
      </w:r>
      <w:r w:rsidRPr="00C928BC">
        <w:rPr>
          <w:rFonts w:asciiTheme="majorHAnsi" w:hAnsiTheme="majorHAnsi" w:cstheme="majorHAnsi"/>
        </w:rPr>
        <w:t xml:space="preserve">. Available at: https://www.emerald.com/insight/content/doi/10.1108/13639510710753199/full/html#idm46179910141872 (Accessed: 03 September 2023). </w:t>
      </w:r>
    </w:p>
    <w:p w14:paraId="7C701A53" w14:textId="77777777" w:rsidR="00A132B9" w:rsidRPr="00C928BC" w:rsidRDefault="00A132B9" w:rsidP="00A132B9">
      <w:pPr>
        <w:pStyle w:val="NormalWeb"/>
        <w:rPr>
          <w:rFonts w:asciiTheme="majorHAnsi" w:hAnsiTheme="majorHAnsi" w:cstheme="majorHAnsi"/>
          <w:sz w:val="22"/>
          <w:szCs w:val="22"/>
        </w:rPr>
      </w:pPr>
      <w:r w:rsidRPr="00C928BC">
        <w:rPr>
          <w:rFonts w:asciiTheme="majorHAnsi" w:hAnsiTheme="majorHAnsi" w:cstheme="majorHAnsi"/>
          <w:sz w:val="22"/>
          <w:szCs w:val="22"/>
        </w:rPr>
        <w:t xml:space="preserve">Westmarland, L. and Conway, S. (2020) ‘Police ethics and integrity: Keeping the “Blue Code” of Silence’, </w:t>
      </w:r>
      <w:r w:rsidRPr="00C928BC">
        <w:rPr>
          <w:rFonts w:asciiTheme="majorHAnsi" w:hAnsiTheme="majorHAnsi" w:cstheme="majorHAnsi"/>
          <w:i/>
          <w:iCs/>
          <w:sz w:val="22"/>
          <w:szCs w:val="22"/>
        </w:rPr>
        <w:t>International Journal of Police Science &amp;amp; Management</w:t>
      </w:r>
      <w:r w:rsidRPr="00C928BC">
        <w:rPr>
          <w:rFonts w:asciiTheme="majorHAnsi" w:hAnsiTheme="majorHAnsi" w:cstheme="majorHAnsi"/>
          <w:sz w:val="22"/>
          <w:szCs w:val="22"/>
        </w:rPr>
        <w:t xml:space="preserve">, 22(4), pp. 378–392. doi:10.1177/1461355720947762. </w:t>
      </w:r>
    </w:p>
    <w:p w14:paraId="73AED89C" w14:textId="77777777" w:rsidR="00A132B9" w:rsidRPr="00C928BC" w:rsidRDefault="00A132B9" w:rsidP="00C928BC">
      <w:pPr>
        <w:suppressAutoHyphens/>
        <w:autoSpaceDN w:val="0"/>
        <w:spacing w:line="360" w:lineRule="auto"/>
        <w:rPr>
          <w:rFonts w:asciiTheme="majorHAnsi" w:eastAsia="Calibri" w:hAnsiTheme="majorHAnsi" w:cstheme="majorHAnsi"/>
          <w:kern w:val="3"/>
          <w14:ligatures w14:val="none"/>
        </w:rPr>
      </w:pPr>
      <w:r w:rsidRPr="00C928BC">
        <w:rPr>
          <w:rFonts w:asciiTheme="majorHAnsi" w:eastAsia="Calibri" w:hAnsiTheme="majorHAnsi" w:cstheme="majorHAnsi"/>
          <w:kern w:val="3"/>
          <w14:ligatures w14:val="none"/>
        </w:rPr>
        <w:t xml:space="preserve">Wood, D. </w:t>
      </w:r>
      <w:r w:rsidRPr="00C928BC">
        <w:rPr>
          <w:rFonts w:asciiTheme="majorHAnsi" w:eastAsia="Calibri" w:hAnsiTheme="majorHAnsi" w:cstheme="majorHAnsi"/>
          <w:i/>
          <w:kern w:val="3"/>
          <w14:ligatures w14:val="none"/>
        </w:rPr>
        <w:t>et al.</w:t>
      </w:r>
      <w:r w:rsidRPr="00C928BC">
        <w:rPr>
          <w:rFonts w:asciiTheme="majorHAnsi" w:eastAsia="Calibri" w:hAnsiTheme="majorHAnsi" w:cstheme="majorHAnsi"/>
          <w:kern w:val="3"/>
          <w14:ligatures w14:val="none"/>
        </w:rPr>
        <w:t xml:space="preserve"> (2021) </w:t>
      </w:r>
      <w:r w:rsidRPr="00C928BC">
        <w:rPr>
          <w:rFonts w:asciiTheme="majorHAnsi" w:eastAsia="Calibri" w:hAnsiTheme="majorHAnsi" w:cstheme="majorHAnsi"/>
          <w:i/>
          <w:kern w:val="3"/>
          <w14:ligatures w14:val="none"/>
        </w:rPr>
        <w:t>Blackstone’s Handbook for Policing Students</w:t>
      </w:r>
      <w:r w:rsidRPr="00C928BC">
        <w:rPr>
          <w:rFonts w:asciiTheme="majorHAnsi" w:eastAsia="Calibri" w:hAnsiTheme="majorHAnsi" w:cstheme="majorHAnsi"/>
          <w:kern w:val="3"/>
          <w14:ligatures w14:val="none"/>
        </w:rPr>
        <w:t xml:space="preserve">. Oxford: Oxford University Press. </w:t>
      </w:r>
    </w:p>
    <w:p w14:paraId="15B8DF9F" w14:textId="77777777" w:rsidR="00A132B9" w:rsidRPr="00BA1173" w:rsidRDefault="00A132B9" w:rsidP="00BA1173">
      <w:pPr>
        <w:spacing w:line="360" w:lineRule="auto"/>
        <w:rPr>
          <w:rFonts w:asciiTheme="majorHAnsi" w:hAnsiTheme="majorHAnsi" w:cstheme="majorHAnsi"/>
          <w:kern w:val="0"/>
          <w14:ligatures w14:val="none"/>
        </w:rPr>
      </w:pPr>
      <w:r w:rsidRPr="00BA1173">
        <w:rPr>
          <w:rFonts w:asciiTheme="majorHAnsi" w:hAnsiTheme="majorHAnsi" w:cstheme="majorHAnsi"/>
          <w:kern w:val="0"/>
          <w14:ligatures w14:val="none"/>
        </w:rPr>
        <w:t xml:space="preserve">Wortley, R. and </w:t>
      </w:r>
      <w:proofErr w:type="spellStart"/>
      <w:r w:rsidRPr="00BA1173">
        <w:rPr>
          <w:rFonts w:asciiTheme="majorHAnsi" w:hAnsiTheme="majorHAnsi" w:cstheme="majorHAnsi"/>
          <w:kern w:val="0"/>
          <w14:ligatures w14:val="none"/>
        </w:rPr>
        <w:t>Townsley</w:t>
      </w:r>
      <w:proofErr w:type="spellEnd"/>
      <w:r w:rsidRPr="00BA1173">
        <w:rPr>
          <w:rFonts w:asciiTheme="majorHAnsi" w:hAnsiTheme="majorHAnsi" w:cstheme="majorHAnsi"/>
          <w:kern w:val="0"/>
          <w14:ligatures w14:val="none"/>
        </w:rPr>
        <w:t xml:space="preserve">, M. (2017) </w:t>
      </w:r>
      <w:r w:rsidRPr="00BA1173">
        <w:rPr>
          <w:rFonts w:asciiTheme="majorHAnsi" w:hAnsiTheme="majorHAnsi" w:cstheme="majorHAnsi"/>
          <w:i/>
          <w:kern w:val="0"/>
          <w14:ligatures w14:val="none"/>
        </w:rPr>
        <w:t>Environmental criminology and crime analysis</w:t>
      </w:r>
      <w:r w:rsidRPr="00BA1173">
        <w:rPr>
          <w:rFonts w:asciiTheme="majorHAnsi" w:hAnsiTheme="majorHAnsi" w:cstheme="majorHAnsi"/>
          <w:kern w:val="0"/>
          <w14:ligatures w14:val="none"/>
        </w:rPr>
        <w:t xml:space="preserve">. London: Routledge, Taylor &amp; Francis Group. </w:t>
      </w:r>
    </w:p>
    <w:p w14:paraId="47703534" w14:textId="77777777" w:rsidR="00BA1173" w:rsidRPr="00BA1173" w:rsidRDefault="00BA1173" w:rsidP="00BA1173">
      <w:pPr>
        <w:spacing w:line="360" w:lineRule="auto"/>
        <w:rPr>
          <w:rFonts w:asciiTheme="majorHAnsi" w:hAnsiTheme="majorHAnsi" w:cstheme="majorHAnsi"/>
          <w:kern w:val="0"/>
          <w14:ligatures w14:val="none"/>
        </w:rPr>
      </w:pPr>
    </w:p>
    <w:p w14:paraId="60A27578" w14:textId="77777777" w:rsidR="00BA1173" w:rsidRPr="00C928BC" w:rsidRDefault="00BA1173" w:rsidP="00BA1173">
      <w:pPr>
        <w:jc w:val="center"/>
        <w:rPr>
          <w:rFonts w:asciiTheme="majorHAnsi" w:hAnsiTheme="majorHAnsi" w:cstheme="majorHAnsi"/>
        </w:rPr>
      </w:pPr>
    </w:p>
    <w:p w14:paraId="24FA4532" w14:textId="77777777" w:rsidR="00BA1173" w:rsidRPr="00C928BC" w:rsidRDefault="00BA1173" w:rsidP="00BA1173">
      <w:pPr>
        <w:jc w:val="center"/>
        <w:rPr>
          <w:rFonts w:asciiTheme="majorHAnsi" w:hAnsiTheme="majorHAnsi" w:cstheme="majorHAnsi"/>
        </w:rPr>
      </w:pPr>
    </w:p>
    <w:p w14:paraId="53114981" w14:textId="77777777" w:rsidR="00BA1173" w:rsidRPr="00C928BC" w:rsidRDefault="00BA1173">
      <w:pPr>
        <w:rPr>
          <w:rFonts w:asciiTheme="majorHAnsi" w:hAnsiTheme="majorHAnsi" w:cstheme="majorHAnsi"/>
        </w:rPr>
      </w:pPr>
    </w:p>
    <w:p w14:paraId="2DB3E29E" w14:textId="77777777" w:rsidR="00BA1173" w:rsidRPr="00C928BC" w:rsidRDefault="00BA1173">
      <w:pPr>
        <w:rPr>
          <w:rFonts w:asciiTheme="majorHAnsi" w:hAnsiTheme="majorHAnsi" w:cstheme="majorHAnsi"/>
        </w:rPr>
      </w:pPr>
    </w:p>
    <w:p w14:paraId="2FFA442A" w14:textId="77777777" w:rsidR="00BA1173" w:rsidRPr="00C928BC" w:rsidRDefault="00BA1173">
      <w:pPr>
        <w:rPr>
          <w:rFonts w:asciiTheme="majorHAnsi" w:hAnsiTheme="majorHAnsi" w:cstheme="majorHAnsi"/>
        </w:rPr>
      </w:pPr>
    </w:p>
    <w:p w14:paraId="70AA0E9E" w14:textId="77777777" w:rsidR="00BA1173" w:rsidRPr="00C928BC" w:rsidRDefault="00BA1173">
      <w:pPr>
        <w:rPr>
          <w:rFonts w:asciiTheme="majorHAnsi" w:hAnsiTheme="majorHAnsi" w:cstheme="majorHAnsi"/>
        </w:rPr>
      </w:pPr>
    </w:p>
    <w:p w14:paraId="5C9E0116" w14:textId="77777777" w:rsidR="00BA1173" w:rsidRPr="00C928BC" w:rsidRDefault="00BA1173">
      <w:pPr>
        <w:rPr>
          <w:rFonts w:asciiTheme="majorHAnsi" w:hAnsiTheme="majorHAnsi" w:cstheme="majorHAnsi"/>
        </w:rPr>
      </w:pPr>
    </w:p>
    <w:p w14:paraId="780E209A" w14:textId="77777777" w:rsidR="00BA1173" w:rsidRPr="00C928BC" w:rsidRDefault="00BA1173">
      <w:pPr>
        <w:rPr>
          <w:rFonts w:asciiTheme="majorHAnsi" w:hAnsiTheme="majorHAnsi" w:cstheme="majorHAnsi"/>
        </w:rPr>
      </w:pPr>
    </w:p>
    <w:p w14:paraId="61811746" w14:textId="77777777" w:rsidR="00BA1173" w:rsidRPr="00C928BC" w:rsidRDefault="00BA1173">
      <w:pPr>
        <w:rPr>
          <w:rFonts w:asciiTheme="majorHAnsi" w:hAnsiTheme="majorHAnsi" w:cstheme="majorHAnsi"/>
        </w:rPr>
      </w:pPr>
    </w:p>
    <w:p w14:paraId="70D45B96" w14:textId="77777777" w:rsidR="00BA1173" w:rsidRPr="00C928BC" w:rsidRDefault="00BA1173">
      <w:pPr>
        <w:rPr>
          <w:rFonts w:asciiTheme="majorHAnsi" w:hAnsiTheme="majorHAnsi" w:cstheme="majorHAnsi"/>
        </w:rPr>
      </w:pPr>
    </w:p>
    <w:p w14:paraId="7CAFB33D" w14:textId="77777777" w:rsidR="00BA1173" w:rsidRPr="00C928BC" w:rsidRDefault="00BA1173">
      <w:pPr>
        <w:rPr>
          <w:rFonts w:asciiTheme="majorHAnsi" w:hAnsiTheme="majorHAnsi" w:cstheme="majorHAnsi"/>
        </w:rPr>
      </w:pPr>
    </w:p>
    <w:p w14:paraId="66C07349" w14:textId="77777777" w:rsidR="00BA1173" w:rsidRPr="00C928BC" w:rsidRDefault="00BA1173">
      <w:pPr>
        <w:rPr>
          <w:rFonts w:asciiTheme="majorHAnsi" w:hAnsiTheme="majorHAnsi" w:cstheme="majorHAnsi"/>
        </w:rPr>
      </w:pPr>
    </w:p>
    <w:p w14:paraId="0B65B4F5" w14:textId="77777777" w:rsidR="00BA1173" w:rsidRPr="00C928BC" w:rsidRDefault="00BA1173">
      <w:pPr>
        <w:rPr>
          <w:rFonts w:asciiTheme="majorHAnsi" w:hAnsiTheme="majorHAnsi" w:cstheme="majorHAnsi"/>
        </w:rPr>
      </w:pPr>
    </w:p>
    <w:p w14:paraId="27115E10" w14:textId="77777777" w:rsidR="00BA1173" w:rsidRPr="00C928BC" w:rsidRDefault="00BA1173">
      <w:pPr>
        <w:rPr>
          <w:rFonts w:asciiTheme="majorHAnsi" w:hAnsiTheme="majorHAnsi" w:cstheme="majorHAnsi"/>
        </w:rPr>
      </w:pPr>
    </w:p>
    <w:p w14:paraId="537FEFEF" w14:textId="77777777" w:rsidR="00BA1173" w:rsidRPr="00C928BC" w:rsidRDefault="00BA1173">
      <w:pPr>
        <w:rPr>
          <w:rFonts w:asciiTheme="majorHAnsi" w:hAnsiTheme="majorHAnsi" w:cstheme="majorHAnsi"/>
        </w:rPr>
      </w:pPr>
    </w:p>
    <w:p w14:paraId="0BA4B586" w14:textId="77777777" w:rsidR="00BA1173" w:rsidRPr="00C928BC" w:rsidRDefault="00BA1173">
      <w:pPr>
        <w:rPr>
          <w:rFonts w:asciiTheme="majorHAnsi" w:hAnsiTheme="majorHAnsi" w:cstheme="majorHAnsi"/>
        </w:rPr>
      </w:pPr>
    </w:p>
    <w:p w14:paraId="1E704041" w14:textId="77777777" w:rsidR="00BA1173" w:rsidRPr="00C928BC" w:rsidRDefault="00BA1173">
      <w:pPr>
        <w:rPr>
          <w:rFonts w:asciiTheme="majorHAnsi" w:hAnsiTheme="majorHAnsi" w:cstheme="majorHAnsi"/>
        </w:rPr>
      </w:pPr>
    </w:p>
    <w:p w14:paraId="4FBDEA3B" w14:textId="77777777" w:rsidR="00BA1173" w:rsidRPr="00C928BC" w:rsidRDefault="00BA1173">
      <w:pPr>
        <w:rPr>
          <w:rFonts w:asciiTheme="majorHAnsi" w:hAnsiTheme="majorHAnsi" w:cstheme="majorHAnsi"/>
        </w:rPr>
      </w:pPr>
    </w:p>
    <w:p w14:paraId="10BEA5E2" w14:textId="77777777" w:rsidR="00BA1173" w:rsidRPr="00C928BC" w:rsidRDefault="00BA1173">
      <w:pPr>
        <w:rPr>
          <w:rFonts w:asciiTheme="majorHAnsi" w:hAnsiTheme="majorHAnsi" w:cstheme="majorHAnsi"/>
        </w:rPr>
      </w:pPr>
    </w:p>
    <w:p w14:paraId="659E333A" w14:textId="77777777" w:rsidR="00BA1173" w:rsidRPr="00C928BC" w:rsidRDefault="00BA1173">
      <w:pPr>
        <w:rPr>
          <w:rFonts w:asciiTheme="majorHAnsi" w:hAnsiTheme="majorHAnsi" w:cstheme="majorHAnsi"/>
        </w:rPr>
      </w:pPr>
    </w:p>
    <w:p w14:paraId="4B2A31F7" w14:textId="77777777" w:rsidR="00BA1173" w:rsidRPr="00C928BC" w:rsidRDefault="00BA1173">
      <w:pPr>
        <w:rPr>
          <w:rFonts w:asciiTheme="majorHAnsi" w:hAnsiTheme="majorHAnsi" w:cstheme="majorHAnsi"/>
        </w:rPr>
      </w:pPr>
    </w:p>
    <w:p w14:paraId="1C6CBF67" w14:textId="77777777" w:rsidR="00BA1173" w:rsidRPr="00C928BC" w:rsidRDefault="00BA1173">
      <w:pPr>
        <w:rPr>
          <w:rFonts w:asciiTheme="majorHAnsi" w:hAnsiTheme="majorHAnsi" w:cstheme="majorHAnsi"/>
        </w:rPr>
      </w:pPr>
    </w:p>
    <w:p w14:paraId="3D9ECAF1" w14:textId="77777777" w:rsidR="00BA1173" w:rsidRPr="00C928BC" w:rsidRDefault="00BA1173">
      <w:pPr>
        <w:rPr>
          <w:rFonts w:asciiTheme="majorHAnsi" w:hAnsiTheme="majorHAnsi" w:cstheme="majorHAnsi"/>
        </w:rPr>
      </w:pPr>
    </w:p>
    <w:p w14:paraId="10EE5F11" w14:textId="77777777" w:rsidR="00BA1173" w:rsidRPr="00C928BC" w:rsidRDefault="00BA1173">
      <w:pPr>
        <w:rPr>
          <w:rFonts w:asciiTheme="majorHAnsi" w:hAnsiTheme="majorHAnsi" w:cstheme="majorHAnsi"/>
        </w:rPr>
      </w:pPr>
    </w:p>
    <w:p w14:paraId="5D0D1E8D" w14:textId="77777777" w:rsidR="00BA1173" w:rsidRPr="00C928BC" w:rsidRDefault="00BA1173">
      <w:pPr>
        <w:rPr>
          <w:rFonts w:asciiTheme="majorHAnsi" w:hAnsiTheme="majorHAnsi" w:cstheme="majorHAnsi"/>
        </w:rPr>
      </w:pPr>
    </w:p>
    <w:p w14:paraId="25496FE3" w14:textId="77777777" w:rsidR="00BA1173" w:rsidRPr="00C928BC" w:rsidRDefault="00BA1173">
      <w:pPr>
        <w:rPr>
          <w:rFonts w:asciiTheme="majorHAnsi" w:hAnsiTheme="majorHAnsi" w:cstheme="majorHAnsi"/>
        </w:rPr>
      </w:pPr>
    </w:p>
    <w:p w14:paraId="3C4FCA4C" w14:textId="77777777" w:rsidR="00BA1173" w:rsidRPr="00C928BC" w:rsidRDefault="00BA1173">
      <w:pPr>
        <w:rPr>
          <w:rFonts w:asciiTheme="majorHAnsi" w:hAnsiTheme="majorHAnsi" w:cstheme="majorHAnsi"/>
        </w:rPr>
      </w:pPr>
    </w:p>
    <w:p w14:paraId="02C50758" w14:textId="77777777" w:rsidR="00BA1173" w:rsidRPr="00C928BC" w:rsidRDefault="00BA1173">
      <w:pPr>
        <w:rPr>
          <w:rFonts w:asciiTheme="majorHAnsi" w:hAnsiTheme="majorHAnsi" w:cstheme="majorHAnsi"/>
        </w:rPr>
      </w:pPr>
    </w:p>
    <w:sectPr w:rsidR="00BA1173" w:rsidRPr="00C928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75174F"/>
    <w:multiLevelType w:val="hybridMultilevel"/>
    <w:tmpl w:val="C1046B4C"/>
    <w:lvl w:ilvl="0" w:tplc="BFDA9608">
      <w:start w:val="1"/>
      <w:numFmt w:val="bullet"/>
      <w:lvlText w:val="•"/>
      <w:lvlJc w:val="left"/>
      <w:pPr>
        <w:ind w:left="12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90C0552">
      <w:start w:val="1"/>
      <w:numFmt w:val="bullet"/>
      <w:lvlText w:val="o"/>
      <w:lvlJc w:val="left"/>
      <w:pPr>
        <w:ind w:left="200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924E2AE8">
      <w:start w:val="1"/>
      <w:numFmt w:val="bullet"/>
      <w:lvlText w:val="▪"/>
      <w:lvlJc w:val="left"/>
      <w:pPr>
        <w:ind w:left="272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8C12F946">
      <w:start w:val="1"/>
      <w:numFmt w:val="bullet"/>
      <w:lvlText w:val="•"/>
      <w:lvlJc w:val="left"/>
      <w:pPr>
        <w:ind w:left="34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0E07520">
      <w:start w:val="1"/>
      <w:numFmt w:val="bullet"/>
      <w:lvlText w:val="o"/>
      <w:lvlJc w:val="left"/>
      <w:pPr>
        <w:ind w:left="416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B5168EFC">
      <w:start w:val="1"/>
      <w:numFmt w:val="bullet"/>
      <w:lvlText w:val="▪"/>
      <w:lvlJc w:val="left"/>
      <w:pPr>
        <w:ind w:left="488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F0AC950C">
      <w:start w:val="1"/>
      <w:numFmt w:val="bullet"/>
      <w:lvlText w:val="•"/>
      <w:lvlJc w:val="left"/>
      <w:pPr>
        <w:ind w:left="560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056F766">
      <w:start w:val="1"/>
      <w:numFmt w:val="bullet"/>
      <w:lvlText w:val="o"/>
      <w:lvlJc w:val="left"/>
      <w:pPr>
        <w:ind w:left="632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9C92FF18">
      <w:start w:val="1"/>
      <w:numFmt w:val="bullet"/>
      <w:lvlText w:val="▪"/>
      <w:lvlJc w:val="left"/>
      <w:pPr>
        <w:ind w:left="704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21405659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188"/>
    <w:rsid w:val="00722486"/>
    <w:rsid w:val="00820188"/>
    <w:rsid w:val="009F54C7"/>
    <w:rsid w:val="00A132B9"/>
    <w:rsid w:val="00A95A4C"/>
    <w:rsid w:val="00BA1173"/>
    <w:rsid w:val="00C928BC"/>
    <w:rsid w:val="00CB0FDD"/>
    <w:rsid w:val="00E53C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45204"/>
  <w15:chartTrackingRefBased/>
  <w15:docId w15:val="{DB7A8D96-1310-4302-AD96-6B150FABD6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722486"/>
    <w:pPr>
      <w:autoSpaceDE w:val="0"/>
      <w:autoSpaceDN w:val="0"/>
      <w:adjustRightInd w:val="0"/>
      <w:spacing w:after="0" w:line="240" w:lineRule="auto"/>
    </w:pPr>
    <w:rPr>
      <w:rFonts w:ascii="Arial" w:hAnsi="Arial" w:cs="Arial"/>
      <w:color w:val="000000"/>
      <w:kern w:val="0"/>
      <w:sz w:val="24"/>
      <w:szCs w:val="24"/>
    </w:rPr>
  </w:style>
  <w:style w:type="paragraph" w:styleId="NormalWeb">
    <w:name w:val="Normal (Web)"/>
    <w:basedOn w:val="Normal"/>
    <w:uiPriority w:val="99"/>
    <w:unhideWhenUsed/>
    <w:rsid w:val="00C928B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C928B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17</Pages>
  <Words>5648</Words>
  <Characters>32200</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Hirst,Gareth swp8132</dc:creator>
  <cp:keywords/>
  <dc:description/>
  <cp:lastModifiedBy>Hirst,Gareth swp8132</cp:lastModifiedBy>
  <cp:revision>1</cp:revision>
  <dcterms:created xsi:type="dcterms:W3CDTF">2023-09-05T10:14:00Z</dcterms:created>
  <dcterms:modified xsi:type="dcterms:W3CDTF">2023-09-05T11:18:00Z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2023-09-05T11:18:56Z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34b45b27-9f89-4964-be74-729a2bafdb4f</vt:lpwstr>
  </property>
  <property fmtid="{D5CDD505-2E9C-101B-9397-08002B2CF9AE}" pid="8" name="MSIP_Label_66cf8fe5-b7b7-4df7-b38d-1c61ac2f6639_ContentBits">
    <vt:lpwstr>0</vt:lpwstr>
  </property>
</Properties>
</file>