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cs="Times New Roman" w:hAnsi="Times New Roman" w:eastAsia="Times New Roman"/>
          <w:sz w:val="36"/>
          <w:szCs w:val="36"/>
          <w:u w:color="000000"/>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Module name:</w:t>
      </w:r>
      <w:r>
        <w:rPr>
          <w:rFonts w:ascii="Times New Roman" w:hAnsi="Times New Roman"/>
          <w:b w:val="1"/>
          <w:bCs w:val="1"/>
          <w:sz w:val="42"/>
          <w:szCs w:val="42"/>
          <w:u w:color="000000"/>
          <w:rtl w:val="0"/>
          <w:lang w:val="en-US"/>
          <w14:textOutline w14:w="12700" w14:cap="flat">
            <w14:noFill/>
            <w14:miter w14:lim="400000"/>
          </w14:textOutline>
        </w:rPr>
        <w:t xml:space="preserve"> International Financial Management </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 xml:space="preserve">Module code: LCBB </w:t>
      </w:r>
      <w:r>
        <w:rPr>
          <w:rFonts w:ascii="Times New Roman" w:hAnsi="Times New Roman"/>
          <w:b w:val="1"/>
          <w:bCs w:val="1"/>
          <w:sz w:val="42"/>
          <w:szCs w:val="42"/>
          <w:u w:color="000000"/>
          <w:rtl w:val="0"/>
          <w:lang w:val="fr-FR"/>
          <w14:textOutline w14:w="12700" w14:cap="flat">
            <w14:noFill/>
            <w14:miter w14:lim="400000"/>
          </w14:textOutline>
        </w:rPr>
        <w:t>6002</w:t>
      </w:r>
    </w:p>
    <w:p>
      <w:pPr>
        <w:pStyle w:val="Default"/>
        <w:bidi w:val="0"/>
        <w:spacing w:before="0" w:line="240" w:lineRule="auto"/>
        <w:ind w:left="0" w:right="0" w:firstLine="0"/>
        <w:jc w:val="center"/>
        <w:rPr>
          <w:rFonts w:ascii="Times New Roman" w:cs="Times New Roman" w:hAnsi="Times New Roman" w:eastAsia="Times New Roman"/>
          <w:b w:val="1"/>
          <w:bCs w:val="1"/>
          <w:sz w:val="36"/>
          <w:szCs w:val="36"/>
          <w:u w:color="000000"/>
          <w:rtl w:val="0"/>
          <w:lang w:val="en-US"/>
          <w14:textOutline w14:w="12700" w14:cap="flat">
            <w14:noFill/>
            <w14:miter w14:lim="400000"/>
          </w14:textOutline>
        </w:rPr>
      </w:pPr>
      <w:r>
        <w:rPr>
          <w:rFonts w:ascii="Times New Roman" w:hAnsi="Times New Roman"/>
          <w:b w:val="1"/>
          <w:bCs w:val="1"/>
          <w:sz w:val="36"/>
          <w:szCs w:val="36"/>
          <w:u w:color="000000"/>
          <w:rtl w:val="0"/>
          <w:lang w:val="en-US"/>
          <w14:textOutline w14:w="12700" w14:cap="flat">
            <w14:noFill/>
            <w14:miter w14:lim="400000"/>
          </w14:textOutline>
        </w:rPr>
        <w:t>Assignment Title:</w:t>
      </w:r>
      <w:r>
        <w:rPr>
          <w:rFonts w:ascii="Times New Roman" w:hAnsi="Times New Roman"/>
          <w:b w:val="1"/>
          <w:bCs w:val="1"/>
          <w:sz w:val="36"/>
          <w:szCs w:val="36"/>
          <w:u w:color="000000"/>
          <w:rtl w:val="0"/>
          <w:lang w:val="en-US"/>
          <w14:textOutline w14:w="12700" w14:cap="flat">
            <w14:noFill/>
            <w14:miter w14:lim="400000"/>
          </w14:textOutline>
        </w:rPr>
        <w:t>Assessment 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it-IT"/>
          <w14:textOutline w14:w="12700" w14:cap="flat">
            <w14:noFill/>
            <w14:miter w14:lim="400000"/>
          </w14:textOutline>
        </w:rPr>
        <w:t>Student name: Rumyana Georgieva Yordanova</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rtl w:val="0"/>
          <w14:textOutline w14:w="12700" w14:cap="flat">
            <w14:noFill/>
            <w14:miter w14:lim="400000"/>
          </w14:textOutline>
        </w:rPr>
      </w:pPr>
      <w:r>
        <w:rPr>
          <w:rFonts w:ascii="Times New Roman" w:hAnsi="Times New Roman"/>
          <w:b w:val="1"/>
          <w:bCs w:val="1"/>
          <w:sz w:val="42"/>
          <w:szCs w:val="42"/>
          <w:u w:color="000000"/>
          <w:rtl w:val="0"/>
          <w:lang w:val="de-DE"/>
          <w14:textOutline w14:w="12700" w14:cap="flat">
            <w14:noFill/>
            <w14:miter w14:lim="400000"/>
          </w14:textOutline>
        </w:rPr>
        <w:t xml:space="preserve">Student </w:t>
      </w:r>
      <w:r>
        <w:rPr>
          <w:rFonts w:ascii="Times New Roman" w:hAnsi="Times New Roman"/>
          <w:b w:val="1"/>
          <w:bCs w:val="1"/>
          <w:sz w:val="42"/>
          <w:szCs w:val="42"/>
          <w:u w:color="000000"/>
          <w:rtl w:val="0"/>
          <w:lang w:val="en-US"/>
          <w14:textOutline w14:w="12700" w14:cap="flat">
            <w14:noFill/>
            <w14:miter w14:lim="400000"/>
          </w14:textOutline>
        </w:rPr>
        <w:t>ID: 2028611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Submission date</w:t>
      </w:r>
      <w:r>
        <w:rPr>
          <w:rFonts w:ascii="Times New Roman" w:hAnsi="Times New Roman"/>
          <w:b w:val="1"/>
          <w:bCs w:val="1"/>
          <w:sz w:val="42"/>
          <w:szCs w:val="42"/>
          <w:u w:color="000000"/>
          <w:rtl w:val="0"/>
          <w:lang w:val="en-US"/>
          <w14:textOutline w14:w="12700" w14:cap="flat">
            <w14:noFill/>
            <w14:miter w14:lim="400000"/>
          </w14:textOutline>
        </w:rPr>
        <w:t xml:space="preserve">: </w:t>
      </w:r>
      <w:r>
        <w:rPr>
          <w:rFonts w:ascii="Times New Roman" w:hAnsi="Times New Roman"/>
          <w:b w:val="1"/>
          <w:bCs w:val="1"/>
          <w:sz w:val="42"/>
          <w:szCs w:val="42"/>
          <w:u w:color="000000"/>
          <w:rtl w:val="0"/>
          <w:lang w:val="en-US"/>
          <w14:textOutline w14:w="12700" w14:cap="flat">
            <w14:noFill/>
            <w14:miter w14:lim="400000"/>
          </w14:textOutline>
        </w:rPr>
        <w:t>30/8/2023</w:t>
      </w:r>
    </w:p>
    <w:p>
      <w:pPr>
        <w:pStyle w:val="Default"/>
        <w:bidi w:val="0"/>
        <w:spacing w:before="0" w:line="240" w:lineRule="auto"/>
        <w:ind w:left="0" w:right="0" w:firstLine="0"/>
        <w:jc w:val="center"/>
        <w:rPr>
          <w:u w:color="000000"/>
          <w:rtl w:val="0"/>
          <w:lang w:val="en-US"/>
          <w14:textOutline w14:w="12700" w14:cap="flat">
            <w14:noFill/>
            <w14:miter w14:lim="400000"/>
          </w14:textOutline>
        </w:rPr>
      </w:pPr>
    </w:p>
    <w:p>
      <w:pPr>
        <w:pStyle w:val="Default"/>
        <w:bidi w:val="0"/>
        <w:spacing w:before="0" w:after="120" w:line="240" w:lineRule="auto"/>
        <w:ind w:left="0" w:right="0" w:firstLine="0"/>
        <w:jc w:val="center"/>
        <w:rPr>
          <w:rFonts w:ascii="Times New Roman" w:cs="Times New Roman" w:hAnsi="Times New Roman" w:eastAsia="Times New Roman"/>
          <w:b w:val="1"/>
          <w:bCs w:val="1"/>
          <w:sz w:val="42"/>
          <w:szCs w:val="42"/>
          <w:rtl w:val="0"/>
        </w:rPr>
      </w:pP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shd w:val="clear" w:color="auto" w:fill="ffffff"/>
          <w:rtl w:val="0"/>
        </w:rPr>
      </w:pPr>
      <w:r>
        <w:rPr>
          <w:rFonts w:ascii="Times New Roman" w:hAnsi="Times New Roman" w:hint="default"/>
          <w:sz w:val="36"/>
          <w:szCs w:val="36"/>
          <w:u w:color="323232"/>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right"/>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right"/>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right"/>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right"/>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r>
        <w:rPr>
          <w:rFonts w:ascii="Times New Roman" w:hAnsi="Times New Roman"/>
          <w:sz w:val="36"/>
          <w:szCs w:val="36"/>
          <w:rtl w:val="0"/>
          <w:lang w:val="en-US"/>
        </w:rPr>
        <w:t>Contents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80" w:line="240" w:lineRule="auto"/>
        <w:ind w:left="0" w:right="0" w:firstLine="0"/>
        <w:jc w:val="left"/>
        <w:rPr>
          <w:rFonts w:ascii="Times New Roman" w:cs="Times New Roman" w:hAnsi="Times New Roman" w:eastAsia="Times New Roman"/>
          <w:sz w:val="44"/>
          <w:szCs w:val="44"/>
          <w:u w:val="none" w:color="000000"/>
          <w:rtl w:val="0"/>
        </w:rPr>
      </w:pPr>
      <w:r>
        <w:rPr>
          <w:rFonts w:ascii="Times New Roman" w:hAnsi="Times New Roman"/>
          <w:sz w:val="44"/>
          <w:szCs w:val="44"/>
          <w:u w:val="single" w:color="000000"/>
          <w:rtl w:val="0"/>
          <w:lang w:val="de-DE"/>
        </w:rPr>
        <w:t>INTRODUCTION 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80" w:line="240" w:lineRule="auto"/>
        <w:ind w:left="0" w:right="0" w:firstLine="0"/>
        <w:jc w:val="left"/>
        <w:rPr>
          <w:rFonts w:ascii="Times New Roman" w:cs="Times New Roman" w:hAnsi="Times New Roman" w:eastAsia="Times New Roman"/>
          <w:sz w:val="44"/>
          <w:szCs w:val="44"/>
          <w:u w:val="none" w:color="000000"/>
          <w:rtl w:val="0"/>
        </w:rPr>
      </w:pPr>
      <w:r>
        <w:rPr>
          <w:rFonts w:ascii="Times New Roman" w:hAnsi="Times New Roman"/>
          <w:sz w:val="44"/>
          <w:szCs w:val="44"/>
          <w:u w:val="single" w:color="000000"/>
          <w:rtl w:val="0"/>
        </w:rPr>
        <w:t>TASK 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80" w:line="240" w:lineRule="auto"/>
        <w:ind w:left="0" w:right="0" w:firstLine="0"/>
        <w:jc w:val="left"/>
        <w:rPr>
          <w:rFonts w:ascii="Times New Roman" w:cs="Times New Roman" w:hAnsi="Times New Roman" w:eastAsia="Times New Roman"/>
          <w:sz w:val="44"/>
          <w:szCs w:val="44"/>
          <w:u w:val="none" w:color="000000"/>
          <w:rtl w:val="0"/>
        </w:rPr>
      </w:pPr>
      <w:r>
        <w:rPr>
          <w:rFonts w:ascii="Times New Roman" w:hAnsi="Times New Roman"/>
          <w:sz w:val="44"/>
          <w:szCs w:val="44"/>
          <w:u w:val="single" w:color="000000"/>
          <w:rtl w:val="0"/>
        </w:rPr>
        <w:t>CONCLUSION 6</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80" w:line="240" w:lineRule="auto"/>
        <w:ind w:left="0" w:right="0" w:firstLine="0"/>
        <w:jc w:val="left"/>
        <w:rPr>
          <w:rFonts w:ascii="Times New Roman" w:cs="Times New Roman" w:hAnsi="Times New Roman" w:eastAsia="Times New Roman"/>
          <w:sz w:val="44"/>
          <w:szCs w:val="44"/>
          <w:u w:val="none" w:color="000000"/>
          <w:rtl w:val="0"/>
        </w:rPr>
      </w:pPr>
      <w:r>
        <w:rPr>
          <w:rFonts w:ascii="Times New Roman" w:hAnsi="Times New Roman"/>
          <w:sz w:val="44"/>
          <w:szCs w:val="44"/>
          <w:u w:val="single" w:color="000000"/>
          <w:rtl w:val="0"/>
          <w:lang w:val="de-DE"/>
        </w:rPr>
        <w:t>REFERENCES 7</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rtl w:val="0"/>
        </w:rPr>
      </w:pPr>
      <w:r>
        <w:rPr>
          <w:rFonts w:ascii="Times New Roman" w:hAnsi="Times New Roman"/>
          <w:b w:val="1"/>
          <w:bCs w:val="1"/>
          <w:sz w:val="42"/>
          <w:szCs w:val="42"/>
          <w:rtl w:val="0"/>
          <w:lang w:val="de-DE"/>
        </w:rPr>
        <w:t>INTRODUCTION</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sz w:val="36"/>
          <w:szCs w:val="36"/>
          <w:rtl w:val="0"/>
          <w:lang w:val="en-US"/>
        </w:rPr>
        <w:t xml:space="preserve">International financial management is regarded as strategic management of such financial activities of entity which are conducted across the border of the country. In simple terms, it is the management of the Monetary interaction among two and more firms situated in different countries. Such type of transactions has major focus on different areas which includes currency exchange rate and the foreign direct investment </w:t>
      </w:r>
      <w:r>
        <w:rPr>
          <w:rFonts w:ascii="Times New Roman" w:hAnsi="Times New Roman"/>
          <w:outline w:val="0"/>
          <w:color w:val="212121"/>
          <w:sz w:val="36"/>
          <w:szCs w:val="36"/>
          <w:rtl w:val="0"/>
          <w14:textFill>
            <w14:solidFill>
              <w14:srgbClr w14:val="222222"/>
            </w14:solidFill>
          </w14:textFill>
        </w:rPr>
        <w:t>(Kells, 2020)</w:t>
      </w:r>
      <w:r>
        <w:rPr>
          <w:rFonts w:ascii="Times New Roman" w:hAnsi="Times New Roman"/>
          <w:sz w:val="36"/>
          <w:szCs w:val="36"/>
          <w:rtl w:val="0"/>
          <w:lang w:val="en-US"/>
        </w:rPr>
        <w:t>. The essay includes Sainsbury Plc for the purpose of investigation. The significance of international financial management along with challenges faced by company while having its existence in different financial markets. Further, dividend policy of Sainsbury, efficient market hypothesis theory and methods related to appraisal of the project has been discussed.</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rtl w:val="0"/>
        </w:rPr>
      </w:pPr>
      <w:r>
        <w:rPr>
          <w:rFonts w:ascii="Times New Roman" w:hAnsi="Times New Roman"/>
          <w:b w:val="1"/>
          <w:bCs w:val="1"/>
          <w:sz w:val="42"/>
          <w:szCs w:val="42"/>
          <w:rtl w:val="0"/>
        </w:rPr>
        <w:t>TASK</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b w:val="1"/>
          <w:bCs w:val="1"/>
          <w:sz w:val="36"/>
          <w:szCs w:val="36"/>
          <w:rtl w:val="0"/>
          <w:lang w:val="en-US"/>
        </w:rPr>
        <w:t xml:space="preserve">Importance of IFM to Sainsbury </w:t>
      </w:r>
      <w:r>
        <w:rPr>
          <w:rFonts w:ascii="Times New Roman" w:hAnsi="Times New Roman"/>
          <w:sz w:val="36"/>
          <w:szCs w:val="36"/>
          <w:rtl w:val="0"/>
          <w:lang w:val="en-US"/>
        </w:rPr>
        <w:t>includes various aspects like proper managing of the international finances would help Sainsbury in achieving effectiveness and efficiency in different markets. It acts as an tool for identifying the exchange rate and further compare the inflation rates of various countries. This would help the firm in identifying whether to invest in international debt market or not. Further, Sainsbury would be able to analyse economic status of different countries. With the use of international financing, company would be able to identify relative of the currencies in different markets. Further, based on the analysis of various economic factors, decision regarding investment in the international markets would be made by Sainsbury. The cash flows which includes inflows and outflows would be determined regarding any particular project in which investment has to be made and various risk such as political and foreign exchange risk would be considered while making international investment decision.</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b w:val="1"/>
          <w:bCs w:val="1"/>
          <w:sz w:val="36"/>
          <w:szCs w:val="36"/>
          <w:rtl w:val="0"/>
          <w:lang w:val="en-US"/>
        </w:rPr>
        <w:t xml:space="preserve">Challenges which could be faced by Sainsbury while operating in various international financial markets </w:t>
      </w:r>
      <w:r>
        <w:rPr>
          <w:rFonts w:ascii="Times New Roman" w:hAnsi="Times New Roman"/>
          <w:sz w:val="36"/>
          <w:szCs w:val="36"/>
          <w:rtl w:val="0"/>
          <w:lang w:val="en-US"/>
        </w:rPr>
        <w:t xml:space="preserve">includes managers of the Sainsbury would require to bring an understanding on different markets, if the firm has to operate with more efficiency and want to increase its value </w:t>
      </w:r>
      <w:r>
        <w:rPr>
          <w:rFonts w:ascii="Times New Roman" w:hAnsi="Times New Roman"/>
          <w:outline w:val="0"/>
          <w:color w:val="212121"/>
          <w:sz w:val="36"/>
          <w:szCs w:val="36"/>
          <w:rtl w:val="0"/>
          <w14:textFill>
            <w14:solidFill>
              <w14:srgbClr w14:val="222222"/>
            </w14:solidFill>
          </w14:textFill>
        </w:rPr>
        <w:t>(Tskhadadze and Chernorizova, 2019)</w:t>
      </w:r>
      <w:r>
        <w:rPr>
          <w:rFonts w:ascii="Times New Roman" w:hAnsi="Times New Roman"/>
          <w:sz w:val="36"/>
          <w:szCs w:val="36"/>
          <w:rtl w:val="0"/>
          <w:lang w:val="en-US"/>
        </w:rPr>
        <w:t xml:space="preserve">. There are various risk involved in international markets which are needed to be consider by the entity as they would have a huge impact on the operations and value of business. </w:t>
      </w:r>
      <w:r>
        <w:rPr>
          <w:rFonts w:ascii="Times New Roman" w:hAnsi="Times New Roman"/>
          <w:b w:val="1"/>
          <w:bCs w:val="1"/>
          <w:sz w:val="36"/>
          <w:szCs w:val="36"/>
          <w:rtl w:val="0"/>
          <w:lang w:val="en-US"/>
        </w:rPr>
        <w:t>Foreign exchange risk</w:t>
      </w:r>
      <w:r>
        <w:rPr>
          <w:rFonts w:ascii="Times New Roman" w:hAnsi="Times New Roman"/>
          <w:sz w:val="36"/>
          <w:szCs w:val="36"/>
          <w:rtl w:val="0"/>
          <w:lang w:val="en-US"/>
        </w:rPr>
        <w:t xml:space="preserve"> is one such risk which may lead to loss to entity due to fluctuation in the currency exchange rate. Further, Sainsbury would also face </w:t>
      </w:r>
      <w:r>
        <w:rPr>
          <w:rFonts w:ascii="Times New Roman" w:hAnsi="Times New Roman"/>
          <w:b w:val="1"/>
          <w:bCs w:val="1"/>
          <w:sz w:val="36"/>
          <w:szCs w:val="36"/>
          <w:rtl w:val="0"/>
          <w:lang w:val="it-IT"/>
        </w:rPr>
        <w:t xml:space="preserve">political risk </w:t>
      </w:r>
      <w:r>
        <w:rPr>
          <w:rFonts w:ascii="Times New Roman" w:hAnsi="Times New Roman"/>
          <w:sz w:val="36"/>
          <w:szCs w:val="36"/>
          <w:rtl w:val="0"/>
          <w:lang w:val="en-US"/>
        </w:rPr>
        <w:t xml:space="preserve">which would result in loss to the entity due to occurrence of any political event which may include change in government regulations and policies, etc. Further, due to </w:t>
      </w:r>
      <w:r>
        <w:rPr>
          <w:rFonts w:ascii="Times New Roman" w:hAnsi="Times New Roman"/>
          <w:b w:val="1"/>
          <w:bCs w:val="1"/>
          <w:sz w:val="36"/>
          <w:szCs w:val="36"/>
          <w:rtl w:val="0"/>
          <w:lang w:val="en-US"/>
        </w:rPr>
        <w:t xml:space="preserve">cultural differences </w:t>
      </w:r>
      <w:r>
        <w:rPr>
          <w:rFonts w:ascii="Times New Roman" w:hAnsi="Times New Roman"/>
          <w:sz w:val="36"/>
          <w:szCs w:val="36"/>
          <w:rtl w:val="0"/>
          <w:lang w:val="en-US"/>
        </w:rPr>
        <w:t xml:space="preserve">in various countries in which firm has its operations would highly impact the operations of business. Organization would require to perform its task as per the requirements of different cultural vales and would have to be careful in its working </w:t>
      </w:r>
      <w:r>
        <w:rPr>
          <w:rFonts w:ascii="Times New Roman" w:hAnsi="Times New Roman"/>
          <w:outline w:val="0"/>
          <w:color w:val="212121"/>
          <w:sz w:val="36"/>
          <w:szCs w:val="36"/>
          <w:rtl w:val="0"/>
          <w14:textFill>
            <w14:solidFill>
              <w14:srgbClr w14:val="222222"/>
            </w14:solidFill>
          </w14:textFill>
        </w:rPr>
        <w:t>(</w:t>
      </w:r>
      <w:r>
        <w:rPr>
          <w:rFonts w:ascii="Times New Roman" w:hAnsi="Times New Roman"/>
          <w:sz w:val="36"/>
          <w:szCs w:val="36"/>
          <w:rtl w:val="0"/>
          <w:lang w:val="en-US"/>
        </w:rPr>
        <w:t xml:space="preserve">Maggiori, 2022). Further, every country have defined </w:t>
      </w:r>
      <w:r>
        <w:rPr>
          <w:rFonts w:ascii="Times New Roman" w:hAnsi="Times New Roman"/>
          <w:b w:val="1"/>
          <w:bCs w:val="1"/>
          <w:sz w:val="36"/>
          <w:szCs w:val="36"/>
          <w:rtl w:val="0"/>
          <w:lang w:val="en-US"/>
        </w:rPr>
        <w:t>financial regulation</w:t>
      </w:r>
      <w:r>
        <w:rPr>
          <w:rFonts w:ascii="Times New Roman" w:hAnsi="Times New Roman"/>
          <w:sz w:val="36"/>
          <w:szCs w:val="36"/>
          <w:rtl w:val="0"/>
          <w:lang w:val="en-US"/>
        </w:rPr>
        <w:t xml:space="preserve"> which is required to be followed by the firms operating in such countries. Hence, compliance of the same is needed to be done by Sainsbury.</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b w:val="1"/>
          <w:bCs w:val="1"/>
          <w:sz w:val="36"/>
          <w:szCs w:val="36"/>
          <w:rtl w:val="0"/>
          <w:lang w:val="en-US"/>
        </w:rPr>
        <w:t>Sainsbury's</w:t>
      </w:r>
      <w:r>
        <w:rPr>
          <w:rFonts w:ascii="Times New Roman" w:hAnsi="Times New Roman"/>
          <w:sz w:val="36"/>
          <w:szCs w:val="36"/>
          <w:rtl w:val="0"/>
          <w:lang w:val="en-US"/>
        </w:rPr>
        <w:t xml:space="preserve"> is a public limited entity which has been placed as second largest supermarket chain in UK. The company was established in 1869 and has its headquarters in London, UK. The firm is among FTSE 100 component and has its existence in various international markets. The revenue was recorded at </w:t>
      </w:r>
      <w:r>
        <w:rPr>
          <w:rFonts w:ascii="Times New Roman" w:hAnsi="Times New Roman" w:hint="default"/>
          <w:sz w:val="36"/>
          <w:szCs w:val="36"/>
          <w:rtl w:val="0"/>
        </w:rPr>
        <w:t xml:space="preserve">£ </w:t>
      </w:r>
      <w:r>
        <w:rPr>
          <w:rFonts w:ascii="Times New Roman" w:hAnsi="Times New Roman"/>
          <w:sz w:val="36"/>
          <w:szCs w:val="36"/>
          <w:rtl w:val="0"/>
          <w:lang w:val="en-US"/>
        </w:rPr>
        <w:t xml:space="preserve">29.89 billion for the year 2022 and the net income was recorded at </w:t>
      </w:r>
      <w:r>
        <w:rPr>
          <w:rFonts w:ascii="Times New Roman" w:hAnsi="Times New Roman" w:hint="default"/>
          <w:sz w:val="36"/>
          <w:szCs w:val="36"/>
          <w:rtl w:val="0"/>
        </w:rPr>
        <w:t xml:space="preserve">£ </w:t>
      </w:r>
      <w:r>
        <w:rPr>
          <w:rFonts w:ascii="Times New Roman" w:hAnsi="Times New Roman"/>
          <w:sz w:val="36"/>
          <w:szCs w:val="36"/>
          <w:rtl w:val="0"/>
        </w:rPr>
        <w:t>677 million.</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b w:val="1"/>
          <w:bCs w:val="1"/>
          <w:sz w:val="36"/>
          <w:szCs w:val="36"/>
          <w:rtl w:val="0"/>
          <w:lang w:val="en-US"/>
        </w:rPr>
        <w:t>Dividend Distribution Policy of Sainsbury</w:t>
      </w:r>
      <w:r>
        <w:rPr>
          <w:rFonts w:ascii="Times New Roman" w:hAnsi="Times New Roman"/>
          <w:sz w:val="36"/>
          <w:szCs w:val="36"/>
          <w:rtl w:val="0"/>
          <w:lang w:val="en-US"/>
        </w:rPr>
        <w:t xml:space="preserve"> is considered as that policy of entity which is being used in order to structure the dividend payout. It reflects how dividend of the entity would be distributing the amount of dividend to the shareholders as a part of the profit being earned. The amount and the frequency of dividend payment would be determined by Board of Directors of Sainsbury's. The dividend is being paid by the company in the form of </w:t>
      </w:r>
      <w:r>
        <w:rPr>
          <w:rFonts w:ascii="Times New Roman" w:hAnsi="Times New Roman"/>
          <w:b w:val="1"/>
          <w:bCs w:val="1"/>
          <w:sz w:val="36"/>
          <w:szCs w:val="36"/>
          <w:rtl w:val="0"/>
        </w:rPr>
        <w:t>interim dividend</w:t>
      </w:r>
      <w:r>
        <w:rPr>
          <w:rFonts w:ascii="Times New Roman" w:hAnsi="Times New Roman"/>
          <w:sz w:val="36"/>
          <w:szCs w:val="36"/>
          <w:rtl w:val="0"/>
          <w:lang w:val="en-US"/>
        </w:rPr>
        <w:t xml:space="preserve"> at the end of December and the </w:t>
      </w:r>
      <w:r>
        <w:rPr>
          <w:rFonts w:ascii="Times New Roman" w:hAnsi="Times New Roman"/>
          <w:b w:val="1"/>
          <w:bCs w:val="1"/>
          <w:sz w:val="36"/>
          <w:szCs w:val="36"/>
          <w:rtl w:val="0"/>
          <w:lang w:val="en-US"/>
        </w:rPr>
        <w:t>final amount of dividend</w:t>
      </w:r>
      <w:r>
        <w:rPr>
          <w:rFonts w:ascii="Times New Roman" w:hAnsi="Times New Roman"/>
          <w:sz w:val="36"/>
          <w:szCs w:val="36"/>
          <w:rtl w:val="0"/>
          <w:lang w:val="en-US"/>
        </w:rPr>
        <w:t xml:space="preserve"> for earlier financial year is being paid in July. Interim dividend is considered as that dividend which is being made before conducting of the annual general meeting. The recorded payment of half year or interim dividend in the month of December 2022 was 3.90 pence per share. Final dividend is considered as that amount of dividend which is being made after the financial year end of the company. The amount of payment made as an annual dividend in the month of July 2023 was recorded as 9.20 pence per share. The amount of dividend is being paid directly to the bank account of the shareholders. Further, shareholders could also receive the dividend as additional shares by participating in the dividend reinvestment plan. This plans allows the shareholders of the firm such that they could reinvest the cash dividend they gets into the shares of the company. The price of dividend reinvestment plan for July 2023 was recorded at </w:t>
      </w:r>
      <w:r>
        <w:rPr>
          <w:rFonts w:ascii="Times New Roman" w:hAnsi="Times New Roman" w:hint="default"/>
          <w:sz w:val="36"/>
          <w:szCs w:val="36"/>
          <w:rtl w:val="0"/>
        </w:rPr>
        <w:t xml:space="preserve">£ </w:t>
      </w:r>
      <w:r>
        <w:rPr>
          <w:rFonts w:ascii="Times New Roman" w:hAnsi="Times New Roman"/>
          <w:sz w:val="36"/>
          <w:szCs w:val="36"/>
          <w:rtl w:val="0"/>
          <w:lang w:val="en-US"/>
        </w:rPr>
        <w:t xml:space="preserve">2.7437 and for December 2022, it was recorded as </w:t>
      </w:r>
      <w:r>
        <w:rPr>
          <w:rFonts w:ascii="Times New Roman" w:hAnsi="Times New Roman" w:hint="default"/>
          <w:sz w:val="36"/>
          <w:szCs w:val="36"/>
          <w:rtl w:val="0"/>
        </w:rPr>
        <w:t xml:space="preserve">£ </w:t>
      </w:r>
      <w:r>
        <w:rPr>
          <w:rFonts w:ascii="Times New Roman" w:hAnsi="Times New Roman"/>
          <w:sz w:val="36"/>
          <w:szCs w:val="36"/>
          <w:rtl w:val="0"/>
          <w:lang w:val="en-US"/>
        </w:rPr>
        <w:t xml:space="preserve">2.1987 (Sainsbury's </w:t>
      </w:r>
      <w:r>
        <w:rPr>
          <w:rFonts w:ascii="Times New Roman" w:hAnsi="Times New Roman" w:hint="default"/>
          <w:sz w:val="36"/>
          <w:szCs w:val="36"/>
          <w:rtl w:val="0"/>
        </w:rPr>
        <w:t xml:space="preserve">– </w:t>
      </w:r>
      <w:r>
        <w:rPr>
          <w:rFonts w:ascii="Times New Roman" w:hAnsi="Times New Roman"/>
          <w:sz w:val="36"/>
          <w:szCs w:val="36"/>
          <w:rtl w:val="0"/>
        </w:rPr>
        <w:t>Dividends, 2023).</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b w:val="1"/>
          <w:bCs w:val="1"/>
          <w:sz w:val="36"/>
          <w:szCs w:val="36"/>
          <w:rtl w:val="0"/>
          <w:lang w:val="en-US"/>
        </w:rPr>
        <w:t>Efficient Market Hypothesis of Sainsbury's</w:t>
      </w:r>
      <w:r>
        <w:rPr>
          <w:rFonts w:ascii="Times New Roman" w:hAnsi="Times New Roman"/>
          <w:sz w:val="36"/>
          <w:szCs w:val="36"/>
          <w:rtl w:val="0"/>
          <w:lang w:val="en-US"/>
        </w:rPr>
        <w:t xml:space="preserve"> termed as an investment theory which presents that prices provided regarding financial instruments reflects all the information available in the market. Hence, investors would not be able to have advantage over one another through analysing stocks and adopting the various strategies of market. Investors could gain high level of returns only through adoption of higher risk. Share price of Sainsbury portrays the real value of business. The major three types of such kind of hypothesis includes weak form, semi strong form and strong form of efficient market hypothesis. Weak form has an assumption that market price of the instruments of the entity reflects the public data regarding market </w:t>
      </w:r>
      <w:r>
        <w:rPr>
          <w:rFonts w:ascii="Times New Roman" w:hAnsi="Times New Roman"/>
          <w:outline w:val="0"/>
          <w:color w:val="212121"/>
          <w:sz w:val="36"/>
          <w:szCs w:val="36"/>
          <w:rtl w:val="0"/>
          <w14:textFill>
            <w14:solidFill>
              <w14:srgbClr w14:val="222222"/>
            </w14:solidFill>
          </w14:textFill>
        </w:rPr>
        <w:t>(Liu and et.al., 2022)</w:t>
      </w:r>
      <w:r>
        <w:rPr>
          <w:rFonts w:ascii="Times New Roman" w:hAnsi="Times New Roman"/>
          <w:sz w:val="36"/>
          <w:szCs w:val="36"/>
          <w:rtl w:val="0"/>
          <w:lang w:val="en-US"/>
        </w:rPr>
        <w:t>. It would not show any such information which has not disclosed publicly. Semi strong works on assumption same as weak form and further accept that prices in the market would quickly adjust with the introduction of the new information which has not been disclosed yet. Strong form of efficient market hypothesis shows that prices of the securities in the market would represent current and historical data. It would include both disclosed information and the insider information. It further shows that price reflects the information which is available to the Board of the company.</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b w:val="1"/>
          <w:bCs w:val="1"/>
          <w:sz w:val="36"/>
          <w:szCs w:val="36"/>
          <w:rtl w:val="0"/>
          <w:lang w:val="en-US"/>
        </w:rPr>
        <w:t>Various methods of appraising the project are used by Sainsbury's</w:t>
      </w:r>
      <w:r>
        <w:rPr>
          <w:rFonts w:ascii="Times New Roman" w:hAnsi="Times New Roman"/>
          <w:sz w:val="36"/>
          <w:szCs w:val="36"/>
          <w:rtl w:val="0"/>
          <w:lang w:val="en-US"/>
        </w:rPr>
        <w:t xml:space="preserve"> in order to reach on a particular decision. </w:t>
      </w:r>
      <w:r>
        <w:rPr>
          <w:rFonts w:ascii="Times New Roman" w:hAnsi="Times New Roman"/>
          <w:b w:val="1"/>
          <w:bCs w:val="1"/>
          <w:sz w:val="36"/>
          <w:szCs w:val="36"/>
          <w:rtl w:val="0"/>
          <w:lang w:val="nl-NL"/>
        </w:rPr>
        <w:t xml:space="preserve">Economic analysis </w:t>
      </w:r>
      <w:r>
        <w:rPr>
          <w:rFonts w:ascii="Times New Roman" w:hAnsi="Times New Roman"/>
          <w:sz w:val="36"/>
          <w:szCs w:val="36"/>
          <w:rtl w:val="0"/>
          <w:lang w:val="en-US"/>
        </w:rPr>
        <w:t xml:space="preserve">includes various aspects of the project such as sales which is anticipated, profit and expenses anticipated, capacity utilization and raw material. Entity would require to have level of profit which will influence other economic variables such as purchases, expenses, sales, etc. the method would calculate the amount of sales to be made in order to earn a certain level of profit. Another method includes </w:t>
      </w:r>
      <w:r>
        <w:rPr>
          <w:rFonts w:ascii="Times New Roman" w:hAnsi="Times New Roman"/>
          <w:b w:val="1"/>
          <w:bCs w:val="1"/>
          <w:sz w:val="36"/>
          <w:szCs w:val="36"/>
          <w:rtl w:val="0"/>
          <w:lang w:val="en-US"/>
        </w:rPr>
        <w:t>financial analysis</w:t>
      </w:r>
      <w:r>
        <w:rPr>
          <w:rFonts w:ascii="Times New Roman" w:hAnsi="Times New Roman"/>
          <w:sz w:val="36"/>
          <w:szCs w:val="36"/>
          <w:rtl w:val="0"/>
          <w:lang w:val="en-US"/>
        </w:rPr>
        <w:t xml:space="preserve"> in which assessment is conducted regarding the working fixed capital requirement of entity in order to identify the financial viability of organisation. Fixed capital are the fixed asses of the business which would include tangible and intangible assets. Working capital is regarded as excess of short term assets over short term liabilities. Insufficient working capital would affect the entire working of the business. </w:t>
      </w:r>
      <w:r>
        <w:rPr>
          <w:rFonts w:ascii="Times New Roman" w:hAnsi="Times New Roman"/>
          <w:b w:val="1"/>
          <w:bCs w:val="1"/>
          <w:sz w:val="36"/>
          <w:szCs w:val="36"/>
          <w:rtl w:val="0"/>
        </w:rPr>
        <w:t>Market analysis</w:t>
      </w:r>
      <w:r>
        <w:rPr>
          <w:rFonts w:ascii="Times New Roman" w:hAnsi="Times New Roman"/>
          <w:sz w:val="36"/>
          <w:szCs w:val="36"/>
          <w:rtl w:val="0"/>
          <w:lang w:val="en-US"/>
        </w:rPr>
        <w:t xml:space="preserve"> is being conducted by Sainsbury's when the firm decides to introduce a new product in the market. The potential demand of the product would be identified in the market before its launching through market analysis </w:t>
      </w:r>
      <w:r>
        <w:rPr>
          <w:rFonts w:ascii="Times New Roman" w:hAnsi="Times New Roman"/>
          <w:outline w:val="0"/>
          <w:color w:val="212121"/>
          <w:sz w:val="36"/>
          <w:szCs w:val="36"/>
          <w:rtl w:val="0"/>
          <w14:textFill>
            <w14:solidFill>
              <w14:srgbClr w14:val="222222"/>
            </w14:solidFill>
          </w14:textFill>
        </w:rPr>
        <w:t>(Ghosh, 2021)</w:t>
      </w:r>
      <w:r>
        <w:rPr>
          <w:rFonts w:ascii="Times New Roman" w:hAnsi="Times New Roman"/>
          <w:sz w:val="36"/>
          <w:szCs w:val="36"/>
          <w:rtl w:val="0"/>
          <w:lang w:val="en-US"/>
        </w:rPr>
        <w:t xml:space="preserve">. Demand forecasting is being conducted through market analysis. </w:t>
      </w:r>
      <w:r>
        <w:rPr>
          <w:rFonts w:ascii="Times New Roman" w:hAnsi="Times New Roman"/>
          <w:b w:val="1"/>
          <w:bCs w:val="1"/>
          <w:sz w:val="36"/>
          <w:szCs w:val="36"/>
          <w:rtl w:val="0"/>
          <w:lang w:val="en-US"/>
        </w:rPr>
        <w:t>Technical feasibility</w:t>
      </w:r>
      <w:r>
        <w:rPr>
          <w:rFonts w:ascii="Times New Roman" w:hAnsi="Times New Roman"/>
          <w:sz w:val="36"/>
          <w:szCs w:val="36"/>
          <w:rtl w:val="0"/>
          <w:lang w:val="en-US"/>
        </w:rPr>
        <w:t xml:space="preserve"> means as the adequacy of plant to the machinery which is being proposed for the purpose of producing the products of entity. Analysis is being conducted regarding whether firm has sufficient means to conduct its operation or does it require to procure such means. </w:t>
      </w:r>
      <w:r>
        <w:rPr>
          <w:rFonts w:ascii="Times New Roman" w:hAnsi="Times New Roman"/>
          <w:b w:val="1"/>
          <w:bCs w:val="1"/>
          <w:sz w:val="36"/>
          <w:szCs w:val="36"/>
          <w:rtl w:val="0"/>
          <w:lang w:val="fr-FR"/>
        </w:rPr>
        <w:t xml:space="preserve">Management competence </w:t>
      </w:r>
      <w:r>
        <w:rPr>
          <w:rFonts w:ascii="Times New Roman" w:hAnsi="Times New Roman"/>
          <w:sz w:val="36"/>
          <w:szCs w:val="36"/>
          <w:rtl w:val="0"/>
          <w:lang w:val="en-US"/>
        </w:rPr>
        <w:t xml:space="preserve">or ability of the management has significant role for the success of the business. If the firm does not have managerial competence, the project would fail even it is feasible </w:t>
      </w:r>
      <w:r>
        <w:rPr>
          <w:rFonts w:ascii="Times New Roman" w:hAnsi="Times New Roman"/>
          <w:outline w:val="0"/>
          <w:color w:val="212121"/>
          <w:sz w:val="36"/>
          <w:szCs w:val="36"/>
          <w:rtl w:val="0"/>
          <w:lang w:val="en-US"/>
          <w14:textFill>
            <w14:solidFill>
              <w14:srgbClr w14:val="222222"/>
            </w14:solidFill>
          </w14:textFill>
        </w:rPr>
        <w:t>(BULAMA and MUSA, 2023)</w:t>
      </w:r>
      <w:r>
        <w:rPr>
          <w:rFonts w:ascii="Times New Roman" w:hAnsi="Times New Roman"/>
          <w:sz w:val="36"/>
          <w:szCs w:val="36"/>
          <w:rtl w:val="0"/>
          <w:lang w:val="en-US"/>
        </w:rPr>
        <w:t>. Hence, Sainsbury's conducts analysis of such situation of the business and identifies whether the management has the ability to provide better results.</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rtl w:val="0"/>
        </w:rPr>
      </w:pPr>
      <w:r>
        <w:rPr>
          <w:rFonts w:ascii="Times New Roman" w:hAnsi="Times New Roman"/>
          <w:b w:val="1"/>
          <w:bCs w:val="1"/>
          <w:sz w:val="42"/>
          <w:szCs w:val="42"/>
          <w:rtl w:val="0"/>
        </w:rPr>
        <w:t>CONCLUSION</w:t>
      </w: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sz w:val="36"/>
          <w:szCs w:val="36"/>
          <w:rtl w:val="0"/>
          <w:lang w:val="en-US"/>
        </w:rPr>
        <w:t>From the above essay, it can be concluded that international financing is regarded as great tool in order to identify the exchange rates, make comparison of the inflation rates in different countries and identify whether the business should invest in the debt security market. Such management helps the entities having international presence to make such decisions which would improve the performance of business and would further increase its value. Economic status would be identified of various countries and foreign markets would be judged in order to assess whether firm would be able to have growth in future.</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rtl w:val="0"/>
        </w:rPr>
      </w:pPr>
      <w:r>
        <w:rPr>
          <w:rFonts w:ascii="Times New Roman" w:hAnsi="Times New Roman"/>
          <w:b w:val="1"/>
          <w:bCs w:val="1"/>
          <w:sz w:val="42"/>
          <w:szCs w:val="42"/>
          <w:rtl w:val="0"/>
          <w:lang w:val="de-DE"/>
        </w:rPr>
        <w:t>REFERENCES</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rtl w:val="0"/>
        </w:rPr>
      </w:pPr>
      <w:r>
        <w:rPr>
          <w:rFonts w:ascii="Times New Roman" w:hAnsi="Times New Roman"/>
          <w:sz w:val="36"/>
          <w:szCs w:val="36"/>
          <w:u w:val="single" w:color="000000"/>
          <w:rtl w:val="0"/>
          <w:lang w:val="en-US"/>
        </w:rPr>
        <w:t>Books and Journals</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Times New Roman" w:hAnsi="Times New Roman"/>
          <w:outline w:val="0"/>
          <w:color w:val="212121"/>
          <w:sz w:val="36"/>
          <w:szCs w:val="36"/>
          <w:u w:color="000000"/>
          <w:rtl w:val="0"/>
          <w:lang w:val="de-DE"/>
          <w14:textFill>
            <w14:solidFill>
              <w14:srgbClr w14:val="222222"/>
            </w14:solidFill>
          </w14:textFill>
        </w:rPr>
        <w:t>BULAMA, M. and MUSA, D.I., 2023. THE ROLE OF INVESTMENT APPRAISAL/CAPITAL BUDGETTING TECHNIQUES IN EVALUATING THE PROFITABILITY OF PROJECTS: A REVIEW OF LITERATURE.</w:t>
      </w:r>
    </w:p>
    <w:p>
      <w:pPr>
        <w:pStyle w:val="Default"/>
        <w:bidi w:val="0"/>
        <w:spacing w:before="0" w:line="240" w:lineRule="auto"/>
        <w:ind w:left="840" w:right="0" w:hanging="840"/>
        <w:jc w:val="both"/>
        <w:rPr>
          <w:rFonts w:ascii="Times New Roman" w:cs="Times New Roman" w:hAnsi="Times New Roman" w:eastAsia="Times New Roman"/>
          <w:i w:val="0"/>
          <w:iCs w:val="0"/>
          <w:outline w:val="0"/>
          <w:color w:val="000000"/>
          <w:sz w:val="36"/>
          <w:szCs w:val="36"/>
          <w:u w:color="000000"/>
          <w:rtl w:val="0"/>
          <w14:textFill>
            <w14:solidFill>
              <w14:srgbClr w14:val="000000"/>
            </w14:solidFill>
          </w14:textFill>
        </w:rPr>
      </w:pPr>
      <w:r>
        <w:rPr>
          <w:rFonts w:ascii="Times New Roman" w:hAnsi="Times New Roman"/>
          <w:i w:val="0"/>
          <w:iCs w:val="0"/>
          <w:outline w:val="0"/>
          <w:color w:val="212121"/>
          <w:sz w:val="36"/>
          <w:szCs w:val="36"/>
          <w:u w:color="000000"/>
          <w:rtl w:val="0"/>
          <w14:textFill>
            <w14:solidFill>
              <w14:srgbClr w14:val="222222"/>
            </w14:solidFill>
          </w14:textFill>
        </w:rPr>
        <w:t>Ghosh, U.K., 2021.</w:t>
      </w:r>
      <w:r>
        <w:rPr>
          <w:rFonts w:ascii="Times New Roman" w:hAnsi="Times New Roman" w:hint="default"/>
          <w:i w:val="0"/>
          <w:iCs w:val="0"/>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lang w:val="en-US"/>
          <w14:textFill>
            <w14:solidFill>
              <w14:srgbClr w14:val="222222"/>
            </w14:solidFill>
          </w14:textFill>
        </w:rPr>
        <w:t>Appraisal and Selection of Projects: A Multi-faceted Approach</w:t>
      </w:r>
      <w:r>
        <w:rPr>
          <w:rFonts w:ascii="Times New Roman" w:hAnsi="Times New Roman"/>
          <w:i w:val="0"/>
          <w:iCs w:val="0"/>
          <w:outline w:val="0"/>
          <w:color w:val="212121"/>
          <w:sz w:val="36"/>
          <w:szCs w:val="36"/>
          <w:u w:color="000000"/>
          <w:rtl w:val="0"/>
          <w:lang w:val="pt-PT"/>
          <w14:textFill>
            <w14:solidFill>
              <w14:srgbClr w14:val="222222"/>
            </w14:solidFill>
          </w14:textFill>
        </w:rPr>
        <w:t>. CRC Press.</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Times New Roman" w:hAnsi="Times New Roman"/>
          <w:outline w:val="0"/>
          <w:color w:val="212121"/>
          <w:sz w:val="36"/>
          <w:szCs w:val="36"/>
          <w:u w:color="000000"/>
          <w:rtl w:val="0"/>
          <w:lang w:val="en-US"/>
          <w14:textFill>
            <w14:solidFill>
              <w14:srgbClr w14:val="222222"/>
            </w14:solidFill>
          </w14:textFill>
        </w:rPr>
        <w:t>KANAKRIYAH, R., 2020. Dividend policy and companies</w:t>
      </w:r>
      <w:r>
        <w:rPr>
          <w:rFonts w:ascii="Times New Roman" w:hAnsi="Times New Roman" w:hint="default"/>
          <w:outline w:val="0"/>
          <w:color w:val="212121"/>
          <w:sz w:val="36"/>
          <w:szCs w:val="36"/>
          <w:u w:color="000000"/>
          <w:rtl w:val="1"/>
          <w14:textFill>
            <w14:solidFill>
              <w14:srgbClr w14:val="222222"/>
            </w14:solidFill>
          </w14:textFill>
        </w:rPr>
        <w:t xml:space="preserve">’ </w:t>
      </w:r>
      <w:r>
        <w:rPr>
          <w:rFonts w:ascii="Times New Roman" w:hAnsi="Times New Roman"/>
          <w:outline w:val="0"/>
          <w:color w:val="212121"/>
          <w:sz w:val="36"/>
          <w:szCs w:val="36"/>
          <w:u w:color="000000"/>
          <w:rtl w:val="0"/>
          <w:lang w:val="it-IT"/>
          <w14:textFill>
            <w14:solidFill>
              <w14:srgbClr w14:val="222222"/>
            </w14:solidFill>
          </w14:textFill>
        </w:rPr>
        <w:t>financial performance.</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lang w:val="en-US"/>
          <w14:textFill>
            <w14:solidFill>
              <w14:srgbClr w14:val="222222"/>
            </w14:solidFill>
          </w14:textFill>
        </w:rPr>
        <w:t>The Journal of Asian Finance, Economics and Business (JAFEB)</w:t>
      </w:r>
      <w:r>
        <w:rPr>
          <w:rFonts w:ascii="Times New Roman" w:hAnsi="Times New Roman"/>
          <w:outline w:val="0"/>
          <w:color w:val="212121"/>
          <w:sz w:val="36"/>
          <w:szCs w:val="36"/>
          <w:u w:color="000000"/>
          <w:rtl w:val="0"/>
          <w14:textFill>
            <w14:solidFill>
              <w14:srgbClr w14:val="222222"/>
            </w14:solidFill>
          </w14:textFill>
        </w:rPr>
        <w:t>,</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14:textFill>
            <w14:solidFill>
              <w14:srgbClr w14:val="222222"/>
            </w14:solidFill>
          </w14:textFill>
        </w:rPr>
        <w:t>7</w:t>
      </w:r>
      <w:r>
        <w:rPr>
          <w:rFonts w:ascii="Times New Roman" w:hAnsi="Times New Roman"/>
          <w:outline w:val="0"/>
          <w:color w:val="212121"/>
          <w:sz w:val="36"/>
          <w:szCs w:val="36"/>
          <w:u w:color="000000"/>
          <w:rtl w:val="0"/>
          <w14:textFill>
            <w14:solidFill>
              <w14:srgbClr w14:val="222222"/>
            </w14:solidFill>
          </w14:textFill>
        </w:rPr>
        <w:t>(10), pp.531-541.</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Times New Roman" w:hAnsi="Times New Roman"/>
          <w:outline w:val="0"/>
          <w:color w:val="212121"/>
          <w:sz w:val="36"/>
          <w:szCs w:val="36"/>
          <w:u w:color="000000"/>
          <w:rtl w:val="0"/>
          <w:lang w:val="en-US"/>
          <w14:textFill>
            <w14:solidFill>
              <w14:srgbClr w14:val="222222"/>
            </w14:solidFill>
          </w14:textFill>
        </w:rPr>
        <w:t>Kells, S., 2020. Impacts of COVID-19 on corporate governance and assurance, international finance and economics, and non-fiction book publishing: some personal reflections.</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lang w:val="en-US"/>
          <w14:textFill>
            <w14:solidFill>
              <w14:srgbClr w14:val="222222"/>
            </w14:solidFill>
          </w14:textFill>
        </w:rPr>
        <w:t>Journal of Accounting &amp; Organizational Change</w:t>
      </w:r>
      <w:r>
        <w:rPr>
          <w:rFonts w:ascii="Times New Roman" w:hAnsi="Times New Roman"/>
          <w:outline w:val="0"/>
          <w:color w:val="212121"/>
          <w:sz w:val="36"/>
          <w:szCs w:val="36"/>
          <w:u w:color="000000"/>
          <w:rtl w:val="0"/>
          <w14:textFill>
            <w14:solidFill>
              <w14:srgbClr w14:val="222222"/>
            </w14:solidFill>
          </w14:textFill>
        </w:rPr>
        <w:t>,</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14:textFill>
            <w14:solidFill>
              <w14:srgbClr w14:val="222222"/>
            </w14:solidFill>
          </w14:textFill>
        </w:rPr>
        <w:t>16</w:t>
      </w:r>
      <w:r>
        <w:rPr>
          <w:rFonts w:ascii="Times New Roman" w:hAnsi="Times New Roman"/>
          <w:outline w:val="0"/>
          <w:color w:val="212121"/>
          <w:sz w:val="36"/>
          <w:szCs w:val="36"/>
          <w:u w:color="000000"/>
          <w:rtl w:val="0"/>
          <w14:textFill>
            <w14:solidFill>
              <w14:srgbClr w14:val="222222"/>
            </w14:solidFill>
          </w14:textFill>
        </w:rPr>
        <w:t>(4), pp.629-635.</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Times New Roman" w:hAnsi="Times New Roman"/>
          <w:outline w:val="0"/>
          <w:color w:val="212121"/>
          <w:sz w:val="36"/>
          <w:szCs w:val="36"/>
          <w:u w:color="000000"/>
          <w:rtl w:val="0"/>
          <w:lang w:val="en-US"/>
          <w14:textFill>
            <w14:solidFill>
              <w14:srgbClr w14:val="222222"/>
            </w14:solidFill>
          </w14:textFill>
        </w:rPr>
        <w:t>Liu, G., Yu, C.P., Shiu, S.N. and Shih, I.T., 2022. The Efficient Market Hypothesis and the Fractal Market Hypothesis: Interfluves, Fusions, and Evolutions.</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lang w:val="en-US"/>
          <w14:textFill>
            <w14:solidFill>
              <w14:srgbClr w14:val="222222"/>
            </w14:solidFill>
          </w14:textFill>
        </w:rPr>
        <w:t>Sage Open</w:t>
      </w:r>
      <w:r>
        <w:rPr>
          <w:rFonts w:ascii="Times New Roman" w:hAnsi="Times New Roman"/>
          <w:outline w:val="0"/>
          <w:color w:val="212121"/>
          <w:sz w:val="36"/>
          <w:szCs w:val="36"/>
          <w:u w:color="000000"/>
          <w:rtl w:val="0"/>
          <w14:textFill>
            <w14:solidFill>
              <w14:srgbClr w14:val="222222"/>
            </w14:solidFill>
          </w14:textFill>
        </w:rPr>
        <w:t>,</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14:textFill>
            <w14:solidFill>
              <w14:srgbClr w14:val="222222"/>
            </w14:solidFill>
          </w14:textFill>
        </w:rPr>
        <w:t>12</w:t>
      </w:r>
      <w:r>
        <w:rPr>
          <w:rFonts w:ascii="Times New Roman" w:hAnsi="Times New Roman"/>
          <w:outline w:val="0"/>
          <w:color w:val="212121"/>
          <w:sz w:val="36"/>
          <w:szCs w:val="36"/>
          <w:u w:color="000000"/>
          <w:rtl w:val="0"/>
          <w14:textFill>
            <w14:solidFill>
              <w14:srgbClr w14:val="222222"/>
            </w14:solidFill>
          </w14:textFill>
        </w:rPr>
        <w:t>(1), p.21582440221082137.</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Times New Roman" w:hAnsi="Times New Roman"/>
          <w:outline w:val="0"/>
          <w:color w:val="212121"/>
          <w:sz w:val="36"/>
          <w:szCs w:val="36"/>
          <w:u w:color="000000"/>
          <w:rtl w:val="0"/>
          <w:lang w:val="en-US"/>
          <w14:textFill>
            <w14:solidFill>
              <w14:srgbClr w14:val="222222"/>
            </w14:solidFill>
          </w14:textFill>
        </w:rPr>
        <w:t>Maggiori, M., 2022. International macroeconomics with imperfect financial markets. In</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lang w:val="en-US"/>
          <w14:textFill>
            <w14:solidFill>
              <w14:srgbClr w14:val="222222"/>
            </w14:solidFill>
          </w14:textFill>
        </w:rPr>
        <w:t>Handbook of International Economics</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outline w:val="0"/>
          <w:color w:val="212121"/>
          <w:sz w:val="36"/>
          <w:szCs w:val="36"/>
          <w:u w:color="000000"/>
          <w:rtl w:val="0"/>
          <w14:textFill>
            <w14:solidFill>
              <w14:srgbClr w14:val="222222"/>
            </w14:solidFill>
          </w14:textFill>
        </w:rPr>
        <w:t>(Vol. 6, pp. 199-236). Elsevier.</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Times New Roman" w:hAnsi="Times New Roman"/>
          <w:outline w:val="0"/>
          <w:color w:val="212121"/>
          <w:sz w:val="36"/>
          <w:szCs w:val="36"/>
          <w:u w:color="000000"/>
          <w:rtl w:val="0"/>
          <w:lang w:val="en-US"/>
          <w14:textFill>
            <w14:solidFill>
              <w14:srgbClr w14:val="222222"/>
            </w14:solidFill>
          </w14:textFill>
        </w:rPr>
        <w:t>Tskhadadze, N.V. and Chernorizova, N.V., 2019. International financial markets in the conditions of transformation of financial system. In</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i w:val="1"/>
          <w:iCs w:val="1"/>
          <w:outline w:val="0"/>
          <w:color w:val="212121"/>
          <w:sz w:val="36"/>
          <w:szCs w:val="36"/>
          <w:u w:color="000000"/>
          <w:rtl w:val="0"/>
          <w:lang w:val="en-US"/>
          <w14:textFill>
            <w14:solidFill>
              <w14:srgbClr w14:val="222222"/>
            </w14:solidFill>
          </w14:textFill>
        </w:rPr>
        <w:t>The Future of the Global Financial System: Downfall or Harmony 6</w:t>
      </w:r>
      <w:r>
        <w:rPr>
          <w:rFonts w:ascii="Times New Roman" w:hAnsi="Times New Roman" w:hint="default"/>
          <w:outline w:val="0"/>
          <w:color w:val="212121"/>
          <w:sz w:val="36"/>
          <w:szCs w:val="36"/>
          <w:u w:color="000000"/>
          <w:rtl w:val="0"/>
          <w14:textFill>
            <w14:solidFill>
              <w14:srgbClr w14:val="222222"/>
            </w14:solidFill>
          </w14:textFill>
        </w:rPr>
        <w:t> </w:t>
      </w:r>
      <w:r>
        <w:rPr>
          <w:rFonts w:ascii="Times New Roman" w:hAnsi="Times New Roman"/>
          <w:outline w:val="0"/>
          <w:color w:val="212121"/>
          <w:sz w:val="36"/>
          <w:szCs w:val="36"/>
          <w:u w:color="000000"/>
          <w:rtl w:val="0"/>
          <w:lang w:val="en-US"/>
          <w14:textFill>
            <w14:solidFill>
              <w14:srgbClr w14:val="222222"/>
            </w14:solidFill>
          </w14:textFill>
        </w:rPr>
        <w:t>(pp. 757-764). Springer International Publishing.</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rtl w:val="0"/>
        </w:rPr>
      </w:pPr>
      <w:r>
        <w:rPr>
          <w:rFonts w:ascii="Times New Roman" w:hAnsi="Times New Roman"/>
          <w:b w:val="1"/>
          <w:bCs w:val="1"/>
          <w:sz w:val="36"/>
          <w:szCs w:val="36"/>
          <w:u w:color="000000"/>
          <w:rtl w:val="0"/>
          <w:lang w:val="pt-PT"/>
        </w:rPr>
        <w:t>Online:</w:t>
      </w:r>
    </w:p>
    <w:p>
      <w:pPr>
        <w:pStyle w:val="Default"/>
        <w:bidi w:val="0"/>
        <w:spacing w:before="0" w:line="240" w:lineRule="auto"/>
        <w:ind w:left="840" w:right="0" w:hanging="840"/>
        <w:jc w:val="both"/>
        <w:rPr>
          <w:rFonts w:ascii="Times New Roman" w:cs="Times New Roman" w:hAnsi="Times New Roman" w:eastAsia="Times New Roman"/>
          <w:outline w:val="0"/>
          <w:color w:val="000000"/>
          <w:sz w:val="36"/>
          <w:szCs w:val="36"/>
          <w:u w:val="none" w:color="000000"/>
          <w:rtl w:val="0"/>
          <w14:textFill>
            <w14:solidFill>
              <w14:srgbClr w14:val="000000"/>
            </w14:solidFill>
          </w14:textFill>
        </w:rPr>
      </w:pPr>
      <w:r>
        <w:rPr>
          <w:rFonts w:ascii="Times New Roman" w:hAnsi="Times New Roman"/>
          <w:outline w:val="0"/>
          <w:color w:val="000000"/>
          <w:sz w:val="36"/>
          <w:szCs w:val="36"/>
          <w:u w:val="none" w:color="000000"/>
          <w:rtl w:val="0"/>
          <w:lang w:val="en-US"/>
          <w14:textFill>
            <w14:solidFill>
              <w14:srgbClr w14:val="000000"/>
            </w14:solidFill>
          </w14:textFill>
        </w:rPr>
        <w:t xml:space="preserve">Sainsbury's </w:t>
      </w:r>
      <w:r>
        <w:rPr>
          <w:rFonts w:ascii="Times New Roman" w:hAnsi="Times New Roman" w:hint="default"/>
          <w:outline w:val="0"/>
          <w:color w:val="000000"/>
          <w:sz w:val="36"/>
          <w:szCs w:val="36"/>
          <w:u w:val="none" w:color="000000"/>
          <w:rtl w:val="0"/>
          <w14:textFill>
            <w14:solidFill>
              <w14:srgbClr w14:val="000000"/>
            </w14:solidFill>
          </w14:textFill>
        </w:rPr>
        <w:t xml:space="preserve">– </w:t>
      </w:r>
      <w:r>
        <w:rPr>
          <w:rFonts w:ascii="Times New Roman" w:hAnsi="Times New Roman"/>
          <w:outline w:val="0"/>
          <w:color w:val="000000"/>
          <w:sz w:val="36"/>
          <w:szCs w:val="36"/>
          <w:u w:val="none" w:color="000000"/>
          <w:rtl w:val="0"/>
          <w:lang w:val="en-US"/>
          <w14:textFill>
            <w14:solidFill>
              <w14:srgbClr w14:val="000000"/>
            </w14:solidFill>
          </w14:textFill>
        </w:rPr>
        <w:t xml:space="preserve">Dividends (2023). [Online]. Available Through: </w:t>
      </w:r>
      <w:r>
        <w:rPr>
          <w:rStyle w:val="Hyperlink.0"/>
          <w:rFonts w:ascii="Times New Roman" w:cs="Times New Roman" w:hAnsi="Times New Roman" w:eastAsia="Times New Roman"/>
          <w:outline w:val="0"/>
          <w:color w:val="0000ed"/>
          <w:sz w:val="36"/>
          <w:szCs w:val="36"/>
          <w:u w:val="single" w:color="0000ed"/>
          <w:rtl w:val="0"/>
          <w14:textFill>
            <w14:solidFill>
              <w14:srgbClr w14:val="0000EE"/>
            </w14:solidFill>
          </w14:textFill>
        </w:rPr>
        <w:fldChar w:fldCharType="begin" w:fldLock="0"/>
      </w:r>
      <w:r>
        <w:rPr>
          <w:rStyle w:val="Hyperlink.0"/>
          <w:rFonts w:ascii="Times New Roman" w:cs="Times New Roman" w:hAnsi="Times New Roman" w:eastAsia="Times New Roman"/>
          <w:outline w:val="0"/>
          <w:color w:val="0000ed"/>
          <w:sz w:val="36"/>
          <w:szCs w:val="36"/>
          <w:u w:val="single" w:color="0000ed"/>
          <w:rtl w:val="0"/>
          <w14:textFill>
            <w14:solidFill>
              <w14:srgbClr w14:val="0000EE"/>
            </w14:solidFill>
          </w14:textFill>
        </w:rPr>
        <w:instrText xml:space="preserve"> HYPERLINK "https://www.about.sainsburys.co.uk/investors/shareholder-information/dividends#:~:text=Dividends%20will%20be%20paid%20directly,the%20form%20of%20additional%20shares"</w:instrText>
      </w:r>
      <w:r>
        <w:rPr>
          <w:rStyle w:val="Hyperlink.0"/>
          <w:rFonts w:ascii="Times New Roman" w:cs="Times New Roman" w:hAnsi="Times New Roman" w:eastAsia="Times New Roman"/>
          <w:outline w:val="0"/>
          <w:color w:val="0000ed"/>
          <w:sz w:val="36"/>
          <w:szCs w:val="36"/>
          <w:u w:val="single" w:color="0000ed"/>
          <w:rtl w:val="0"/>
          <w14:textFill>
            <w14:solidFill>
              <w14:srgbClr w14:val="0000EE"/>
            </w14:solidFill>
          </w14:textFill>
        </w:rPr>
        <w:fldChar w:fldCharType="separate" w:fldLock="0"/>
      </w:r>
      <w:r>
        <w:rPr>
          <w:rStyle w:val="Hyperlink.0"/>
          <w:rFonts w:ascii="Times New Roman" w:hAnsi="Times New Roman"/>
          <w:outline w:val="0"/>
          <w:color w:val="0000ed"/>
          <w:sz w:val="36"/>
          <w:szCs w:val="36"/>
          <w:u w:val="single" w:color="0000ed"/>
          <w:rtl w:val="0"/>
          <w:lang w:val="en-US"/>
          <w14:textFill>
            <w14:solidFill>
              <w14:srgbClr w14:val="0000EE"/>
            </w14:solidFill>
          </w14:textFill>
        </w:rPr>
        <w:t>https://www.about.sainsburys.co.uk/investors/shareholder-information/dividends#:~:text=Dividends%20will%20be%20paid%20directly,the%20form%20of%20additional%20shares</w:t>
      </w:r>
      <w:r>
        <w:rPr>
          <w:rFonts w:ascii="Times New Roman" w:cs="Times New Roman" w:hAnsi="Times New Roman" w:eastAsia="Times New Roman"/>
          <w:outline w:val="0"/>
          <w:color w:val="0000ed"/>
          <w:sz w:val="36"/>
          <w:szCs w:val="36"/>
          <w:u w:val="single" w:color="0000ed"/>
          <w:rtl w:val="0"/>
          <w14:textFill>
            <w14:solidFill>
              <w14:srgbClr w14:val="0000EE"/>
            </w14:solidFill>
          </w14:textFill>
        </w:rPr>
        <w:fldChar w:fldCharType="end" w:fldLock="0"/>
      </w:r>
      <w:r>
        <w:rPr>
          <w:rFonts w:ascii="Times New Roman" w:hAnsi="Times New Roman"/>
          <w:outline w:val="0"/>
          <w:color w:val="000000"/>
          <w:sz w:val="36"/>
          <w:szCs w:val="36"/>
          <w:u w:val="none" w:color="000000"/>
          <w:rtl w:val="0"/>
          <w14:textFill>
            <w14:solidFill>
              <w14:srgbClr w14:val="000000"/>
            </w14:solidFill>
          </w14:textFill>
        </w:rPr>
        <w:t>.</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tl w:val="0"/>
        </w:rPr>
      </w:pPr>
      <w:r>
        <w:rPr>
          <w:rFonts w:ascii="Times New Roman" w:hAnsi="Times New Roman" w:hint="default"/>
          <w:sz w:val="36"/>
          <w:szCs w:val="36"/>
          <w:u w:color="000000"/>
          <w:rtl w:val="0"/>
        </w:rPr>
        <w:t>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