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1AE140AE" w:rsidP="2CDEB787" w:rsidRDefault="1AE140AE" w14:paraId="594E8F3B" w14:textId="7A6F838A">
      <w:pPr>
        <w:pStyle w:val="Normal"/>
        <w:spacing w:line="360" w:lineRule="auto"/>
        <w:jc w:val="both"/>
        <w:rPr>
          <w:rFonts w:ascii="Arial" w:hAnsi="Arial" w:eastAsia="Arial" w:cs="Arial"/>
          <w:b w:val="1"/>
          <w:bCs w:val="1"/>
          <w:sz w:val="24"/>
          <w:szCs w:val="24"/>
        </w:rPr>
      </w:pPr>
      <w:r w:rsidRPr="2CDEB787" w:rsidR="428DF962">
        <w:rPr>
          <w:rFonts w:ascii="Arial" w:hAnsi="Arial" w:eastAsia="Arial" w:cs="Arial"/>
          <w:b w:val="1"/>
          <w:bCs w:val="1"/>
          <w:sz w:val="32"/>
          <w:szCs w:val="32"/>
        </w:rPr>
        <w:t xml:space="preserve">    </w:t>
      </w:r>
      <w:r w:rsidRPr="2CDEB787" w:rsidR="1AE140AE">
        <w:rPr>
          <w:rFonts w:ascii="Arial" w:hAnsi="Arial" w:eastAsia="Arial" w:cs="Arial"/>
          <w:b w:val="1"/>
          <w:bCs w:val="1"/>
          <w:sz w:val="32"/>
          <w:szCs w:val="32"/>
        </w:rPr>
        <w:t>INTERATIONAL MEETINGS MANAGEMENT FOR THE</w:t>
      </w:r>
    </w:p>
    <w:p w:rsidR="1AE140AE" w:rsidP="2CDEB787" w:rsidRDefault="1AE140AE" w14:paraId="60787F42" w14:textId="3627BF02">
      <w:pPr>
        <w:pStyle w:val="Normal"/>
        <w:spacing w:line="360" w:lineRule="auto"/>
        <w:jc w:val="both"/>
        <w:rPr>
          <w:rFonts w:ascii="Arial" w:hAnsi="Arial" w:eastAsia="Arial" w:cs="Arial"/>
          <w:b w:val="1"/>
          <w:bCs w:val="1"/>
          <w:sz w:val="24"/>
          <w:szCs w:val="24"/>
        </w:rPr>
      </w:pPr>
      <w:r w:rsidRPr="2CDEB787" w:rsidR="0652AED9">
        <w:rPr>
          <w:rFonts w:ascii="Arial" w:hAnsi="Arial" w:eastAsia="Arial" w:cs="Arial"/>
          <w:b w:val="1"/>
          <w:bCs w:val="1"/>
          <w:sz w:val="32"/>
          <w:szCs w:val="32"/>
        </w:rPr>
        <w:t xml:space="preserve">                  </w:t>
      </w:r>
      <w:r w:rsidRPr="2CDEB787" w:rsidR="1F1ED7AB">
        <w:rPr>
          <w:rFonts w:ascii="Arial" w:hAnsi="Arial" w:eastAsia="Arial" w:cs="Arial"/>
          <w:b w:val="1"/>
          <w:bCs w:val="1"/>
          <w:sz w:val="32"/>
          <w:szCs w:val="32"/>
        </w:rPr>
        <w:t xml:space="preserve">INTERNATIONAL HOTEL INDUSTRY </w:t>
      </w:r>
      <w:r w:rsidRPr="2CDEB787" w:rsidR="1F1ED7AB">
        <w:rPr>
          <w:rFonts w:ascii="Arial" w:hAnsi="Arial" w:eastAsia="Arial" w:cs="Arial"/>
          <w:b w:val="1"/>
          <w:bCs w:val="1"/>
          <w:sz w:val="24"/>
          <w:szCs w:val="24"/>
        </w:rPr>
        <w:t xml:space="preserve"> </w:t>
      </w:r>
    </w:p>
    <w:p w:rsidR="1AE140AE" w:rsidP="2CDEB787" w:rsidRDefault="1AE140AE" w14:paraId="4D65288C" w14:textId="12C4C5C0">
      <w:pPr>
        <w:pStyle w:val="Normal"/>
        <w:spacing w:line="360" w:lineRule="auto"/>
        <w:jc w:val="both"/>
        <w:rPr>
          <w:rFonts w:ascii="Arial" w:hAnsi="Arial" w:eastAsia="Arial" w:cs="Arial"/>
          <w:b w:val="1"/>
          <w:bCs w:val="1"/>
          <w:sz w:val="24"/>
          <w:szCs w:val="24"/>
        </w:rPr>
      </w:pPr>
    </w:p>
    <w:p w:rsidR="1AE140AE" w:rsidP="2CDEB787" w:rsidRDefault="1AE140AE" w14:paraId="127ECEF4" w14:textId="6CCAC44F">
      <w:pPr>
        <w:pStyle w:val="Normal"/>
        <w:spacing w:line="360" w:lineRule="auto"/>
        <w:jc w:val="both"/>
        <w:rPr>
          <w:rFonts w:ascii="Arial" w:hAnsi="Arial" w:eastAsia="Arial" w:cs="Arial"/>
          <w:b w:val="1"/>
          <w:bCs w:val="1"/>
          <w:sz w:val="24"/>
          <w:szCs w:val="24"/>
        </w:rPr>
      </w:pPr>
      <w:r w:rsidRPr="2CDEB787" w:rsidR="1AE140AE">
        <w:rPr>
          <w:rFonts w:ascii="Arial" w:hAnsi="Arial" w:eastAsia="Arial" w:cs="Arial"/>
          <w:b w:val="1"/>
          <w:bCs w:val="1"/>
          <w:sz w:val="24"/>
          <w:szCs w:val="24"/>
        </w:rPr>
        <w:t>KATHRYN FLYNN</w:t>
      </w:r>
    </w:p>
    <w:p w:rsidR="1AE140AE" w:rsidP="2CDEB787" w:rsidRDefault="1AE140AE" w14:paraId="1C5104D7" w14:textId="769FDDB8">
      <w:pPr>
        <w:spacing w:line="360" w:lineRule="auto"/>
        <w:jc w:val="both"/>
        <w:rPr>
          <w:rFonts w:ascii="Arial" w:hAnsi="Arial" w:eastAsia="Arial" w:cs="Arial"/>
          <w:b w:val="1"/>
          <w:bCs w:val="1"/>
          <w:sz w:val="24"/>
          <w:szCs w:val="24"/>
        </w:rPr>
      </w:pPr>
      <w:r w:rsidRPr="2CDEB787" w:rsidR="242B54E7">
        <w:rPr>
          <w:rFonts w:ascii="Arial" w:hAnsi="Arial" w:eastAsia="Arial" w:cs="Arial"/>
          <w:b w:val="1"/>
          <w:bCs w:val="1"/>
          <w:sz w:val="24"/>
          <w:szCs w:val="24"/>
        </w:rPr>
        <w:t xml:space="preserve"> </w:t>
      </w:r>
    </w:p>
    <w:p w:rsidR="1AE140AE" w:rsidP="2CDEB787" w:rsidRDefault="1AE140AE" w14:paraId="6788104D" w14:textId="621EE422">
      <w:pPr>
        <w:pStyle w:val="Normal"/>
        <w:spacing w:line="360" w:lineRule="auto"/>
        <w:jc w:val="both"/>
        <w:rPr>
          <w:rFonts w:ascii="Arial" w:hAnsi="Arial" w:eastAsia="Arial" w:cs="Arial"/>
          <w:b w:val="1"/>
          <w:bCs w:val="1"/>
          <w:sz w:val="24"/>
          <w:szCs w:val="24"/>
        </w:rPr>
      </w:pPr>
      <w:r w:rsidRPr="2CDEB787" w:rsidR="1AE140AE">
        <w:rPr>
          <w:rFonts w:ascii="Arial" w:hAnsi="Arial" w:eastAsia="Arial" w:cs="Arial"/>
          <w:b w:val="1"/>
          <w:bCs w:val="1"/>
          <w:sz w:val="24"/>
          <w:szCs w:val="24"/>
        </w:rPr>
        <w:t>ALINA CRISTINA PRUTEANU</w:t>
      </w:r>
    </w:p>
    <w:p w:rsidR="1AE140AE" w:rsidP="759D333D" w:rsidRDefault="1AE140AE" w14:paraId="0BC6A48F" w14:textId="5B1A0FF3">
      <w:pPr>
        <w:spacing w:line="360" w:lineRule="auto"/>
        <w:jc w:val="both"/>
        <w:rPr>
          <w:rFonts w:ascii="Arial" w:hAnsi="Arial" w:eastAsia="Arial" w:cs="Arial"/>
          <w:b w:val="1"/>
          <w:bCs w:val="1"/>
          <w:sz w:val="24"/>
          <w:szCs w:val="24"/>
        </w:rPr>
      </w:pPr>
      <w:r w:rsidRPr="759D333D" w:rsidR="1AE140AE">
        <w:rPr>
          <w:rFonts w:ascii="Arial" w:hAnsi="Arial" w:eastAsia="Arial" w:cs="Arial"/>
          <w:b w:val="1"/>
          <w:bCs w:val="1"/>
          <w:sz w:val="24"/>
          <w:szCs w:val="24"/>
        </w:rPr>
        <w:t>2209886</w:t>
      </w:r>
    </w:p>
    <w:p w:rsidR="759D333D" w:rsidP="759D333D" w:rsidRDefault="759D333D" w14:paraId="30D74936" w14:textId="2FC61765">
      <w:pPr>
        <w:spacing w:line="360" w:lineRule="auto"/>
        <w:jc w:val="both"/>
      </w:pPr>
    </w:p>
    <w:p w:rsidR="759D333D" w:rsidP="759D333D" w:rsidRDefault="759D333D" w14:paraId="2C9A3A70" w14:textId="3E0DB18B">
      <w:pPr>
        <w:spacing w:line="360" w:lineRule="auto"/>
        <w:jc w:val="both"/>
      </w:pPr>
    </w:p>
    <w:p w:rsidR="005B3FCE" w:rsidP="759D333D" w:rsidRDefault="00243352" w14:paraId="494898CF" w14:textId="2F505DC3">
      <w:pPr>
        <w:spacing w:line="360" w:lineRule="auto"/>
        <w:jc w:val="both"/>
        <w:rPr>
          <w:rFonts w:ascii="Arial" w:hAnsi="Arial" w:eastAsia="Arial" w:cs="Arial"/>
          <w:b w:val="1"/>
          <w:bCs w:val="1"/>
          <w:sz w:val="24"/>
          <w:szCs w:val="24"/>
        </w:rPr>
      </w:pPr>
      <w:r>
        <w:object w:dxaOrig="8985" w:dyaOrig="5054" w14:anchorId="2F3BCEEE">
          <v:rect id="rectole0000000000" style="width:449.25pt;height:252.75pt" o:spid="_x0000_i1025" stroked="f" o:ole="" o:preferrelative="t">
            <v:imagedata o:title="" r:id="rId5"/>
          </v:rect>
          <o:OLEObject Type="Embed" ProgID="StaticMetafile" ShapeID="rectole0000000000" DrawAspect="Content" ObjectID="_1792460366" r:id="rId6"/>
        </w:object>
      </w:r>
      <w:r w:rsidRPr="759D333D" w:rsidR="7E200887">
        <w:rPr>
          <w:rFonts w:ascii="Arial" w:hAnsi="Arial" w:eastAsia="Arial" w:cs="Arial"/>
          <w:b w:val="1"/>
          <w:bCs w:val="1"/>
          <w:sz w:val="24"/>
          <w:szCs w:val="24"/>
        </w:rPr>
        <w:t xml:space="preserve"> </w:t>
      </w:r>
    </w:p>
    <w:p w:rsidR="005B3FCE" w:rsidP="759D333D" w:rsidRDefault="00243352" w14:paraId="1388B88F" w14:textId="72931746">
      <w:pPr>
        <w:spacing w:line="360" w:lineRule="auto"/>
        <w:jc w:val="both"/>
        <w:rPr>
          <w:rFonts w:ascii="Arial" w:hAnsi="Arial" w:eastAsia="Arial" w:cs="Arial"/>
          <w:b w:val="1"/>
          <w:bCs w:val="1"/>
          <w:sz w:val="24"/>
          <w:szCs w:val="24"/>
        </w:rPr>
      </w:pPr>
    </w:p>
    <w:p w:rsidR="005B3FCE" w:rsidP="759D333D" w:rsidRDefault="00243352" w14:paraId="48C32D8C" w14:textId="3ADF7B70">
      <w:pPr>
        <w:spacing w:line="360" w:lineRule="auto"/>
        <w:jc w:val="both"/>
        <w:rPr>
          <w:rFonts w:ascii="Arial" w:hAnsi="Arial" w:eastAsia="Arial" w:cs="Arial"/>
          <w:b w:val="1"/>
          <w:bCs w:val="1"/>
          <w:sz w:val="24"/>
          <w:szCs w:val="24"/>
        </w:rPr>
      </w:pPr>
    </w:p>
    <w:p w:rsidR="005B3FCE" w:rsidP="759D333D" w:rsidRDefault="00243352" w14:paraId="2635E364" w14:textId="77777777">
      <w:pPr>
        <w:spacing w:line="360" w:lineRule="auto"/>
        <w:jc w:val="both"/>
        <w:rPr>
          <w:rFonts w:ascii="Arial" w:hAnsi="Arial" w:eastAsia="Arial" w:cs="Arial"/>
          <w:b w:val="1"/>
          <w:bCs w:val="1"/>
          <w:sz w:val="24"/>
          <w:szCs w:val="24"/>
        </w:rPr>
      </w:pPr>
      <w:r w:rsidRPr="759D333D" w:rsidR="00243352">
        <w:rPr>
          <w:rFonts w:ascii="Arial" w:hAnsi="Arial" w:eastAsia="Arial" w:cs="Arial"/>
          <w:b w:val="1"/>
          <w:bCs w:val="1"/>
          <w:sz w:val="24"/>
          <w:szCs w:val="24"/>
        </w:rPr>
        <w:t xml:space="preserve">Introduction </w:t>
      </w:r>
    </w:p>
    <w:p w:rsidR="005B3FCE" w:rsidRDefault="00243352" w14:paraId="75723A29" w14:textId="77777777">
      <w:pPr>
        <w:spacing w:line="360" w:lineRule="auto"/>
        <w:jc w:val="both"/>
        <w:rPr>
          <w:rFonts w:ascii="Arial" w:hAnsi="Arial" w:eastAsia="Arial" w:cs="Arial"/>
          <w:sz w:val="24"/>
        </w:rPr>
      </w:pPr>
      <w:r>
        <w:rPr>
          <w:rFonts w:ascii="Arial" w:hAnsi="Arial" w:eastAsia="Arial" w:cs="Arial"/>
          <w:sz w:val="24"/>
        </w:rPr>
        <w:t>The Christmas Film Festival is a seasonal event that offers a festive getaway for families, couples, and tourists in central London. The festival, located in Hyde Park, will offer classic Christmas film screenings, lively markets, workshops, and VIP experiences, reflecting the magical atmosphere of the holiday season. Hyde Park, known for accommodating large-scale events, provides indoor and outdoor venues suitable for winter occasions. The festival seeks to attract a diverse audience, appealing to resident</w:t>
      </w:r>
      <w:r>
        <w:rPr>
          <w:rFonts w:ascii="Arial" w:hAnsi="Arial" w:eastAsia="Arial" w:cs="Arial"/>
          <w:sz w:val="24"/>
        </w:rPr>
        <w:t>s and international tourists seeking a family-oriented, nostalgic holiday experience.</w:t>
      </w:r>
    </w:p>
    <w:p w:rsidR="005B3FCE" w:rsidRDefault="00243352" w14:paraId="1D489F96" w14:textId="77777777">
      <w:pPr>
        <w:spacing w:line="360" w:lineRule="auto"/>
        <w:jc w:val="both"/>
        <w:rPr>
          <w:rFonts w:ascii="Arial" w:hAnsi="Arial" w:eastAsia="Arial" w:cs="Arial"/>
          <w:sz w:val="24"/>
        </w:rPr>
      </w:pPr>
      <w:r>
        <w:rPr>
          <w:rFonts w:ascii="Arial" w:hAnsi="Arial" w:eastAsia="Arial" w:cs="Arial"/>
          <w:sz w:val="24"/>
        </w:rPr>
        <w:t>The event's importance goes beyond just being entertaining; it involves the growing MICE sector and boosting local tourism and business collaborations. This feasibility report analyses the event's potential for success using the EMBOK framework for strategic planning, considering market demand, operational challenges, and financial viability. The Christmas Film Festival, promoting sustainability and innovation, is set to be a prominent feature of London’s winter event calendar.</w:t>
      </w:r>
    </w:p>
    <w:p w:rsidR="005B3FCE" w:rsidRDefault="005B3FCE" w14:paraId="672A6659" w14:textId="77777777">
      <w:pPr>
        <w:spacing w:line="360" w:lineRule="auto"/>
        <w:jc w:val="both"/>
        <w:rPr>
          <w:rFonts w:ascii="Arial" w:hAnsi="Arial" w:eastAsia="Arial" w:cs="Arial"/>
          <w:b/>
          <w:sz w:val="24"/>
        </w:rPr>
      </w:pPr>
    </w:p>
    <w:p w:rsidR="005B3FCE" w:rsidRDefault="005B3FCE" w14:paraId="0A37501D" w14:textId="77777777">
      <w:pPr>
        <w:spacing w:line="360" w:lineRule="auto"/>
        <w:jc w:val="both"/>
        <w:rPr>
          <w:rFonts w:ascii="Arial" w:hAnsi="Arial" w:eastAsia="Arial" w:cs="Arial"/>
          <w:b/>
          <w:sz w:val="24"/>
        </w:rPr>
      </w:pPr>
    </w:p>
    <w:p w:rsidR="005B3FCE" w:rsidRDefault="00243352" w14:paraId="5831F4B1" w14:textId="77777777">
      <w:pPr>
        <w:spacing w:line="360" w:lineRule="auto"/>
        <w:jc w:val="both"/>
        <w:rPr>
          <w:rFonts w:ascii="Arial" w:hAnsi="Arial" w:eastAsia="Arial" w:cs="Arial"/>
          <w:b/>
          <w:sz w:val="24"/>
        </w:rPr>
      </w:pPr>
      <w:r>
        <w:object w:dxaOrig="8995" w:dyaOrig="3754" w14:anchorId="6C7301E5">
          <v:rect id="rectole0000000001" style="width:450pt;height:187.5pt" o:spid="_x0000_i1026" stroked="f" o:ole="" o:preferrelative="t">
            <v:imagedata o:title="" r:id="rId7"/>
          </v:rect>
          <o:OLEObject Type="Embed" ProgID="StaticMetafile" ShapeID="rectole0000000001" DrawAspect="Content" ObjectID="_1792460367" r:id="rId8"/>
        </w:object>
      </w:r>
      <w:r>
        <w:rPr>
          <w:rFonts w:ascii="Arial" w:hAnsi="Arial" w:eastAsia="Arial" w:cs="Arial"/>
          <w:b/>
          <w:sz w:val="24"/>
        </w:rPr>
        <w:t xml:space="preserve">The Event Cycle </w:t>
      </w:r>
    </w:p>
    <w:p w:rsidR="005B3FCE" w:rsidRDefault="00243352" w14:paraId="3EB45936" w14:textId="77777777">
      <w:pPr>
        <w:spacing w:line="360" w:lineRule="auto"/>
        <w:jc w:val="both"/>
        <w:rPr>
          <w:rFonts w:ascii="Arial" w:hAnsi="Arial" w:eastAsia="Arial" w:cs="Arial"/>
          <w:sz w:val="24"/>
        </w:rPr>
      </w:pPr>
      <w:r>
        <w:rPr>
          <w:rFonts w:ascii="Arial" w:hAnsi="Arial" w:eastAsia="Arial" w:cs="Arial"/>
          <w:sz w:val="24"/>
        </w:rPr>
        <w:t>The EMBOK (Event Management Body of Knowledge) framework (Silvers, 2003) offers an organised strategy for event planning, incorporating phases that facilitate the planning and execution of an event. Every cycle phase (Initiation, Planning, Implementation, Event, and Closure) guarantees the seamless operation of the Christmas Film Festival from conception to completion.</w:t>
      </w:r>
    </w:p>
    <w:p w:rsidR="005B3FCE" w:rsidRDefault="00243352" w14:paraId="7CFA5100" w14:textId="77777777">
      <w:pPr>
        <w:spacing w:line="360" w:lineRule="auto"/>
        <w:jc w:val="both"/>
        <w:rPr>
          <w:rFonts w:ascii="Arial" w:hAnsi="Arial" w:eastAsia="Arial" w:cs="Arial"/>
          <w:sz w:val="24"/>
        </w:rPr>
      </w:pPr>
      <w:r>
        <w:rPr>
          <w:rFonts w:ascii="Arial" w:hAnsi="Arial" w:eastAsia="Arial" w:cs="Arial"/>
          <w:sz w:val="24"/>
        </w:rPr>
        <w:t>The initiation phase signifies the beginning of the project, concentrating on formulating the event's concept and identifying its target audience. The primary demographic for the Christmas Film Festival includes families, tourists, and cinephiles, as determined by market analysis. These groups correspond with the festival's objective of fostering a nostalgic yet family-oriented experience, which is favoured in London's winter market (Brown, 2019). The demand for celebratory events substantiates the festival</w:t>
      </w:r>
      <w:r>
        <w:rPr>
          <w:rFonts w:ascii="Arial" w:hAnsi="Arial" w:eastAsia="Arial" w:cs="Arial"/>
          <w:sz w:val="24"/>
        </w:rPr>
        <w:t>, and Hyde Park's accessibility helps its economic viability (Kelly et al., 2019).</w:t>
      </w:r>
    </w:p>
    <w:p w:rsidR="005B3FCE" w:rsidRDefault="00243352" w14:paraId="2300E886" w14:textId="77777777">
      <w:pPr>
        <w:spacing w:line="360" w:lineRule="auto"/>
        <w:jc w:val="both"/>
        <w:rPr>
          <w:rFonts w:ascii="Arial" w:hAnsi="Arial" w:eastAsia="Arial" w:cs="Arial"/>
          <w:sz w:val="24"/>
        </w:rPr>
      </w:pPr>
      <w:r>
        <w:rPr>
          <w:rFonts w:ascii="Arial" w:hAnsi="Arial" w:eastAsia="Arial" w:cs="Arial"/>
          <w:sz w:val="24"/>
        </w:rPr>
        <w:t>In the Planning phase, logistical choices are determined, including the selection of Hyde Park as the venue. Hyde Park's indoor and outdoor areas provide adaptability, facilitating the event's screenings and market activities regardless of weather conditions (Arnott, 2020). Anticipated operational challenges include crowd management, public transport access, and detailed contingency planning for severe weather. Proactively addressing these issues lowers the possibility of disruptions during the event (Basil</w:t>
      </w:r>
      <w:r>
        <w:rPr>
          <w:rFonts w:ascii="Arial" w:hAnsi="Arial" w:eastAsia="Arial" w:cs="Arial"/>
          <w:sz w:val="24"/>
        </w:rPr>
        <w:t>i et al., 2014).</w:t>
      </w:r>
    </w:p>
    <w:p w:rsidR="005B3FCE" w:rsidRDefault="00243352" w14:paraId="0D1978FE" w14:textId="77777777">
      <w:pPr>
        <w:spacing w:line="360" w:lineRule="auto"/>
        <w:jc w:val="both"/>
        <w:rPr>
          <w:rFonts w:ascii="Arial" w:hAnsi="Arial" w:eastAsia="Arial" w:cs="Arial"/>
          <w:sz w:val="24"/>
        </w:rPr>
      </w:pPr>
      <w:r>
        <w:rPr>
          <w:rFonts w:ascii="Arial" w:hAnsi="Arial" w:eastAsia="Arial" w:cs="Arial"/>
          <w:sz w:val="24"/>
        </w:rPr>
        <w:t>In implementation, genuine efforts materialise. Maintaining the security of screens, seating, and sound systems and coordinating with technical staff and vendors is essential. This phase entails forming a team comprising event planners, hospitality experts, and security personnel to guarantee the event's flawless operation (Kelly et al., 2019).</w:t>
      </w:r>
    </w:p>
    <w:p w:rsidR="005B3FCE" w:rsidRDefault="00243352" w14:paraId="41215CAF" w14:textId="77777777">
      <w:pPr>
        <w:spacing w:line="360" w:lineRule="auto"/>
        <w:jc w:val="both"/>
        <w:rPr>
          <w:rFonts w:ascii="Arial" w:hAnsi="Arial" w:eastAsia="Arial" w:cs="Arial"/>
          <w:sz w:val="24"/>
        </w:rPr>
      </w:pPr>
      <w:r>
        <w:rPr>
          <w:rFonts w:ascii="Arial" w:hAnsi="Arial" w:eastAsia="Arial" w:cs="Arial"/>
          <w:sz w:val="24"/>
        </w:rPr>
        <w:t>The Event phase encompasses the festival, providing participants with film screenings, workshops, and exclusive experiences. Effectively executed programming guarantees that all attendees—regardless of status as casual visitors or VIP guests—experience engagement (Ribeiro and Costa, 2018).</w:t>
      </w:r>
    </w:p>
    <w:p w:rsidR="005B3FCE" w:rsidRDefault="00243352" w14:paraId="6DC8966F" w14:textId="77777777">
      <w:pPr>
        <w:spacing w:line="360" w:lineRule="auto"/>
        <w:jc w:val="both"/>
        <w:rPr>
          <w:rFonts w:ascii="Arial" w:hAnsi="Arial" w:eastAsia="Arial" w:cs="Arial"/>
          <w:sz w:val="24"/>
        </w:rPr>
      </w:pPr>
      <w:r>
        <w:rPr>
          <w:rFonts w:ascii="Arial" w:hAnsi="Arial" w:eastAsia="Arial" w:cs="Arial"/>
          <w:sz w:val="24"/>
        </w:rPr>
        <w:t>The Closure phase encompasses debriefing, recognition of sponsors, and feedback collection. These activities offer insights for future improvements and facilitate maintaining stakeholder relationships for forthcoming events (Shafahi and Haghani, 2018).</w:t>
      </w:r>
    </w:p>
    <w:p w:rsidR="005B3FCE" w:rsidRDefault="00243352" w14:paraId="741BED0D" w14:textId="77777777">
      <w:pPr>
        <w:spacing w:line="360" w:lineRule="auto"/>
        <w:jc w:val="both"/>
        <w:rPr>
          <w:rFonts w:ascii="Arial" w:hAnsi="Arial" w:eastAsia="Arial" w:cs="Arial"/>
          <w:b/>
          <w:sz w:val="24"/>
        </w:rPr>
      </w:pPr>
      <w:r>
        <w:rPr>
          <w:rFonts w:ascii="Arial" w:hAnsi="Arial" w:eastAsia="Arial" w:cs="Arial"/>
          <w:sz w:val="24"/>
        </w:rPr>
        <w:t>Following the EMBOK event cycle, the Christmas Film Festival will be able to manage each phase proficiently, guaranteeing operational success and an unforgettable experience for participants.</w:t>
      </w:r>
    </w:p>
    <w:p w:rsidR="005B3FCE" w:rsidRDefault="005B3FCE" w14:paraId="5DAB6C7B" w14:textId="77777777">
      <w:pPr>
        <w:spacing w:line="360" w:lineRule="auto"/>
        <w:jc w:val="both"/>
        <w:rPr>
          <w:rFonts w:ascii="Arial" w:hAnsi="Arial" w:eastAsia="Arial" w:cs="Arial"/>
          <w:b/>
          <w:sz w:val="24"/>
        </w:rPr>
      </w:pPr>
    </w:p>
    <w:p w:rsidR="005B3FCE" w:rsidRDefault="00243352" w14:paraId="14234C18" w14:textId="77777777">
      <w:pPr>
        <w:spacing w:line="360" w:lineRule="auto"/>
        <w:jc w:val="both"/>
        <w:rPr>
          <w:rFonts w:ascii="Arial" w:hAnsi="Arial" w:eastAsia="Arial" w:cs="Arial"/>
          <w:b/>
          <w:sz w:val="24"/>
        </w:rPr>
      </w:pPr>
      <w:r>
        <w:rPr>
          <w:rFonts w:ascii="Arial" w:hAnsi="Arial" w:eastAsia="Arial" w:cs="Arial"/>
          <w:b/>
          <w:sz w:val="24"/>
        </w:rPr>
        <w:t xml:space="preserve">Event Concept </w:t>
      </w:r>
    </w:p>
    <w:p w:rsidR="005B3FCE" w:rsidRDefault="00243352" w14:paraId="4382C43F" w14:textId="77777777">
      <w:pPr>
        <w:spacing w:line="360" w:lineRule="auto"/>
        <w:jc w:val="both"/>
        <w:rPr>
          <w:rFonts w:ascii="Arial" w:hAnsi="Arial" w:eastAsia="Arial" w:cs="Arial"/>
          <w:sz w:val="24"/>
        </w:rPr>
      </w:pPr>
      <w:r>
        <w:object w:dxaOrig="5663" w:dyaOrig="3775" w14:anchorId="36420729">
          <v:rect id="rectole0000000002" style="width:283.5pt;height:189pt" o:spid="_x0000_i1027" stroked="f" o:ole="" o:preferrelative="t">
            <v:imagedata o:title="" r:id="rId9"/>
          </v:rect>
          <o:OLEObject Type="Embed" ProgID="StaticMetafile" ShapeID="rectole0000000002" DrawAspect="Content" ObjectID="_1792460368" r:id="rId10"/>
        </w:object>
      </w:r>
      <w:r>
        <w:rPr>
          <w:rFonts w:ascii="Arial" w:hAnsi="Arial" w:eastAsia="Arial" w:cs="Arial"/>
          <w:sz w:val="24"/>
        </w:rPr>
        <w:t xml:space="preserve">Participants at the Christmas Film Festival can anticipate a carefully selected collection of film screenings, interactive workshops, and exclusive VIP experiences, all intended to create a festive and engaging atmosphere. A typical day at the event will feature screenings of cherished Christmas films, providing a nostalgic element to the experience. Visitors can also check out the Christmas market, where food stalls and craft vendors will offer seasonal delicacies and artisanal products that represent the </w:t>
      </w:r>
      <w:r>
        <w:rPr>
          <w:rFonts w:ascii="Arial" w:hAnsi="Arial" w:eastAsia="Arial" w:cs="Arial"/>
          <w:sz w:val="24"/>
        </w:rPr>
        <w:t>festive spirit of the occasion (Brown, 2019).</w:t>
      </w:r>
    </w:p>
    <w:p w:rsidR="005B3FCE" w:rsidRDefault="00243352" w14:paraId="7C46D659" w14:textId="77777777">
      <w:pPr>
        <w:spacing w:line="360" w:lineRule="auto"/>
        <w:jc w:val="both"/>
        <w:rPr>
          <w:rFonts w:ascii="Arial" w:hAnsi="Arial" w:eastAsia="Arial" w:cs="Arial"/>
          <w:sz w:val="24"/>
        </w:rPr>
      </w:pPr>
      <w:r>
        <w:rPr>
          <w:rFonts w:ascii="Arial" w:hAnsi="Arial" w:eastAsia="Arial" w:cs="Arial"/>
          <w:sz w:val="24"/>
        </w:rPr>
        <w:t>The VIP experience will improve the event by providing premium seating for film screenings, access to VIP lounges, and exclusive culinary and beverage selections. The benefits, including early film access and specialised staff, provide greater comfort and exclusivity for VIP ticket holders (Wilson et al., 2017). This feature is beautiful to sponsors and guests desiring a premium experience, increasing the event's value proposition.</w:t>
      </w:r>
    </w:p>
    <w:p w:rsidR="005B3FCE" w:rsidRDefault="00243352" w14:paraId="09A886C0" w14:textId="77777777">
      <w:pPr>
        <w:spacing w:line="360" w:lineRule="auto"/>
        <w:jc w:val="both"/>
        <w:rPr>
          <w:rFonts w:ascii="Arial" w:hAnsi="Arial" w:eastAsia="Arial" w:cs="Arial"/>
          <w:sz w:val="24"/>
        </w:rPr>
      </w:pPr>
      <w:r>
        <w:rPr>
          <w:rFonts w:ascii="Arial" w:hAnsi="Arial" w:eastAsia="Arial" w:cs="Arial"/>
          <w:sz w:val="24"/>
        </w:rPr>
        <w:t>The festival will also involve families through Christmas-themed workshops, allowing children and adults to craft ornaments or learn to bake festive treats. These initiatives are designed to cultivate community and interaction, increase engagement and provide lasting impressions for participants (Yen, 2022).</w:t>
      </w:r>
    </w:p>
    <w:p w:rsidR="005B3FCE" w:rsidRDefault="00243352" w14:paraId="08B493D7" w14:textId="77777777">
      <w:pPr>
        <w:spacing w:line="360" w:lineRule="auto"/>
        <w:jc w:val="both"/>
        <w:rPr>
          <w:rFonts w:ascii="Arial" w:hAnsi="Arial" w:eastAsia="Arial" w:cs="Arial"/>
          <w:b/>
          <w:sz w:val="24"/>
        </w:rPr>
      </w:pPr>
      <w:r>
        <w:rPr>
          <w:rFonts w:ascii="Arial" w:hAnsi="Arial" w:eastAsia="Arial" w:cs="Arial"/>
          <w:sz w:val="24"/>
        </w:rPr>
        <w:t>The festival is organised utilising the Design domain of the EMBOK framework to optimise audience engagement. A unified Christmas theme and well-organised activities improve the aesthetic appeal and the overall experience, accommodating a diverse audience (Neuhofer, 2020).</w:t>
      </w:r>
    </w:p>
    <w:p w:rsidR="005B3FCE" w:rsidRDefault="005B3FCE" w14:paraId="02EB378F" w14:textId="77777777">
      <w:pPr>
        <w:spacing w:line="360" w:lineRule="auto"/>
        <w:jc w:val="both"/>
        <w:rPr>
          <w:rFonts w:ascii="Arial" w:hAnsi="Arial" w:eastAsia="Arial" w:cs="Arial"/>
          <w:b/>
          <w:sz w:val="24"/>
        </w:rPr>
      </w:pPr>
    </w:p>
    <w:p w:rsidR="005B3FCE" w:rsidRDefault="00243352" w14:paraId="29D6EBCD" w14:textId="77777777">
      <w:pPr>
        <w:spacing w:line="360" w:lineRule="auto"/>
        <w:jc w:val="both"/>
        <w:rPr>
          <w:rFonts w:ascii="Arial" w:hAnsi="Arial" w:eastAsia="Arial" w:cs="Arial"/>
          <w:b/>
          <w:sz w:val="24"/>
        </w:rPr>
      </w:pPr>
      <w:r>
        <w:rPr>
          <w:rFonts w:ascii="Arial" w:hAnsi="Arial" w:eastAsia="Arial" w:cs="Arial"/>
          <w:b/>
          <w:sz w:val="24"/>
        </w:rPr>
        <w:t xml:space="preserve">Aim and Objectives </w:t>
      </w:r>
    </w:p>
    <w:p w:rsidR="005B3FCE" w:rsidRDefault="00243352" w14:paraId="4747590B" w14:textId="77777777">
      <w:pPr>
        <w:spacing w:line="360" w:lineRule="auto"/>
        <w:jc w:val="both"/>
        <w:rPr>
          <w:rFonts w:ascii="Arial" w:hAnsi="Arial" w:eastAsia="Arial" w:cs="Arial"/>
          <w:sz w:val="24"/>
        </w:rPr>
      </w:pPr>
      <w:r>
        <w:object w:dxaOrig="4641" w:dyaOrig="3102" w14:anchorId="461AB7E5">
          <v:rect id="rectole0000000003" style="width:231.75pt;height:155.25pt" o:spid="_x0000_i1028" stroked="f" o:ole="" o:preferrelative="t">
            <v:imagedata o:title="" r:id="rId11"/>
          </v:rect>
          <o:OLEObject Type="Embed" ProgID="StaticMetafile" ShapeID="rectole0000000003" DrawAspect="Content" ObjectID="_1792460369" r:id="rId12"/>
        </w:object>
      </w:r>
      <w:r>
        <w:rPr>
          <w:rFonts w:ascii="Arial" w:hAnsi="Arial" w:eastAsia="Arial" w:cs="Arial"/>
          <w:sz w:val="24"/>
        </w:rPr>
        <w:t xml:space="preserve">The principal objective of the Christmas Film Festival is to establish a profitable and memorable event that engages attendees and promotes community involvement. This festival corresponds with London's growing demand for seasonal, family-centric entertainment. The event at Hyde Park is anticipated to attract a substantial audience of tourists, families, and residents (Bjerke, 2017). </w:t>
      </w:r>
      <w:r>
        <w:rPr>
          <w:rFonts w:ascii="Arial" w:hAnsi="Arial" w:eastAsia="Arial" w:cs="Arial"/>
          <w:sz w:val="24"/>
        </w:rPr>
        <w:br/>
      </w:r>
      <w:r>
        <w:rPr>
          <w:rFonts w:ascii="Arial" w:hAnsi="Arial" w:eastAsia="Arial" w:cs="Arial"/>
          <w:sz w:val="24"/>
        </w:rPr>
        <w:t xml:space="preserve">SMART objectives—Specific, Measurable, Achievable, Relevant, and Time-bound—inform the event's strategy. The primary aim is </w:t>
      </w:r>
      <w:r>
        <w:rPr>
          <w:rFonts w:ascii="Arial" w:hAnsi="Arial" w:eastAsia="Arial" w:cs="Arial"/>
          <w:sz w:val="24"/>
        </w:rPr>
        <w:t xml:space="preserve">explicit: to organise a family-oriented Christmas film festival that includes classic holiday films, markets, and workshops. The objective is to profit £87,000 through sponsorships and ticket sales (Mombeuil, 2020). Partnerships with major companies like Netflix, Coca-Cola, and John Lewis increase achievability by offering financial support and increased exposure (Heavey et al., 2014). </w:t>
      </w:r>
      <w:r>
        <w:rPr>
          <w:rFonts w:ascii="Arial" w:hAnsi="Arial" w:eastAsia="Arial" w:cs="Arial"/>
          <w:sz w:val="24"/>
        </w:rPr>
        <w:br/>
      </w:r>
      <w:r>
        <w:rPr>
          <w:rFonts w:ascii="Arial" w:hAnsi="Arial" w:eastAsia="Arial" w:cs="Arial"/>
          <w:sz w:val="24"/>
        </w:rPr>
        <w:t>The festival's relevance is clear, as it addresses the increasing demand for festive events in London, engaging with an es</w:t>
      </w:r>
      <w:r>
        <w:rPr>
          <w:rFonts w:ascii="Arial" w:hAnsi="Arial" w:eastAsia="Arial" w:cs="Arial"/>
          <w:sz w:val="24"/>
        </w:rPr>
        <w:t xml:space="preserve">tablished market (George et al., 2019). The event is constrained by a timeline, guaranteeing that all planning and execution are finalised before the December 2024 launch (Bjerke, 2017). </w:t>
      </w:r>
      <w:r>
        <w:rPr>
          <w:rFonts w:ascii="Arial" w:hAnsi="Arial" w:eastAsia="Arial" w:cs="Arial"/>
          <w:sz w:val="24"/>
        </w:rPr>
        <w:br/>
      </w:r>
      <w:r>
        <w:rPr>
          <w:rFonts w:ascii="Arial" w:hAnsi="Arial" w:eastAsia="Arial" w:cs="Arial"/>
          <w:sz w:val="24"/>
        </w:rPr>
        <w:t>Strategic thinking and continuous improvement, fundamental principles of EMBOK, guarantee that these objectives align with immediate goals and long-term success (Suárez et al., 2016).</w:t>
      </w:r>
    </w:p>
    <w:p w:rsidR="005B3FCE" w:rsidRDefault="005B3FCE" w14:paraId="6A05A809" w14:textId="77777777">
      <w:pPr>
        <w:spacing w:line="360" w:lineRule="auto"/>
        <w:jc w:val="both"/>
        <w:rPr>
          <w:rFonts w:ascii="Arial" w:hAnsi="Arial" w:eastAsia="Arial" w:cs="Arial"/>
          <w:sz w:val="24"/>
        </w:rPr>
      </w:pPr>
    </w:p>
    <w:p w:rsidR="005B3FCE" w:rsidRDefault="00243352" w14:paraId="60C9449D" w14:textId="77777777">
      <w:pPr>
        <w:spacing w:line="360" w:lineRule="auto"/>
        <w:jc w:val="both"/>
        <w:rPr>
          <w:rFonts w:ascii="Arial" w:hAnsi="Arial" w:eastAsia="Arial" w:cs="Arial"/>
          <w:b/>
          <w:sz w:val="24"/>
        </w:rPr>
      </w:pPr>
      <w:r>
        <w:rPr>
          <w:rFonts w:ascii="Arial" w:hAnsi="Arial" w:eastAsia="Arial" w:cs="Arial"/>
          <w:b/>
          <w:sz w:val="24"/>
        </w:rPr>
        <w:t xml:space="preserve">Event Management </w:t>
      </w:r>
    </w:p>
    <w:p w:rsidR="005B3FCE" w:rsidRDefault="00243352" w14:paraId="4E8477F9" w14:textId="77777777">
      <w:pPr>
        <w:spacing w:line="360" w:lineRule="auto"/>
        <w:jc w:val="both"/>
        <w:rPr>
          <w:rFonts w:ascii="Arial" w:hAnsi="Arial" w:eastAsia="Arial" w:cs="Arial"/>
          <w:sz w:val="24"/>
        </w:rPr>
      </w:pPr>
      <w:r>
        <w:rPr>
          <w:rFonts w:ascii="Arial" w:hAnsi="Arial" w:eastAsia="Arial" w:cs="Arial"/>
          <w:sz w:val="24"/>
        </w:rPr>
        <w:t>Successful event management for the Christmas Film Festival necessitates precise operational planning, strategic marketing initiatives, and extensive logistical oversight. All elements must be implemented in line with the EMBOK Operations and Marketing domains, guaranteeing strategic resource allocation and optimised promotional efforts.</w:t>
      </w:r>
    </w:p>
    <w:p w:rsidR="005B3FCE" w:rsidRDefault="00243352" w14:paraId="021607A8" w14:textId="77777777">
      <w:pPr>
        <w:spacing w:line="360" w:lineRule="auto"/>
        <w:jc w:val="both"/>
        <w:rPr>
          <w:rFonts w:ascii="Arial" w:hAnsi="Arial" w:eastAsia="Arial" w:cs="Arial"/>
          <w:sz w:val="24"/>
        </w:rPr>
      </w:pPr>
      <w:r>
        <w:rPr>
          <w:rFonts w:ascii="Arial" w:hAnsi="Arial" w:eastAsia="Arial" w:cs="Arial"/>
          <w:sz w:val="24"/>
        </w:rPr>
        <w:t>To meet audience expectations and provide operational security, effective event marketing adopts the 7Ps framework (Bowdin et al., 2011):</w:t>
      </w:r>
    </w:p>
    <w:p w:rsidR="005B3FCE" w:rsidRDefault="00243352" w14:paraId="199051A0" w14:textId="77777777">
      <w:pPr>
        <w:numPr>
          <w:ilvl w:val="0"/>
          <w:numId w:val="1"/>
        </w:numPr>
        <w:spacing w:line="360" w:lineRule="auto"/>
        <w:ind w:left="720" w:hanging="360"/>
        <w:jc w:val="both"/>
        <w:rPr>
          <w:rFonts w:ascii="Arial" w:hAnsi="Arial" w:eastAsia="Arial" w:cs="Arial"/>
          <w:sz w:val="24"/>
        </w:rPr>
      </w:pPr>
      <w:r>
        <w:object w:dxaOrig="4147" w:dyaOrig="3603" w14:anchorId="5093A722">
          <v:rect id="rectole0000000004" style="width:207pt;height:180pt" o:spid="_x0000_i1029" stroked="f" o:ole="" o:preferrelative="t">
            <v:imagedata o:title="" r:id="rId13"/>
          </v:rect>
          <o:OLEObject Type="Embed" ProgID="StaticMetafile" ShapeID="rectole0000000004" DrawAspect="Content" ObjectID="_1792460370" r:id="rId14"/>
        </w:object>
      </w:r>
      <w:r>
        <w:rPr>
          <w:rFonts w:ascii="Arial" w:hAnsi="Arial" w:eastAsia="Arial" w:cs="Arial"/>
          <w:b/>
          <w:sz w:val="24"/>
        </w:rPr>
        <w:t>Product</w:t>
      </w:r>
      <w:r>
        <w:rPr>
          <w:rFonts w:ascii="Arial" w:hAnsi="Arial" w:eastAsia="Arial" w:cs="Arial"/>
          <w:sz w:val="24"/>
        </w:rPr>
        <w:t>: workshops, markets and Christmas films</w:t>
      </w:r>
    </w:p>
    <w:p w:rsidR="005B3FCE" w:rsidRDefault="00243352" w14:paraId="6B8237D7" w14:textId="77777777">
      <w:pPr>
        <w:numPr>
          <w:ilvl w:val="0"/>
          <w:numId w:val="1"/>
        </w:numPr>
        <w:spacing w:line="360" w:lineRule="auto"/>
        <w:ind w:left="720" w:hanging="360"/>
        <w:jc w:val="both"/>
        <w:rPr>
          <w:rFonts w:ascii="Arial" w:hAnsi="Arial" w:eastAsia="Arial" w:cs="Arial"/>
          <w:sz w:val="24"/>
        </w:rPr>
      </w:pPr>
      <w:r>
        <w:rPr>
          <w:rFonts w:ascii="Arial" w:hAnsi="Arial" w:eastAsia="Arial" w:cs="Arial"/>
          <w:b/>
          <w:sz w:val="24"/>
        </w:rPr>
        <w:t>Price</w:t>
      </w:r>
      <w:r>
        <w:rPr>
          <w:rFonts w:ascii="Arial" w:hAnsi="Arial" w:eastAsia="Arial" w:cs="Arial"/>
          <w:sz w:val="24"/>
        </w:rPr>
        <w:t>: VIP options and tiered ticketing</w:t>
      </w:r>
    </w:p>
    <w:p w:rsidR="005B3FCE" w:rsidRDefault="00243352" w14:paraId="59052BEE" w14:textId="77777777">
      <w:pPr>
        <w:numPr>
          <w:ilvl w:val="0"/>
          <w:numId w:val="1"/>
        </w:numPr>
        <w:spacing w:line="360" w:lineRule="auto"/>
        <w:ind w:left="720" w:hanging="360"/>
        <w:jc w:val="both"/>
        <w:rPr>
          <w:rFonts w:ascii="Arial" w:hAnsi="Arial" w:eastAsia="Arial" w:cs="Arial"/>
          <w:sz w:val="24"/>
        </w:rPr>
      </w:pPr>
      <w:r>
        <w:rPr>
          <w:rFonts w:ascii="Arial" w:hAnsi="Arial" w:eastAsia="Arial" w:cs="Arial"/>
          <w:b/>
          <w:sz w:val="24"/>
        </w:rPr>
        <w:t>Place</w:t>
      </w:r>
      <w:r>
        <w:rPr>
          <w:rFonts w:ascii="Arial" w:hAnsi="Arial" w:eastAsia="Arial" w:cs="Arial"/>
          <w:sz w:val="24"/>
        </w:rPr>
        <w:t>: Hyde Park</w:t>
      </w:r>
    </w:p>
    <w:p w:rsidR="005B3FCE" w:rsidRDefault="00243352" w14:paraId="71645A96" w14:textId="77777777">
      <w:pPr>
        <w:numPr>
          <w:ilvl w:val="0"/>
          <w:numId w:val="1"/>
        </w:numPr>
        <w:spacing w:line="360" w:lineRule="auto"/>
        <w:ind w:left="720" w:hanging="360"/>
        <w:jc w:val="both"/>
        <w:rPr>
          <w:rFonts w:ascii="Arial" w:hAnsi="Arial" w:eastAsia="Arial" w:cs="Arial"/>
          <w:sz w:val="24"/>
        </w:rPr>
      </w:pPr>
      <w:r>
        <w:rPr>
          <w:rFonts w:ascii="Arial" w:hAnsi="Arial" w:eastAsia="Arial" w:cs="Arial"/>
          <w:b/>
          <w:sz w:val="24"/>
        </w:rPr>
        <w:t>Promotion</w:t>
      </w:r>
      <w:r>
        <w:rPr>
          <w:rFonts w:ascii="Arial" w:hAnsi="Arial" w:eastAsia="Arial" w:cs="Arial"/>
          <w:sz w:val="24"/>
        </w:rPr>
        <w:t xml:space="preserve">: Netflix, Disney+ and online and offline marketing  </w:t>
      </w:r>
    </w:p>
    <w:p w:rsidR="005B3FCE" w:rsidRDefault="00243352" w14:paraId="0C161171" w14:textId="77777777">
      <w:pPr>
        <w:numPr>
          <w:ilvl w:val="0"/>
          <w:numId w:val="1"/>
        </w:numPr>
        <w:spacing w:line="360" w:lineRule="auto"/>
        <w:ind w:left="720" w:hanging="360"/>
        <w:jc w:val="both"/>
        <w:rPr>
          <w:rFonts w:ascii="Arial" w:hAnsi="Arial" w:eastAsia="Arial" w:cs="Arial"/>
          <w:sz w:val="24"/>
        </w:rPr>
      </w:pPr>
      <w:r>
        <w:rPr>
          <w:rFonts w:ascii="Arial" w:hAnsi="Arial" w:eastAsia="Arial" w:cs="Arial"/>
          <w:b/>
          <w:sz w:val="24"/>
        </w:rPr>
        <w:t>People</w:t>
      </w:r>
      <w:r>
        <w:rPr>
          <w:rFonts w:ascii="Arial" w:hAnsi="Arial" w:eastAsia="Arial" w:cs="Arial"/>
          <w:sz w:val="24"/>
        </w:rPr>
        <w:t>: Skilled staff and security staff</w:t>
      </w:r>
    </w:p>
    <w:p w:rsidR="005B3FCE" w:rsidRDefault="00243352" w14:paraId="3AA6CABC" w14:textId="77777777">
      <w:pPr>
        <w:numPr>
          <w:ilvl w:val="0"/>
          <w:numId w:val="1"/>
        </w:numPr>
        <w:spacing w:line="360" w:lineRule="auto"/>
        <w:ind w:left="720" w:hanging="360"/>
        <w:jc w:val="both"/>
        <w:rPr>
          <w:rFonts w:ascii="Arial" w:hAnsi="Arial" w:eastAsia="Arial" w:cs="Arial"/>
          <w:sz w:val="24"/>
        </w:rPr>
      </w:pPr>
      <w:r>
        <w:rPr>
          <w:rFonts w:ascii="Arial" w:hAnsi="Arial" w:eastAsia="Arial" w:cs="Arial"/>
          <w:b/>
          <w:sz w:val="24"/>
        </w:rPr>
        <w:t>Process</w:t>
      </w:r>
      <w:r>
        <w:rPr>
          <w:rFonts w:ascii="Arial" w:hAnsi="Arial" w:eastAsia="Arial" w:cs="Arial"/>
          <w:sz w:val="24"/>
        </w:rPr>
        <w:t>: crowd control to make sure that there are no interruptions</w:t>
      </w:r>
    </w:p>
    <w:p w:rsidR="005B3FCE" w:rsidRDefault="00243352" w14:paraId="71F2A3DC" w14:textId="77777777">
      <w:pPr>
        <w:numPr>
          <w:ilvl w:val="0"/>
          <w:numId w:val="1"/>
        </w:numPr>
        <w:spacing w:line="360" w:lineRule="auto"/>
        <w:ind w:left="720" w:hanging="360"/>
        <w:jc w:val="both"/>
        <w:rPr>
          <w:rFonts w:ascii="Arial" w:hAnsi="Arial" w:eastAsia="Arial" w:cs="Arial"/>
          <w:sz w:val="24"/>
        </w:rPr>
      </w:pPr>
      <w:r>
        <w:rPr>
          <w:rFonts w:ascii="Arial" w:hAnsi="Arial" w:eastAsia="Arial" w:cs="Arial"/>
          <w:b/>
          <w:sz w:val="24"/>
        </w:rPr>
        <w:t>Physical Evidence</w:t>
      </w:r>
      <w:r>
        <w:rPr>
          <w:rFonts w:ascii="Arial" w:hAnsi="Arial" w:eastAsia="Arial" w:cs="Arial"/>
          <w:sz w:val="24"/>
        </w:rPr>
        <w:t>: Festive decorations for the holiday atmosphere and contingency planning, like weather prep, to support event stability.</w:t>
      </w:r>
    </w:p>
    <w:p w:rsidR="005B3FCE" w:rsidRDefault="00243352" w14:paraId="149BC7B8" w14:textId="77777777">
      <w:pPr>
        <w:spacing w:line="360" w:lineRule="auto"/>
        <w:jc w:val="both"/>
        <w:rPr>
          <w:rFonts w:ascii="Arial" w:hAnsi="Arial" w:eastAsia="Arial" w:cs="Arial"/>
          <w:sz w:val="24"/>
        </w:rPr>
      </w:pPr>
      <w:r>
        <w:rPr>
          <w:rFonts w:ascii="Arial" w:hAnsi="Arial" w:eastAsia="Arial" w:cs="Arial"/>
          <w:sz w:val="24"/>
        </w:rPr>
        <w:t>Operational Planning begins with the breakdown of essential tasks, including vendor management, equipment configuration, and security provisions. Coordinating with vendors for the Christmas market and procuring resources such as screens, sound systems, and seating are essential. Kariuki et al. (2020) believe that event operations, especially time management and vendor coordination, profoundly influence overall event performance. Security requirements for crowd management and VIP area control must be priorit</w:t>
      </w:r>
      <w:r>
        <w:rPr>
          <w:rFonts w:ascii="Arial" w:hAnsi="Arial" w:eastAsia="Arial" w:cs="Arial"/>
          <w:sz w:val="24"/>
        </w:rPr>
        <w:t>ised early to reduce potential risks (Arnott, 2020). Effective communication between staff and vendors guarantees an uninterrupted running of the event. Maintaining uninterrupted operations and attendee safety during significant events needs careful logistics planning and backup plans, including staff for crowd control and weather preparation (Kaplanidou and Vogt, 2007). Event planners can drastically lower the chance of interruptions by taking preventative steps to address these factors.</w:t>
      </w:r>
    </w:p>
    <w:p w:rsidR="005B3FCE" w:rsidRDefault="00243352" w14:paraId="246AB73A" w14:textId="77777777">
      <w:pPr>
        <w:spacing w:line="360" w:lineRule="auto"/>
        <w:jc w:val="both"/>
        <w:rPr>
          <w:rFonts w:ascii="Arial" w:hAnsi="Arial" w:eastAsia="Arial" w:cs="Arial"/>
          <w:sz w:val="24"/>
        </w:rPr>
      </w:pPr>
      <w:r>
        <w:rPr>
          <w:rFonts w:ascii="Arial" w:hAnsi="Arial" w:eastAsia="Arial" w:cs="Arial"/>
          <w:sz w:val="24"/>
        </w:rPr>
        <w:t>It is essential to make sure public events are inclusive and accessible because these elements not only improve attendees' experience but also increase safety by attending to various needs, including wheelchair access, sensory accommodations, and visible signs (Getz and Page, 2019).</w:t>
      </w:r>
    </w:p>
    <w:p w:rsidR="005B3FCE" w:rsidRDefault="00243352" w14:paraId="1FDB57A4" w14:textId="77777777">
      <w:pPr>
        <w:spacing w:line="360" w:lineRule="auto"/>
        <w:jc w:val="both"/>
        <w:rPr>
          <w:rFonts w:ascii="Arial" w:hAnsi="Arial" w:eastAsia="Arial" w:cs="Arial"/>
          <w:sz w:val="24"/>
        </w:rPr>
      </w:pPr>
      <w:r>
        <w:rPr>
          <w:rFonts w:ascii="Arial" w:hAnsi="Arial" w:eastAsia="Arial" w:cs="Arial"/>
          <w:sz w:val="24"/>
        </w:rPr>
        <w:t>To facilitate promotion, marketing activities will be reinforced through partnerships with global brands like Netflix and collaborations with local influencers and tourism boards, such as Visit London. The emergence of digital technologies has revolutionised event marketing, utilising tools such as social media campaigns, event applications, and digital influencers to facilitate direct engagement with target audiences (Ekici and Toksoz, 2021). Furthermore, hybrid marketing strategies integrating traditional</w:t>
      </w:r>
      <w:r>
        <w:rPr>
          <w:rFonts w:ascii="Arial" w:hAnsi="Arial" w:eastAsia="Arial" w:cs="Arial"/>
          <w:sz w:val="24"/>
        </w:rPr>
        <w:t xml:space="preserve"> advertising with online promotions can improve reach and draw international tourists (Sousa et al., 2020).</w:t>
      </w:r>
    </w:p>
    <w:p w:rsidR="005B3FCE" w:rsidRDefault="00243352" w14:paraId="7A0F5BED" w14:textId="77777777">
      <w:pPr>
        <w:spacing w:line="360" w:lineRule="auto"/>
        <w:jc w:val="both"/>
        <w:rPr>
          <w:rFonts w:ascii="Arial" w:hAnsi="Arial" w:eastAsia="Arial" w:cs="Arial"/>
          <w:sz w:val="24"/>
        </w:rPr>
      </w:pPr>
      <w:r>
        <w:rPr>
          <w:rFonts w:ascii="Arial" w:hAnsi="Arial" w:eastAsia="Arial" w:cs="Arial"/>
          <w:sz w:val="24"/>
        </w:rPr>
        <w:t>Logistical management requires verifying that the venue configuration meets the requirements of both attendees and participants. The ample outdoor space of Hyde Park offers adaptability, yet it is essential to prepare for weather-related eventualities. Installing tents, heating systems, and sheltered walkways allows the event's continuation regardless of weather conditions (Samaranayake et al., 2017). Effective crowd flow management, particularly during peak periods and in high-traffic areas such as the foo</w:t>
      </w:r>
      <w:r>
        <w:rPr>
          <w:rFonts w:ascii="Arial" w:hAnsi="Arial" w:eastAsia="Arial" w:cs="Arial"/>
          <w:sz w:val="24"/>
        </w:rPr>
        <w:t>d market or film screenings, is essential for ensuring safety and comfort (Health and Safety Executive, 2024).</w:t>
      </w:r>
    </w:p>
    <w:p w:rsidR="005B3FCE" w:rsidRDefault="00243352" w14:paraId="505DF795" w14:textId="77777777">
      <w:pPr>
        <w:spacing w:line="360" w:lineRule="auto"/>
        <w:jc w:val="both"/>
        <w:rPr>
          <w:rFonts w:ascii="Arial" w:hAnsi="Arial" w:eastAsia="Arial" w:cs="Arial"/>
          <w:sz w:val="24"/>
        </w:rPr>
      </w:pPr>
      <w:r>
        <w:rPr>
          <w:rFonts w:ascii="Arial" w:hAnsi="Arial" w:eastAsia="Arial" w:cs="Arial"/>
          <w:sz w:val="24"/>
        </w:rPr>
        <w:t>Incorporating these operational, marketing, and logistical strategies into the EMBOK framework will optimise resource utilisation and improve audience experience. Through careful organisation, the Christmas Film Festival can provide a flawless and pleasurable experience while reaching its financial and engagement objectives (Brown, 2019).</w:t>
      </w:r>
    </w:p>
    <w:p w:rsidR="005B3FCE" w:rsidRDefault="005B3FCE" w14:paraId="5A39BBE3" w14:textId="77777777">
      <w:pPr>
        <w:spacing w:line="360" w:lineRule="auto"/>
        <w:jc w:val="both"/>
        <w:rPr>
          <w:rFonts w:ascii="Arial" w:hAnsi="Arial" w:eastAsia="Arial" w:cs="Arial"/>
          <w:b/>
          <w:sz w:val="24"/>
        </w:rPr>
      </w:pPr>
    </w:p>
    <w:p w:rsidR="005B3FCE" w:rsidRDefault="00243352" w14:paraId="62987507" w14:textId="77777777">
      <w:pPr>
        <w:spacing w:line="360" w:lineRule="auto"/>
        <w:jc w:val="both"/>
        <w:rPr>
          <w:rFonts w:ascii="Arial" w:hAnsi="Arial" w:eastAsia="Arial" w:cs="Arial"/>
          <w:b/>
          <w:sz w:val="24"/>
        </w:rPr>
      </w:pPr>
      <w:r>
        <w:rPr>
          <w:rFonts w:ascii="Arial" w:hAnsi="Arial" w:eastAsia="Arial" w:cs="Arial"/>
          <w:b/>
          <w:sz w:val="24"/>
        </w:rPr>
        <w:t xml:space="preserve">Event Budget </w:t>
      </w:r>
    </w:p>
    <w:tbl>
      <w:tblPr>
        <w:tblW w:w="0" w:type="auto"/>
        <w:tblInd w:w="108" w:type="dxa"/>
        <w:tblCellMar>
          <w:left w:w="10" w:type="dxa"/>
          <w:right w:w="10" w:type="dxa"/>
        </w:tblCellMar>
        <w:tblLook w:val="0000" w:firstRow="0" w:lastRow="0" w:firstColumn="0" w:lastColumn="0" w:noHBand="0" w:noVBand="0"/>
      </w:tblPr>
      <w:tblGrid>
        <w:gridCol w:w="3086"/>
        <w:gridCol w:w="3083"/>
        <w:gridCol w:w="3073"/>
      </w:tblGrid>
      <w:tr w:rsidR="005B3FCE" w14:paraId="03CC7358" w14:textId="77777777">
        <w:tblPrEx>
          <w:tblCellMar>
            <w:top w:w="0" w:type="dxa"/>
            <w:bottom w:w="0" w:type="dxa"/>
          </w:tblCellMar>
        </w:tblPrEx>
        <w:trPr>
          <w:trHeight w:val="1"/>
        </w:trPr>
        <w:tc>
          <w:tcPr>
            <w:tcW w:w="3116"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1E5A74F1" w14:textId="77777777">
            <w:pPr>
              <w:spacing w:after="0" w:line="360" w:lineRule="auto"/>
              <w:jc w:val="both"/>
            </w:pPr>
            <w:r>
              <w:rPr>
                <w:rFonts w:ascii="Arial" w:hAnsi="Arial" w:eastAsia="Arial" w:cs="Arial"/>
                <w:b/>
                <w:color w:val="000000"/>
                <w:sz w:val="24"/>
              </w:rPr>
              <w:t>Category</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0231F8D0" w14:textId="77777777">
            <w:pPr>
              <w:spacing w:after="0" w:line="360" w:lineRule="auto"/>
              <w:jc w:val="both"/>
            </w:pPr>
            <w:r>
              <w:rPr>
                <w:rFonts w:ascii="Arial" w:hAnsi="Arial" w:eastAsia="Arial" w:cs="Arial"/>
                <w:b/>
                <w:color w:val="000000"/>
                <w:sz w:val="24"/>
              </w:rPr>
              <w:t>Details</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6AB028BE" w14:textId="77777777">
            <w:pPr>
              <w:spacing w:after="0" w:line="360" w:lineRule="auto"/>
              <w:jc w:val="both"/>
            </w:pPr>
            <w:r>
              <w:rPr>
                <w:rFonts w:ascii="Arial" w:hAnsi="Arial" w:eastAsia="Arial" w:cs="Arial"/>
                <w:b/>
                <w:color w:val="000000"/>
                <w:sz w:val="24"/>
              </w:rPr>
              <w:t>Amount (£)</w:t>
            </w:r>
          </w:p>
        </w:tc>
      </w:tr>
      <w:tr w:rsidR="005B3FCE" w14:paraId="0704D772" w14:textId="77777777">
        <w:tblPrEx>
          <w:tblCellMar>
            <w:top w:w="0" w:type="dxa"/>
            <w:bottom w:w="0" w:type="dxa"/>
          </w:tblCellMar>
        </w:tblPrEx>
        <w:trPr>
          <w:trHeight w:val="1"/>
        </w:trPr>
        <w:tc>
          <w:tcPr>
            <w:tcW w:w="3116"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6B2D8188" w14:textId="77777777">
            <w:pPr>
              <w:spacing w:after="0" w:line="360" w:lineRule="auto"/>
              <w:jc w:val="both"/>
            </w:pPr>
            <w:r>
              <w:rPr>
                <w:rFonts w:ascii="Arial" w:hAnsi="Arial" w:eastAsia="Arial" w:cs="Arial"/>
                <w:b/>
                <w:sz w:val="24"/>
              </w:rPr>
              <w:t>Projected Income</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2564ED61" w14:textId="77777777">
            <w:pPr>
              <w:spacing w:after="0" w:line="360" w:lineRule="auto"/>
              <w:jc w:val="both"/>
            </w:pPr>
            <w:r>
              <w:rPr>
                <w:rFonts w:ascii="Arial" w:hAnsi="Arial" w:eastAsia="Arial" w:cs="Arial"/>
                <w:sz w:val="24"/>
              </w:rPr>
              <w:t>Sponsorship</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71037A8A" w14:textId="77777777">
            <w:pPr>
              <w:spacing w:after="0" w:line="360" w:lineRule="auto"/>
              <w:jc w:val="both"/>
            </w:pPr>
            <w:r>
              <w:rPr>
                <w:rFonts w:ascii="Arial" w:hAnsi="Arial" w:eastAsia="Arial" w:cs="Arial"/>
                <w:sz w:val="24"/>
              </w:rPr>
              <w:t>£60,000</w:t>
            </w:r>
          </w:p>
        </w:tc>
      </w:tr>
      <w:tr w:rsidR="005B3FCE" w14:paraId="229F1F0F" w14:textId="77777777">
        <w:tblPrEx>
          <w:tblCellMar>
            <w:top w:w="0" w:type="dxa"/>
            <w:bottom w:w="0" w:type="dxa"/>
          </w:tblCellMar>
        </w:tblPrEx>
        <w:trPr>
          <w:trHeight w:val="1"/>
        </w:trPr>
        <w:tc>
          <w:tcPr>
            <w:tcW w:w="3116"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44ED5B42" w14:textId="77777777">
            <w:pPr>
              <w:spacing w:after="0" w:line="360" w:lineRule="auto"/>
              <w:jc w:val="both"/>
            </w:pPr>
            <w:r>
              <w:rPr>
                <w:rFonts w:ascii="Arial" w:hAnsi="Arial" w:eastAsia="Arial" w:cs="Arial"/>
                <w:sz w:val="24"/>
              </w:rPr>
              <w:t>VIP Tickets</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7B8278FF" w14:textId="77777777">
            <w:pPr>
              <w:spacing w:after="0" w:line="360" w:lineRule="auto"/>
              <w:jc w:val="both"/>
            </w:pPr>
            <w:r>
              <w:rPr>
                <w:rFonts w:ascii="Arial" w:hAnsi="Arial" w:eastAsia="Arial" w:cs="Arial"/>
                <w:sz w:val="24"/>
              </w:rPr>
              <w:t>£25,000</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5B3FCE" w14:paraId="41C8F396" w14:textId="77777777">
            <w:pPr>
              <w:spacing w:after="0" w:line="360" w:lineRule="auto"/>
              <w:jc w:val="both"/>
              <w:rPr>
                <w:rFonts w:ascii="Calibri" w:hAnsi="Calibri" w:eastAsia="Calibri" w:cs="Calibri"/>
              </w:rPr>
            </w:pPr>
          </w:p>
        </w:tc>
      </w:tr>
      <w:tr w:rsidR="005B3FCE" w14:paraId="5826057F" w14:textId="77777777">
        <w:tblPrEx>
          <w:tblCellMar>
            <w:top w:w="0" w:type="dxa"/>
            <w:bottom w:w="0" w:type="dxa"/>
          </w:tblCellMar>
        </w:tblPrEx>
        <w:trPr>
          <w:trHeight w:val="1"/>
        </w:trPr>
        <w:tc>
          <w:tcPr>
            <w:tcW w:w="3116"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50CCCB73" w14:textId="77777777">
            <w:pPr>
              <w:spacing w:after="0" w:line="360" w:lineRule="auto"/>
              <w:jc w:val="both"/>
            </w:pPr>
            <w:r>
              <w:rPr>
                <w:rFonts w:ascii="Arial" w:hAnsi="Arial" w:eastAsia="Arial" w:cs="Arial"/>
                <w:sz w:val="24"/>
              </w:rPr>
              <w:t>General Admission</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278FF995" w14:textId="77777777">
            <w:pPr>
              <w:spacing w:after="0" w:line="360" w:lineRule="auto"/>
              <w:jc w:val="both"/>
            </w:pPr>
            <w:r>
              <w:rPr>
                <w:rFonts w:ascii="Arial" w:hAnsi="Arial" w:eastAsia="Arial" w:cs="Arial"/>
                <w:sz w:val="24"/>
              </w:rPr>
              <w:t>£50,000</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5B3FCE" w14:paraId="72A3D3EC" w14:textId="77777777">
            <w:pPr>
              <w:spacing w:after="0" w:line="360" w:lineRule="auto"/>
              <w:jc w:val="both"/>
              <w:rPr>
                <w:rFonts w:ascii="Calibri" w:hAnsi="Calibri" w:eastAsia="Calibri" w:cs="Calibri"/>
              </w:rPr>
            </w:pPr>
          </w:p>
        </w:tc>
      </w:tr>
      <w:tr w:rsidR="005B3FCE" w14:paraId="6B488ED3" w14:textId="77777777">
        <w:tblPrEx>
          <w:tblCellMar>
            <w:top w:w="0" w:type="dxa"/>
            <w:bottom w:w="0" w:type="dxa"/>
          </w:tblCellMar>
        </w:tblPrEx>
        <w:trPr>
          <w:trHeight w:val="1"/>
        </w:trPr>
        <w:tc>
          <w:tcPr>
            <w:tcW w:w="3116"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355B7BF4" w14:textId="77777777">
            <w:pPr>
              <w:spacing w:after="0" w:line="360" w:lineRule="auto"/>
              <w:jc w:val="both"/>
            </w:pPr>
            <w:r>
              <w:rPr>
                <w:rFonts w:ascii="Arial" w:hAnsi="Arial" w:eastAsia="Arial" w:cs="Arial"/>
                <w:sz w:val="24"/>
              </w:rPr>
              <w:t>Total Income</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4CED6CA8" w14:textId="77777777">
            <w:pPr>
              <w:spacing w:after="0" w:line="360" w:lineRule="auto"/>
              <w:jc w:val="both"/>
            </w:pPr>
            <w:r>
              <w:rPr>
                <w:rFonts w:ascii="Arial" w:hAnsi="Arial" w:eastAsia="Arial" w:cs="Arial"/>
                <w:sz w:val="24"/>
              </w:rPr>
              <w:t>£135,000</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5B3FCE" w14:paraId="0D0B940D" w14:textId="77777777">
            <w:pPr>
              <w:spacing w:after="0" w:line="360" w:lineRule="auto"/>
              <w:jc w:val="both"/>
              <w:rPr>
                <w:rFonts w:ascii="Calibri" w:hAnsi="Calibri" w:eastAsia="Calibri" w:cs="Calibri"/>
              </w:rPr>
            </w:pPr>
          </w:p>
        </w:tc>
      </w:tr>
      <w:tr w:rsidR="005B3FCE" w14:paraId="68FE03BA" w14:textId="77777777">
        <w:tblPrEx>
          <w:tblCellMar>
            <w:top w:w="0" w:type="dxa"/>
            <w:bottom w:w="0" w:type="dxa"/>
          </w:tblCellMar>
        </w:tblPrEx>
        <w:trPr>
          <w:trHeight w:val="1"/>
        </w:trPr>
        <w:tc>
          <w:tcPr>
            <w:tcW w:w="3116"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5EFD45F7" w14:textId="77777777">
            <w:pPr>
              <w:spacing w:after="0" w:line="360" w:lineRule="auto"/>
              <w:jc w:val="both"/>
            </w:pPr>
            <w:r>
              <w:rPr>
                <w:rFonts w:ascii="Arial" w:hAnsi="Arial" w:eastAsia="Arial" w:cs="Arial"/>
                <w:b/>
                <w:sz w:val="24"/>
              </w:rPr>
              <w:t>Expenditures</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6DD02288" w14:textId="77777777">
            <w:pPr>
              <w:spacing w:after="0" w:line="360" w:lineRule="auto"/>
              <w:jc w:val="both"/>
            </w:pPr>
            <w:r>
              <w:rPr>
                <w:rFonts w:ascii="Arial" w:hAnsi="Arial" w:eastAsia="Arial" w:cs="Arial"/>
                <w:sz w:val="24"/>
              </w:rPr>
              <w:t>Venue &amp; Equipment</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55596348" w14:textId="77777777">
            <w:pPr>
              <w:spacing w:after="0" w:line="360" w:lineRule="auto"/>
              <w:jc w:val="both"/>
            </w:pPr>
            <w:r>
              <w:rPr>
                <w:rFonts w:ascii="Arial" w:hAnsi="Arial" w:eastAsia="Arial" w:cs="Arial"/>
                <w:sz w:val="24"/>
              </w:rPr>
              <w:t>£40,000</w:t>
            </w:r>
          </w:p>
        </w:tc>
      </w:tr>
      <w:tr w:rsidR="005B3FCE" w14:paraId="5100DC69" w14:textId="77777777">
        <w:tblPrEx>
          <w:tblCellMar>
            <w:top w:w="0" w:type="dxa"/>
            <w:bottom w:w="0" w:type="dxa"/>
          </w:tblCellMar>
        </w:tblPrEx>
        <w:trPr>
          <w:trHeight w:val="1"/>
        </w:trPr>
        <w:tc>
          <w:tcPr>
            <w:tcW w:w="3116"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61D66A40" w14:textId="77777777">
            <w:pPr>
              <w:spacing w:after="0" w:line="360" w:lineRule="auto"/>
              <w:jc w:val="both"/>
            </w:pPr>
            <w:r>
              <w:rPr>
                <w:rFonts w:ascii="Arial" w:hAnsi="Arial" w:eastAsia="Arial" w:cs="Arial"/>
                <w:sz w:val="24"/>
              </w:rPr>
              <w:t>Staffing</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27633084" w14:textId="77777777">
            <w:pPr>
              <w:spacing w:after="0" w:line="360" w:lineRule="auto"/>
              <w:jc w:val="both"/>
            </w:pPr>
            <w:r>
              <w:rPr>
                <w:rFonts w:ascii="Arial" w:hAnsi="Arial" w:eastAsia="Arial" w:cs="Arial"/>
                <w:sz w:val="24"/>
              </w:rPr>
              <w:t>£30,000</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5B3FCE" w14:paraId="0E27B00A" w14:textId="77777777">
            <w:pPr>
              <w:spacing w:after="0" w:line="360" w:lineRule="auto"/>
              <w:jc w:val="both"/>
              <w:rPr>
                <w:rFonts w:ascii="Calibri" w:hAnsi="Calibri" w:eastAsia="Calibri" w:cs="Calibri"/>
              </w:rPr>
            </w:pPr>
          </w:p>
        </w:tc>
      </w:tr>
      <w:tr w:rsidR="005B3FCE" w14:paraId="6A21EC59" w14:textId="77777777">
        <w:tblPrEx>
          <w:tblCellMar>
            <w:top w:w="0" w:type="dxa"/>
            <w:bottom w:w="0" w:type="dxa"/>
          </w:tblCellMar>
        </w:tblPrEx>
        <w:trPr>
          <w:trHeight w:val="1"/>
        </w:trPr>
        <w:tc>
          <w:tcPr>
            <w:tcW w:w="3116"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4B5B66DF" w14:textId="77777777">
            <w:pPr>
              <w:spacing w:after="0" w:line="360" w:lineRule="auto"/>
              <w:jc w:val="both"/>
            </w:pPr>
            <w:r>
              <w:rPr>
                <w:rFonts w:ascii="Arial" w:hAnsi="Arial" w:eastAsia="Arial" w:cs="Arial"/>
                <w:sz w:val="24"/>
              </w:rPr>
              <w:t>Film Licensing</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2D50675D" w14:textId="77777777">
            <w:pPr>
              <w:spacing w:after="0" w:line="360" w:lineRule="auto"/>
              <w:jc w:val="both"/>
            </w:pPr>
            <w:r>
              <w:rPr>
                <w:rFonts w:ascii="Arial" w:hAnsi="Arial" w:eastAsia="Arial" w:cs="Arial"/>
                <w:sz w:val="24"/>
              </w:rPr>
              <w:t>£10,000</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5B3FCE" w14:paraId="60061E4C" w14:textId="77777777">
            <w:pPr>
              <w:spacing w:after="0" w:line="360" w:lineRule="auto"/>
              <w:jc w:val="both"/>
              <w:rPr>
                <w:rFonts w:ascii="Calibri" w:hAnsi="Calibri" w:eastAsia="Calibri" w:cs="Calibri"/>
              </w:rPr>
            </w:pPr>
          </w:p>
        </w:tc>
      </w:tr>
      <w:tr w:rsidR="005B3FCE" w14:paraId="3461FA27" w14:textId="77777777">
        <w:tblPrEx>
          <w:tblCellMar>
            <w:top w:w="0" w:type="dxa"/>
            <w:bottom w:w="0" w:type="dxa"/>
          </w:tblCellMar>
        </w:tblPrEx>
        <w:trPr>
          <w:trHeight w:val="1"/>
        </w:trPr>
        <w:tc>
          <w:tcPr>
            <w:tcW w:w="3116"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3BFD5643" w14:textId="77777777">
            <w:pPr>
              <w:spacing w:after="0" w:line="360" w:lineRule="auto"/>
              <w:jc w:val="both"/>
            </w:pPr>
            <w:r>
              <w:rPr>
                <w:rFonts w:ascii="Arial" w:hAnsi="Arial" w:eastAsia="Arial" w:cs="Arial"/>
                <w:sz w:val="24"/>
              </w:rPr>
              <w:t>Total Expenditures</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0A7B34B9" w14:textId="77777777">
            <w:pPr>
              <w:spacing w:after="0" w:line="360" w:lineRule="auto"/>
              <w:jc w:val="both"/>
            </w:pPr>
            <w:r>
              <w:rPr>
                <w:rFonts w:ascii="Arial" w:hAnsi="Arial" w:eastAsia="Arial" w:cs="Arial"/>
                <w:sz w:val="24"/>
              </w:rPr>
              <w:t>£80,000</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5B3FCE" w14:paraId="44EAFD9C" w14:textId="77777777">
            <w:pPr>
              <w:spacing w:after="0" w:line="360" w:lineRule="auto"/>
              <w:jc w:val="both"/>
              <w:rPr>
                <w:rFonts w:ascii="Calibri" w:hAnsi="Calibri" w:eastAsia="Calibri" w:cs="Calibri"/>
              </w:rPr>
            </w:pPr>
          </w:p>
        </w:tc>
      </w:tr>
      <w:tr w:rsidR="005B3FCE" w14:paraId="2D20C156" w14:textId="77777777">
        <w:tblPrEx>
          <w:tblCellMar>
            <w:top w:w="0" w:type="dxa"/>
            <w:bottom w:w="0" w:type="dxa"/>
          </w:tblCellMar>
        </w:tblPrEx>
        <w:trPr>
          <w:trHeight w:val="1"/>
        </w:trPr>
        <w:tc>
          <w:tcPr>
            <w:tcW w:w="3116"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74614978" w14:textId="77777777">
            <w:pPr>
              <w:spacing w:after="0" w:line="360" w:lineRule="auto"/>
              <w:jc w:val="both"/>
            </w:pPr>
            <w:r>
              <w:rPr>
                <w:rFonts w:ascii="Arial" w:hAnsi="Arial" w:eastAsia="Arial" w:cs="Arial"/>
                <w:b/>
                <w:sz w:val="24"/>
              </w:rPr>
              <w:t>Profit</w:t>
            </w: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5B3FCE" w14:paraId="4B94D5A5" w14:textId="77777777">
            <w:pPr>
              <w:spacing w:after="0" w:line="360" w:lineRule="auto"/>
              <w:jc w:val="both"/>
              <w:rPr>
                <w:rFonts w:ascii="Calibri" w:hAnsi="Calibri" w:eastAsia="Calibri" w:cs="Calibri"/>
              </w:rPr>
            </w:pPr>
          </w:p>
        </w:tc>
        <w:tc>
          <w:tcPr>
            <w:tcW w:w="3117" w:type="dxa"/>
            <w:tcBorders>
              <w:top w:val="single" w:color="000000" w:sz="4" w:space="0"/>
              <w:left w:val="single" w:color="000000" w:sz="4" w:space="0"/>
              <w:bottom w:val="single" w:color="000000" w:sz="4" w:space="0"/>
              <w:right w:val="single" w:color="000000" w:sz="4" w:space="0"/>
            </w:tcBorders>
            <w:shd w:val="clear" w:color="000000" w:fill="FFFFFF"/>
            <w:tcMar>
              <w:left w:w="108" w:type="dxa"/>
              <w:right w:w="108" w:type="dxa"/>
            </w:tcMar>
          </w:tcPr>
          <w:p w:rsidR="005B3FCE" w:rsidRDefault="00243352" w14:paraId="53875601" w14:textId="77777777">
            <w:pPr>
              <w:spacing w:after="0" w:line="360" w:lineRule="auto"/>
              <w:jc w:val="both"/>
            </w:pPr>
            <w:r>
              <w:rPr>
                <w:rFonts w:ascii="Arial" w:hAnsi="Arial" w:eastAsia="Arial" w:cs="Arial"/>
                <w:sz w:val="24"/>
              </w:rPr>
              <w:t>£87,000</w:t>
            </w:r>
          </w:p>
        </w:tc>
      </w:tr>
    </w:tbl>
    <w:p w:rsidR="005B3FCE" w:rsidRDefault="005B3FCE" w14:paraId="3DEEC669" w14:textId="77777777">
      <w:pPr>
        <w:spacing w:line="360" w:lineRule="auto"/>
        <w:jc w:val="both"/>
        <w:rPr>
          <w:rFonts w:ascii="Arial" w:hAnsi="Arial" w:eastAsia="Arial" w:cs="Arial"/>
          <w:sz w:val="24"/>
        </w:rPr>
      </w:pPr>
    </w:p>
    <w:p w:rsidR="005B3FCE" w:rsidRDefault="00243352" w14:paraId="5C645BF5" w14:textId="77777777">
      <w:pPr>
        <w:spacing w:line="360" w:lineRule="auto"/>
        <w:jc w:val="both"/>
        <w:rPr>
          <w:rFonts w:ascii="Arial" w:hAnsi="Arial" w:eastAsia="Arial" w:cs="Arial"/>
          <w:sz w:val="24"/>
        </w:rPr>
      </w:pPr>
      <w:r>
        <w:rPr>
          <w:rFonts w:ascii="Arial" w:hAnsi="Arial" w:eastAsia="Arial" w:cs="Arial"/>
          <w:sz w:val="24"/>
        </w:rPr>
        <w:t>Effective financial planning is essential for the success of the Christmas Film Festival. By predicting both revenue and expenses, the festival promises not only profitability but also operational sustainability. Primary revenue sources comprise £60,000 from significant sponsorships (Netflix, Coca-Cola, and John Lewis), £25,000 from VIP ticket sales, and £50,000 from general admissions. The income sources indicate the festival's extensive allure, appealing to participants desiring a premium experience and b</w:t>
      </w:r>
      <w:r>
        <w:rPr>
          <w:rFonts w:ascii="Arial" w:hAnsi="Arial" w:eastAsia="Arial" w:cs="Arial"/>
          <w:sz w:val="24"/>
        </w:rPr>
        <w:t>rands aiming to align with a prominent, family-centric event (Janjusevic and Mathur, 2021).</w:t>
      </w:r>
    </w:p>
    <w:p w:rsidR="005B3FCE" w:rsidRDefault="00243352" w14:paraId="52DC6662" w14:textId="77777777">
      <w:pPr>
        <w:spacing w:line="360" w:lineRule="auto"/>
        <w:jc w:val="both"/>
        <w:rPr>
          <w:rFonts w:ascii="Arial" w:hAnsi="Arial" w:eastAsia="Arial" w:cs="Arial"/>
          <w:sz w:val="24"/>
        </w:rPr>
      </w:pPr>
      <w:r>
        <w:rPr>
          <w:rFonts w:ascii="Arial" w:hAnsi="Arial" w:eastAsia="Arial" w:cs="Arial"/>
          <w:sz w:val="24"/>
        </w:rPr>
        <w:t>The festival's expenditures include £40,000 for venue rental and equipment, £30,000 for staffing, and £10,000 for film licensing fees. These expenditures include the fundamental elements required for organising a large-scale event in Hyde Park, including procuring screens and sound systems and providing sufficient staffing and security (Kariuki et al., 2020). Prudent resource allocation is essential; it regulates costs and guarantees that the event adheres to its anticipated budget (Mombeuil, 2020).</w:t>
      </w:r>
    </w:p>
    <w:p w:rsidR="005B3FCE" w:rsidRDefault="00243352" w14:paraId="3C3F5B07" w14:textId="77777777">
      <w:pPr>
        <w:spacing w:line="360" w:lineRule="auto"/>
        <w:jc w:val="both"/>
        <w:rPr>
          <w:rFonts w:ascii="Arial" w:hAnsi="Arial" w:eastAsia="Arial" w:cs="Arial"/>
          <w:sz w:val="24"/>
        </w:rPr>
      </w:pPr>
      <w:r>
        <w:rPr>
          <w:rFonts w:ascii="Arial" w:hAnsi="Arial" w:eastAsia="Arial" w:cs="Arial"/>
          <w:sz w:val="24"/>
        </w:rPr>
        <w:t>The anticipated profit of £87,000 indicates a substantial margin, demonstrating the financial viability of the festival. By utilising collaborations with respected sponsors and exercising strict control of costs, the event can attain its financial objectives while providing an unforgettable experience (Shigali and Shitseswa, 2023).</w:t>
      </w:r>
    </w:p>
    <w:p w:rsidR="005B3FCE" w:rsidRDefault="00243352" w14:paraId="49FD5539" w14:textId="77777777">
      <w:pPr>
        <w:spacing w:line="360" w:lineRule="auto"/>
        <w:jc w:val="both"/>
        <w:rPr>
          <w:rFonts w:ascii="Arial" w:hAnsi="Arial" w:eastAsia="Arial" w:cs="Arial"/>
          <w:sz w:val="24"/>
        </w:rPr>
      </w:pPr>
      <w:r>
        <w:rPr>
          <w:rFonts w:ascii="Arial" w:hAnsi="Arial" w:eastAsia="Arial" w:cs="Arial"/>
          <w:sz w:val="24"/>
        </w:rPr>
        <w:t>The festival's financial management, utilising the EMBOK Administration domain, demonstrates strategic resource allocation and budgeting, ensuring funds are directed towards essential operational areas while maximising profitability. Efficient financial management improves the event's short-term success and its prospects for long-term sustainability in London's event market (Zhang et al., 2016).</w:t>
      </w:r>
    </w:p>
    <w:p w:rsidR="005B3FCE" w:rsidRDefault="005B3FCE" w14:paraId="3656B9AB" w14:textId="77777777">
      <w:pPr>
        <w:spacing w:line="360" w:lineRule="auto"/>
        <w:jc w:val="both"/>
        <w:rPr>
          <w:rFonts w:ascii="Arial" w:hAnsi="Arial" w:eastAsia="Arial" w:cs="Arial"/>
          <w:b/>
          <w:sz w:val="24"/>
        </w:rPr>
      </w:pPr>
    </w:p>
    <w:p w:rsidR="005B3FCE" w:rsidRDefault="00243352" w14:paraId="2FF5174F" w14:textId="77777777">
      <w:pPr>
        <w:spacing w:line="360" w:lineRule="auto"/>
        <w:jc w:val="both"/>
        <w:rPr>
          <w:rFonts w:ascii="Arial" w:hAnsi="Arial" w:eastAsia="Arial" w:cs="Arial"/>
          <w:b/>
          <w:sz w:val="24"/>
        </w:rPr>
      </w:pPr>
      <w:r>
        <w:rPr>
          <w:rFonts w:ascii="Arial" w:hAnsi="Arial" w:eastAsia="Arial" w:cs="Arial"/>
          <w:b/>
          <w:sz w:val="24"/>
        </w:rPr>
        <w:t xml:space="preserve">Industry Trends / Issues / Impacts </w:t>
      </w:r>
    </w:p>
    <w:p w:rsidR="005B3FCE" w:rsidRDefault="00243352" w14:paraId="20C31307" w14:textId="77777777">
      <w:pPr>
        <w:spacing w:line="360" w:lineRule="auto"/>
        <w:jc w:val="both"/>
        <w:rPr>
          <w:rFonts w:ascii="Arial" w:hAnsi="Arial" w:eastAsia="Arial" w:cs="Arial"/>
          <w:sz w:val="24"/>
        </w:rPr>
      </w:pPr>
      <w:r>
        <w:object w:dxaOrig="4836" w:dyaOrig="2475" w14:anchorId="72626937">
          <v:rect id="rectole0000000005" style="width:241.5pt;height:123.75pt" o:spid="_x0000_i1030" stroked="f" o:ole="" o:preferrelative="t">
            <v:imagedata o:title="" r:id="rId15"/>
          </v:rect>
          <o:OLEObject Type="Embed" ProgID="StaticMetafile" ShapeID="rectole0000000005" DrawAspect="Content" ObjectID="_1792460371" r:id="rId16"/>
        </w:object>
      </w:r>
      <w:r>
        <w:rPr>
          <w:rFonts w:ascii="Arial" w:hAnsi="Arial" w:eastAsia="Arial" w:cs="Arial"/>
          <w:sz w:val="24"/>
        </w:rPr>
        <w:t xml:space="preserve"> The changing trends in the events industry offer opportunities and challenges for the Christmas Film Festival. A significant technological trend is the integration of live streaming and hybrid event components. These innovations allow events to broaden their audience to a global scale. A primary advantage is the capacity to generate revenue from sources beyond physical participants. At the same time, a notable disadvantage is the increased technical complexity, which may result in disruptions if poorly man</w:t>
      </w:r>
      <w:r>
        <w:rPr>
          <w:rFonts w:ascii="Arial" w:hAnsi="Arial" w:eastAsia="Arial" w:cs="Arial"/>
          <w:sz w:val="24"/>
        </w:rPr>
        <w:t xml:space="preserve">aged (Wang, 2023). To reduce these risks, event planners must collaborate closely with experienced technology providers and thoroughly test all systems before the event. </w:t>
      </w:r>
      <w:r>
        <w:rPr>
          <w:rFonts w:ascii="Arial" w:hAnsi="Arial" w:eastAsia="Arial" w:cs="Arial"/>
          <w:sz w:val="24"/>
        </w:rPr>
        <w:br/>
      </w:r>
      <w:r>
        <w:rPr>
          <w:rFonts w:ascii="Arial" w:hAnsi="Arial" w:eastAsia="Arial" w:cs="Arial"/>
          <w:sz w:val="24"/>
        </w:rPr>
        <w:t>Sustainability represents a significant trend. Partnering with sustainable vendors and promoting waste minimisation corresponds with contemporary consumer expectations. Events like the Glastonbury Festival have effectively implemented these practices, minimising single-use plastics and supporting local vendors. This strategy increases bran</w:t>
      </w:r>
      <w:r>
        <w:rPr>
          <w:rFonts w:ascii="Arial" w:hAnsi="Arial" w:eastAsia="Arial" w:cs="Arial"/>
          <w:sz w:val="24"/>
        </w:rPr>
        <w:t xml:space="preserve">d value but could increase operational expenses (Savino and Mazza, 2014). The event can secure sustainability grants and assistance by establishing collaborations with local governments and environmental organisations, lowering these expenses. </w:t>
      </w:r>
      <w:r>
        <w:rPr>
          <w:rFonts w:ascii="Arial" w:hAnsi="Arial" w:eastAsia="Arial" w:cs="Arial"/>
          <w:sz w:val="24"/>
        </w:rPr>
        <w:br/>
      </w:r>
      <w:r>
        <w:rPr>
          <w:rFonts w:ascii="Arial" w:hAnsi="Arial" w:eastAsia="Arial" w:cs="Arial"/>
          <w:sz w:val="24"/>
        </w:rPr>
        <w:t>The post-COVID recovery has accelerated the demand for touchless technology and hybrid formats, improving safety and expanding participation. The disadvantage is the required initial investment for infrastructure, which may only sometimes guarantee returns (Donkor et</w:t>
      </w:r>
      <w:r>
        <w:rPr>
          <w:rFonts w:ascii="Arial" w:hAnsi="Arial" w:eastAsia="Arial" w:cs="Arial"/>
          <w:sz w:val="24"/>
        </w:rPr>
        <w:t xml:space="preserve"> al., 2022). A practical approach involves gradually implementing these technologies, commencing with fundamental touchless payment systems and restricted hybrid sessions to optimise cost-effectiveness (Ewertowski and Butlewski, 2022). </w:t>
      </w:r>
      <w:r>
        <w:rPr>
          <w:rFonts w:ascii="Arial" w:hAnsi="Arial" w:eastAsia="Arial" w:cs="Arial"/>
          <w:sz w:val="24"/>
        </w:rPr>
        <w:br/>
      </w:r>
      <w:r>
        <w:rPr>
          <w:rFonts w:ascii="Arial" w:hAnsi="Arial" w:eastAsia="Arial" w:cs="Arial"/>
          <w:sz w:val="24"/>
        </w:rPr>
        <w:t>By applying the EMBOK Continuous Improvement and Risk Management areas, the Christmas Film Festival can guarantee that integrating these trends results in a more resilient and adaptable event. Ongoing feedback mechanisms and anticipatory risk evaluations are essential for th</w:t>
      </w:r>
      <w:r>
        <w:rPr>
          <w:rFonts w:ascii="Arial" w:hAnsi="Arial" w:eastAsia="Arial" w:cs="Arial"/>
          <w:sz w:val="24"/>
        </w:rPr>
        <w:t>e success of these innovations (Pessina, 2021).</w:t>
      </w:r>
    </w:p>
    <w:p w:rsidR="005B3FCE" w:rsidRDefault="005B3FCE" w14:paraId="45FB0818" w14:textId="77777777">
      <w:pPr>
        <w:spacing w:line="360" w:lineRule="auto"/>
        <w:jc w:val="both"/>
        <w:rPr>
          <w:rFonts w:ascii="Arial" w:hAnsi="Arial" w:eastAsia="Arial" w:cs="Arial"/>
          <w:b/>
          <w:sz w:val="24"/>
        </w:rPr>
      </w:pPr>
    </w:p>
    <w:p w:rsidR="005B3FCE" w:rsidRDefault="00243352" w14:paraId="3D9CF55A" w14:textId="77777777">
      <w:pPr>
        <w:spacing w:line="360" w:lineRule="auto"/>
        <w:jc w:val="both"/>
        <w:rPr>
          <w:rFonts w:ascii="Arial" w:hAnsi="Arial" w:eastAsia="Arial" w:cs="Arial"/>
          <w:b/>
          <w:sz w:val="24"/>
        </w:rPr>
      </w:pPr>
      <w:r>
        <w:rPr>
          <w:rFonts w:ascii="Arial" w:hAnsi="Arial" w:eastAsia="Arial" w:cs="Arial"/>
          <w:b/>
          <w:sz w:val="24"/>
        </w:rPr>
        <w:t xml:space="preserve">Situational and Cultural Considerations </w:t>
      </w:r>
    </w:p>
    <w:p w:rsidR="005B3FCE" w:rsidRDefault="00243352" w14:paraId="53DBEC0B" w14:textId="77777777">
      <w:pPr>
        <w:spacing w:line="360" w:lineRule="auto"/>
        <w:jc w:val="both"/>
        <w:rPr>
          <w:rFonts w:ascii="Arial" w:hAnsi="Arial" w:eastAsia="Arial" w:cs="Arial"/>
          <w:sz w:val="24"/>
        </w:rPr>
      </w:pPr>
      <w:r>
        <w:object w:dxaOrig="5817" w:dyaOrig="3210" w14:anchorId="4D105D07">
          <v:rect id="rectole0000000006" style="width:291pt;height:160.5pt" o:spid="_x0000_i1031" stroked="f" o:ole="" o:preferrelative="t">
            <v:imagedata o:title="" r:id="rId17"/>
          </v:rect>
          <o:OLEObject Type="Embed" ProgID="StaticMetafile" ShapeID="rectole0000000006" DrawAspect="Content" ObjectID="_1792460372" r:id="rId18"/>
        </w:object>
      </w:r>
      <w:r>
        <w:rPr>
          <w:rFonts w:ascii="Arial" w:hAnsi="Arial" w:eastAsia="Arial" w:cs="Arial"/>
          <w:sz w:val="24"/>
        </w:rPr>
        <w:t>During the organisation of the Christmas Film Festival, external factors must be carefully evaluated through a SWOT analysis. These advantageous and disadvantageous factors can profoundly influence the event's success.</w:t>
      </w:r>
    </w:p>
    <w:p w:rsidR="005B3FCE" w:rsidRDefault="00243352" w14:paraId="71996689" w14:textId="77777777">
      <w:pPr>
        <w:spacing w:line="360" w:lineRule="auto"/>
        <w:jc w:val="both"/>
        <w:rPr>
          <w:rFonts w:ascii="Arial" w:hAnsi="Arial" w:eastAsia="Arial" w:cs="Arial"/>
          <w:sz w:val="24"/>
        </w:rPr>
      </w:pPr>
      <w:r>
        <w:rPr>
          <w:rFonts w:ascii="Arial" w:hAnsi="Arial" w:eastAsia="Arial" w:cs="Arial"/>
          <w:sz w:val="24"/>
        </w:rPr>
        <w:t>The strengths consist of the significant demand for festivals in London. The city's strong tradition of holiday markets and events guarantees a receptive audience. Utilising London’s status as a premier tourist destination in the winter season allows the event to draw both locals and visitors (Arnott, 2020). Relying exclusively on current demand without incorporating innovative attractions may lead to stagnation.</w:t>
      </w:r>
    </w:p>
    <w:p w:rsidR="005B3FCE" w:rsidRDefault="00243352" w14:paraId="4E24582C" w14:textId="77777777">
      <w:pPr>
        <w:spacing w:line="360" w:lineRule="auto"/>
        <w:jc w:val="both"/>
        <w:rPr>
          <w:rFonts w:ascii="Arial" w:hAnsi="Arial" w:eastAsia="Arial" w:cs="Arial"/>
          <w:sz w:val="24"/>
        </w:rPr>
      </w:pPr>
      <w:r>
        <w:object w:dxaOrig="4043" w:dyaOrig="3933" w14:anchorId="448E3E0C">
          <v:rect id="rectole0000000007" style="width:202.5pt;height:196.5pt" o:spid="_x0000_i1032" stroked="f" o:ole="" o:preferrelative="t">
            <v:imagedata o:title="" r:id="rId19"/>
          </v:rect>
          <o:OLEObject Type="Embed" ProgID="StaticMetafile" ShapeID="rectole0000000007" DrawAspect="Content" ObjectID="_1792460373" r:id="rId20"/>
        </w:object>
      </w:r>
      <w:r>
        <w:rPr>
          <w:rFonts w:ascii="Arial" w:hAnsi="Arial" w:eastAsia="Arial" w:cs="Arial"/>
          <w:sz w:val="24"/>
        </w:rPr>
        <w:t>Event planners can identify significant threats, like competition from Winter Wonderland and weather risks, and develop strategies to reduce them through crowd control and contingency planning with the backing up of a well-constructed SWOT analysis. At the same time, opportunities like exclusive collaborations with Disney+ and Netflix increase the event's distinctive appeal and exposure (Getz, 2012).</w:t>
      </w:r>
    </w:p>
    <w:p w:rsidR="005B3FCE" w:rsidRDefault="00243352" w14:paraId="6D1B2F5E" w14:textId="77777777">
      <w:pPr>
        <w:spacing w:line="360" w:lineRule="auto"/>
        <w:jc w:val="both"/>
        <w:rPr>
          <w:rFonts w:ascii="Arial" w:hAnsi="Arial" w:eastAsia="Arial" w:cs="Arial"/>
          <w:sz w:val="24"/>
        </w:rPr>
      </w:pPr>
      <w:r>
        <w:rPr>
          <w:rFonts w:ascii="Arial" w:hAnsi="Arial" w:eastAsia="Arial" w:cs="Arial"/>
          <w:sz w:val="24"/>
        </w:rPr>
        <w:t>In contrast, weaknesses result from competition, particularly prominent events such as Winter Wonderland. The Christmas Film Festival provides distinctive screenings but fights for the same audience. This may diminish the visitor base, which could cause a turnout below expectations (Nigel, 2019). To address this, the festival must differentiate itself by establishing exclusive partnerships with sponsors like Disney+ and Netflix, giving it a unique identity that separates it from competitors.</w:t>
      </w:r>
    </w:p>
    <w:p w:rsidR="005B3FCE" w:rsidRDefault="00243352" w14:paraId="07CD631E" w14:textId="77777777">
      <w:pPr>
        <w:spacing w:line="360" w:lineRule="auto"/>
        <w:jc w:val="both"/>
        <w:rPr>
          <w:rFonts w:ascii="Arial" w:hAnsi="Arial" w:eastAsia="Arial" w:cs="Arial"/>
          <w:sz w:val="24"/>
        </w:rPr>
      </w:pPr>
      <w:r>
        <w:rPr>
          <w:rFonts w:ascii="Arial" w:hAnsi="Arial" w:eastAsia="Arial" w:cs="Arial"/>
          <w:sz w:val="24"/>
        </w:rPr>
        <w:t>Collaborating with global brands such as Disney+ and Netflix presents opportunities to enhance visibility and expand media coverage and sponsorship (Havard, 2021). Strategic partnerships could broaden the festival's audience beyond London, engaging a global demographic through streaming collaborations or exclusive content.</w:t>
      </w:r>
    </w:p>
    <w:p w:rsidR="005B3FCE" w:rsidRDefault="00243352" w14:paraId="2AE1A3C2" w14:textId="77777777">
      <w:pPr>
        <w:spacing w:line="360" w:lineRule="auto"/>
        <w:jc w:val="both"/>
        <w:rPr>
          <w:rFonts w:ascii="Arial" w:hAnsi="Arial" w:eastAsia="Arial" w:cs="Arial"/>
          <w:sz w:val="24"/>
        </w:rPr>
      </w:pPr>
      <w:r>
        <w:rPr>
          <w:rFonts w:ascii="Arial" w:hAnsi="Arial" w:eastAsia="Arial" w:cs="Arial"/>
          <w:sz w:val="24"/>
        </w:rPr>
        <w:t>But still, threats such as unpredictable weather and competition from similar events may present logistical difficulties. Adverse weather conditions can prevent outdoor participation; however, proactive risk management strategies, such as weather contingency plans that include indoor alternatives, may reduce these impacts (Filippetto et al., 2021). The festival can reduce disruptions and guarantee uninterrupted operations by establishing robust risk mitigation strategies.</w:t>
      </w:r>
    </w:p>
    <w:p w:rsidR="005B3FCE" w:rsidRDefault="00243352" w14:paraId="4B5F2CBA" w14:textId="77777777">
      <w:pPr>
        <w:spacing w:line="360" w:lineRule="auto"/>
        <w:jc w:val="both"/>
        <w:rPr>
          <w:rFonts w:ascii="Arial" w:hAnsi="Arial" w:eastAsia="Arial" w:cs="Arial"/>
          <w:sz w:val="24"/>
        </w:rPr>
      </w:pPr>
      <w:r>
        <w:rPr>
          <w:rFonts w:ascii="Arial" w:hAnsi="Arial" w:eastAsia="Arial" w:cs="Arial"/>
          <w:sz w:val="24"/>
        </w:rPr>
        <w:t>Implementing the EMBOK Risk domain helps the festival adopt a proactive strategy, mitigating potential threats before their evolution into significant problems while leveraging opportunities to ensure its success.</w:t>
      </w:r>
    </w:p>
    <w:p w:rsidR="005B3FCE" w:rsidRDefault="005B3FCE" w14:paraId="049F31CB" w14:textId="77777777">
      <w:pPr>
        <w:spacing w:line="360" w:lineRule="auto"/>
        <w:jc w:val="both"/>
        <w:rPr>
          <w:rFonts w:ascii="Arial" w:hAnsi="Arial" w:eastAsia="Arial" w:cs="Arial"/>
          <w:sz w:val="24"/>
        </w:rPr>
      </w:pPr>
    </w:p>
    <w:p w:rsidR="005B3FCE" w:rsidRDefault="00243352" w14:paraId="41D2B895" w14:textId="77777777">
      <w:pPr>
        <w:spacing w:line="360" w:lineRule="auto"/>
        <w:jc w:val="both"/>
        <w:rPr>
          <w:rFonts w:ascii="Arial" w:hAnsi="Arial" w:eastAsia="Arial" w:cs="Arial"/>
          <w:b/>
          <w:sz w:val="24"/>
        </w:rPr>
      </w:pPr>
      <w:r>
        <w:object w:dxaOrig="8868" w:dyaOrig="4971" w14:anchorId="6365D1E2">
          <v:rect id="rectole0000000008" style="width:443.25pt;height:248.25pt" o:spid="_x0000_i1033" stroked="f" o:ole="" o:preferrelative="t">
            <v:imagedata o:title="" r:id="rId21"/>
          </v:rect>
          <o:OLEObject Type="Embed" ProgID="StaticMetafile" ShapeID="rectole0000000008" DrawAspect="Content" ObjectID="_1792460374" r:id="rId22"/>
        </w:object>
      </w:r>
      <w:r>
        <w:rPr>
          <w:rFonts w:ascii="Arial" w:hAnsi="Arial" w:eastAsia="Arial" w:cs="Arial"/>
          <w:b/>
          <w:sz w:val="24"/>
        </w:rPr>
        <w:t>Best Practices and Competitors</w:t>
      </w:r>
    </w:p>
    <w:p w:rsidR="005B3FCE" w:rsidRDefault="00243352" w14:paraId="3BD36F98" w14:textId="77777777">
      <w:pPr>
        <w:spacing w:line="360" w:lineRule="auto"/>
        <w:jc w:val="both"/>
        <w:rPr>
          <w:rFonts w:ascii="Arial" w:hAnsi="Arial" w:eastAsia="Arial" w:cs="Arial"/>
          <w:sz w:val="24"/>
        </w:rPr>
      </w:pPr>
      <w:r>
        <w:rPr>
          <w:rFonts w:ascii="Arial" w:hAnsi="Arial" w:eastAsia="Arial" w:cs="Arial"/>
          <w:sz w:val="24"/>
        </w:rPr>
        <w:t>Compared to well-known winter events such as London's Winter Wonderland, which draws large crowds with various offerings and prominent sponsorships, it can help the Christmas Film Festival (Havard, 2021). Sticking to best practices, like incorporating eco-friendly projects and accessible design, will support the sector's shift towards inclusivity and sustainability (Savino and Mazza, 2014). Furthermore, mixing digital marketing and exclusive partnerships is consistent with patterns seen in comparable high-p</w:t>
      </w:r>
      <w:r>
        <w:rPr>
          <w:rFonts w:ascii="Arial" w:hAnsi="Arial" w:eastAsia="Arial" w:cs="Arial"/>
          <w:sz w:val="24"/>
        </w:rPr>
        <w:t>rofile events, raising rivalry and visibility (Ekici and Toksoz, 2021). The festival can differentiate itself through creative and sustainable practices and bring in a larger audience through these tactics.</w:t>
      </w:r>
    </w:p>
    <w:p w:rsidR="005B3FCE" w:rsidRDefault="005B3FCE" w14:paraId="53128261" w14:textId="77777777">
      <w:pPr>
        <w:spacing w:line="360" w:lineRule="auto"/>
        <w:jc w:val="both"/>
        <w:rPr>
          <w:rFonts w:ascii="Arial" w:hAnsi="Arial" w:eastAsia="Arial" w:cs="Arial"/>
          <w:b/>
          <w:sz w:val="24"/>
        </w:rPr>
      </w:pPr>
    </w:p>
    <w:p w:rsidR="005B3FCE" w:rsidRDefault="00243352" w14:paraId="521EEC36" w14:textId="77777777">
      <w:pPr>
        <w:spacing w:line="360" w:lineRule="auto"/>
        <w:jc w:val="both"/>
        <w:rPr>
          <w:rFonts w:ascii="Arial" w:hAnsi="Arial" w:eastAsia="Arial" w:cs="Arial"/>
          <w:b/>
          <w:sz w:val="24"/>
        </w:rPr>
      </w:pPr>
      <w:r>
        <w:rPr>
          <w:rFonts w:ascii="Arial" w:hAnsi="Arial" w:eastAsia="Arial" w:cs="Arial"/>
          <w:b/>
          <w:sz w:val="24"/>
        </w:rPr>
        <w:t xml:space="preserve">Conclusion and Recommendations </w:t>
      </w:r>
    </w:p>
    <w:p w:rsidR="005B3FCE" w:rsidRDefault="00243352" w14:paraId="684E62CB" w14:textId="77777777">
      <w:pPr>
        <w:spacing w:line="360" w:lineRule="auto"/>
        <w:jc w:val="both"/>
        <w:rPr>
          <w:rFonts w:ascii="Arial" w:hAnsi="Arial" w:eastAsia="Arial" w:cs="Arial"/>
          <w:sz w:val="24"/>
        </w:rPr>
      </w:pPr>
      <w:r>
        <w:rPr>
          <w:rFonts w:ascii="Arial" w:hAnsi="Arial" w:eastAsia="Arial" w:cs="Arial"/>
          <w:sz w:val="24"/>
        </w:rPr>
        <w:t>The practicality of the Christmas Film Festival is apparent, considering its strong market demand, strategically selected location, and collaborations with international brands such as Netflix and Coca-Cola. The anticipated profit of £87,000 and precise financial planning suggest that the event is feasible and potentially highly profitable. Moreover, the strategic combination of festive activities, including film screenings and Christmas markets, attracts a wide demographic, securing high attendance (Kariuk</w:t>
      </w:r>
      <w:r>
        <w:rPr>
          <w:rFonts w:ascii="Arial" w:hAnsi="Arial" w:eastAsia="Arial" w:cs="Arial"/>
          <w:sz w:val="24"/>
        </w:rPr>
        <w:t>i et al., 2020).</w:t>
      </w:r>
    </w:p>
    <w:p w:rsidR="005B3FCE" w:rsidRDefault="00243352" w14:paraId="60CBAD51" w14:textId="77777777">
      <w:pPr>
        <w:spacing w:line="360" w:lineRule="auto"/>
        <w:jc w:val="both"/>
        <w:rPr>
          <w:rFonts w:ascii="Arial" w:hAnsi="Arial" w:eastAsia="Arial" w:cs="Arial"/>
          <w:sz w:val="24"/>
        </w:rPr>
      </w:pPr>
      <w:r>
        <w:rPr>
          <w:rFonts w:ascii="Arial" w:hAnsi="Arial" w:eastAsia="Arial" w:cs="Arial"/>
          <w:sz w:val="24"/>
        </w:rPr>
        <w:t xml:space="preserve">Success necessitates careful planning, and a primary recommendation is to obtain sponsorships promptly, especially from global brands. These collaborations will improve the event's visibility and fiscal stability (Mombeuil, 2020). Furthermore, increasing marketing initiatives to attract international tourists can dramatically increase foot traffic, mainly through digital platforms and influencer collaborations (Savino and Mazza, 2014). Operational plans must be optimised to ensure efficient implementation, </w:t>
      </w:r>
      <w:r>
        <w:rPr>
          <w:rFonts w:ascii="Arial" w:hAnsi="Arial" w:eastAsia="Arial" w:cs="Arial"/>
          <w:sz w:val="24"/>
        </w:rPr>
        <w:t>incorporating backup strategies for weather-related hazards (Arnott, 2020).</w:t>
      </w:r>
    </w:p>
    <w:p w:rsidR="005B3FCE" w:rsidRDefault="00243352" w14:paraId="5E907C52" w14:textId="77777777">
      <w:pPr>
        <w:spacing w:line="360" w:lineRule="auto"/>
        <w:jc w:val="both"/>
        <w:rPr>
          <w:rFonts w:ascii="Arial" w:hAnsi="Arial" w:eastAsia="Arial" w:cs="Arial"/>
          <w:sz w:val="24"/>
        </w:rPr>
      </w:pPr>
      <w:r>
        <w:rPr>
          <w:rFonts w:ascii="Arial" w:hAnsi="Arial" w:eastAsia="Arial" w:cs="Arial"/>
          <w:sz w:val="24"/>
        </w:rPr>
        <w:t>In summary, by following the EMBOK framework, especially regarding financial management and risk mitigation, the Christmas Film Festival has the potential for success. These strategies will promise profitability and cultivate a memorable experience that might mark the festival as a prominent annual highlight in London’s winter event calendar.</w:t>
      </w:r>
    </w:p>
    <w:p w:rsidR="005B3FCE" w:rsidRDefault="005B3FCE" w14:paraId="62486C05" w14:textId="77777777">
      <w:pPr>
        <w:spacing w:line="360" w:lineRule="auto"/>
        <w:jc w:val="both"/>
        <w:rPr>
          <w:rFonts w:ascii="Arial" w:hAnsi="Arial" w:eastAsia="Arial" w:cs="Arial"/>
          <w:sz w:val="24"/>
        </w:rPr>
      </w:pPr>
    </w:p>
    <w:p w:rsidR="005B3FCE" w:rsidRDefault="005B3FCE" w14:paraId="4101652C" w14:textId="77777777">
      <w:pPr>
        <w:spacing w:line="360" w:lineRule="auto"/>
        <w:jc w:val="both"/>
        <w:rPr>
          <w:rFonts w:ascii="Arial" w:hAnsi="Arial" w:eastAsia="Arial" w:cs="Arial"/>
          <w:sz w:val="24"/>
        </w:rPr>
      </w:pPr>
    </w:p>
    <w:p w:rsidR="005B3FCE" w:rsidRDefault="005B3FCE" w14:paraId="4B99056E" w14:textId="77777777">
      <w:pPr>
        <w:spacing w:line="360" w:lineRule="auto"/>
        <w:jc w:val="both"/>
        <w:rPr>
          <w:rFonts w:ascii="Arial" w:hAnsi="Arial" w:eastAsia="Arial" w:cs="Arial"/>
          <w:sz w:val="24"/>
        </w:rPr>
      </w:pPr>
    </w:p>
    <w:p w:rsidR="005B3FCE" w:rsidRDefault="005B3FCE" w14:paraId="1299C43A" w14:textId="77777777">
      <w:pPr>
        <w:spacing w:line="360" w:lineRule="auto"/>
        <w:jc w:val="both"/>
        <w:rPr>
          <w:rFonts w:ascii="Arial" w:hAnsi="Arial" w:eastAsia="Arial" w:cs="Arial"/>
          <w:sz w:val="24"/>
        </w:rPr>
      </w:pPr>
    </w:p>
    <w:p w:rsidR="005B3FCE" w:rsidRDefault="005B3FCE" w14:paraId="4DDBEF00" w14:textId="77777777">
      <w:pPr>
        <w:spacing w:line="360" w:lineRule="auto"/>
        <w:jc w:val="both"/>
        <w:rPr>
          <w:rFonts w:ascii="Arial" w:hAnsi="Arial" w:eastAsia="Arial" w:cs="Arial"/>
          <w:sz w:val="24"/>
        </w:rPr>
      </w:pPr>
    </w:p>
    <w:p w:rsidR="005B3FCE" w:rsidRDefault="005B3FCE" w14:paraId="3461D779" w14:textId="77777777">
      <w:pPr>
        <w:spacing w:line="360" w:lineRule="auto"/>
        <w:jc w:val="both"/>
        <w:rPr>
          <w:rFonts w:ascii="Arial" w:hAnsi="Arial" w:eastAsia="Arial" w:cs="Arial"/>
          <w:sz w:val="24"/>
        </w:rPr>
      </w:pPr>
    </w:p>
    <w:p w:rsidR="005B3FCE" w:rsidRDefault="005B3FCE" w14:paraId="3CF2D8B6" w14:textId="77777777">
      <w:pPr>
        <w:spacing w:line="360" w:lineRule="auto"/>
        <w:jc w:val="both"/>
        <w:rPr>
          <w:rFonts w:ascii="Arial" w:hAnsi="Arial" w:eastAsia="Arial" w:cs="Arial"/>
          <w:sz w:val="24"/>
        </w:rPr>
      </w:pPr>
    </w:p>
    <w:p w:rsidR="005B3FCE" w:rsidRDefault="005B3FCE" w14:paraId="0FB78278" w14:textId="77777777">
      <w:pPr>
        <w:spacing w:line="360" w:lineRule="auto"/>
        <w:jc w:val="both"/>
        <w:rPr>
          <w:rFonts w:ascii="Arial" w:hAnsi="Arial" w:eastAsia="Arial" w:cs="Arial"/>
          <w:sz w:val="24"/>
        </w:rPr>
      </w:pPr>
    </w:p>
    <w:p w:rsidR="005B3FCE" w:rsidRDefault="005B3FCE" w14:paraId="1FC39945" w14:textId="77777777">
      <w:pPr>
        <w:spacing w:line="360" w:lineRule="auto"/>
        <w:jc w:val="both"/>
        <w:rPr>
          <w:rFonts w:ascii="Arial" w:hAnsi="Arial" w:eastAsia="Arial" w:cs="Arial"/>
          <w:sz w:val="24"/>
        </w:rPr>
      </w:pPr>
    </w:p>
    <w:p w:rsidR="005B3FCE" w:rsidRDefault="005B3FCE" w14:paraId="0562CB0E" w14:textId="77777777">
      <w:pPr>
        <w:spacing w:line="360" w:lineRule="auto"/>
        <w:jc w:val="both"/>
        <w:rPr>
          <w:rFonts w:ascii="Arial" w:hAnsi="Arial" w:eastAsia="Arial" w:cs="Arial"/>
          <w:sz w:val="24"/>
        </w:rPr>
      </w:pPr>
    </w:p>
    <w:p w:rsidR="005B3FCE" w:rsidRDefault="005B3FCE" w14:paraId="34CE0A41" w14:textId="77777777">
      <w:pPr>
        <w:spacing w:line="360" w:lineRule="auto"/>
        <w:jc w:val="both"/>
        <w:rPr>
          <w:rFonts w:ascii="Arial" w:hAnsi="Arial" w:eastAsia="Arial" w:cs="Arial"/>
          <w:sz w:val="24"/>
        </w:rPr>
      </w:pPr>
    </w:p>
    <w:p w:rsidR="005B3FCE" w:rsidRDefault="005B3FCE" w14:paraId="62EBF3C5" w14:textId="77777777">
      <w:pPr>
        <w:spacing w:line="360" w:lineRule="auto"/>
        <w:jc w:val="both"/>
        <w:rPr>
          <w:rFonts w:ascii="Arial" w:hAnsi="Arial" w:eastAsia="Arial" w:cs="Arial"/>
          <w:sz w:val="24"/>
        </w:rPr>
      </w:pPr>
    </w:p>
    <w:p w:rsidR="005B3FCE" w:rsidRDefault="00243352" w14:paraId="071E4E01" w14:textId="77777777">
      <w:pPr>
        <w:spacing w:line="360" w:lineRule="auto"/>
        <w:jc w:val="both"/>
        <w:rPr>
          <w:rFonts w:ascii="Arial" w:hAnsi="Arial" w:eastAsia="Arial" w:cs="Arial"/>
          <w:b/>
          <w:sz w:val="24"/>
        </w:rPr>
      </w:pPr>
      <w:r>
        <w:rPr>
          <w:rFonts w:ascii="Arial" w:hAnsi="Arial" w:eastAsia="Arial" w:cs="Arial"/>
          <w:b/>
          <w:sz w:val="24"/>
        </w:rPr>
        <w:t>References</w:t>
      </w:r>
    </w:p>
    <w:p w:rsidR="005B3FCE" w:rsidRDefault="00243352" w14:paraId="31D919EF"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Arnott, I., 2020. Risk Management in Events Management. In V. Nadda, I. Arnott, and W. Sealy (Eds.), Legal, Safety, and Environmental Challenges for Event Management: Emerging Research and Opportunities (pp. 1-20). IGI Global. </w:t>
      </w:r>
      <w:hyperlink r:id="rId23">
        <w:r>
          <w:rPr>
            <w:rFonts w:ascii="Arial" w:hAnsi="Arial" w:eastAsia="Arial" w:cs="Arial"/>
            <w:color w:val="0000FF"/>
            <w:sz w:val="24"/>
            <w:u w:val="single"/>
          </w:rPr>
          <w:t>https://doi-org.ezproxy.uwtsd.ac.uk/10.4018/978-1-7998-3230-0.ch001</w:t>
        </w:r>
      </w:hyperlink>
      <w:r>
        <w:rPr>
          <w:rFonts w:ascii="Arial" w:hAnsi="Arial" w:eastAsia="Arial" w:cs="Arial"/>
          <w:sz w:val="24"/>
        </w:rPr>
        <w:t xml:space="preserve"> </w:t>
      </w:r>
    </w:p>
    <w:p w:rsidR="005B3FCE" w:rsidRDefault="00243352" w14:paraId="7FF02C54"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Allen, J., O'Toole, W., Harris, R. and McDonnell, I., 2012. Festival and Special Event Management. 5th ed. Milton, Qld: Wiley.</w:t>
      </w:r>
    </w:p>
    <w:p w:rsidR="005B3FCE" w:rsidRDefault="00243352" w14:paraId="465683D4"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Basili, V., 2014. Phase 4: Execute Plans 7. </w:t>
      </w:r>
      <w:hyperlink r:id="rId24">
        <w:r>
          <w:rPr>
            <w:rFonts w:ascii="Arial" w:hAnsi="Arial" w:eastAsia="Arial" w:cs="Arial"/>
            <w:color w:val="0000FF"/>
            <w:sz w:val="24"/>
            <w:u w:val="single"/>
          </w:rPr>
          <w:t>https://www.researchgate.net/profile/Juergen-Muench/publication/300586176_Phase_4_Execute_Plans/links/5cc20c6ea6fdcc1d49aef974/Phase-4-Execute-Plans.pdf</w:t>
        </w:r>
      </w:hyperlink>
      <w:r>
        <w:rPr>
          <w:rFonts w:ascii="Arial" w:hAnsi="Arial" w:eastAsia="Arial" w:cs="Arial"/>
          <w:sz w:val="24"/>
        </w:rPr>
        <w:t xml:space="preserve"> </w:t>
      </w:r>
    </w:p>
    <w:p w:rsidR="005B3FCE" w:rsidRDefault="00243352" w14:paraId="5C96BBA2"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Bjerke, M., and Renger, R., 2017. Being smart about writing SMART objectives.  Evaluation and program planning, 61, pp. 125-127 . </w:t>
      </w:r>
      <w:hyperlink r:id="rId25">
        <w:r>
          <w:rPr>
            <w:rFonts w:ascii="Arial" w:hAnsi="Arial" w:eastAsia="Arial" w:cs="Arial"/>
            <w:color w:val="0000FF"/>
            <w:sz w:val="24"/>
            <w:u w:val="single"/>
          </w:rPr>
          <w:t>https://doi.org/10.1016/j.evalprogplan.2016.12.009</w:t>
        </w:r>
      </w:hyperlink>
      <w:r>
        <w:rPr>
          <w:rFonts w:ascii="Arial" w:hAnsi="Arial" w:eastAsia="Arial" w:cs="Arial"/>
          <w:sz w:val="24"/>
        </w:rPr>
        <w:t xml:space="preserve">. </w:t>
      </w:r>
    </w:p>
    <w:p w:rsidR="005B3FCE" w:rsidRDefault="00243352" w14:paraId="22FBF48E" w14:textId="77777777">
      <w:pPr>
        <w:numPr>
          <w:ilvl w:val="0"/>
          <w:numId w:val="2"/>
        </w:numPr>
        <w:spacing w:before="100" w:after="100" w:line="360" w:lineRule="auto"/>
        <w:ind w:left="1080" w:hanging="360"/>
        <w:jc w:val="both"/>
        <w:rPr>
          <w:rFonts w:ascii="Arial" w:hAnsi="Arial" w:eastAsia="Arial" w:cs="Arial"/>
          <w:sz w:val="24"/>
        </w:rPr>
      </w:pPr>
      <w:r>
        <w:rPr>
          <w:rFonts w:ascii="Arial" w:hAnsi="Arial" w:eastAsia="Arial" w:cs="Arial"/>
          <w:sz w:val="24"/>
        </w:rPr>
        <w:t>Bowdin, G., Allen, J., O'Toole, W., Harris, R. and McDonnell, I., 2011. Events Management. 3rd ed. Oxford: Butterworth-Heinemann.</w:t>
      </w:r>
    </w:p>
    <w:p w:rsidR="005B3FCE" w:rsidRDefault="00243352" w14:paraId="6906116B"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Brown, G., 2019. Eventscapes: Transforming Place, Space and Experiences (1st ed.). Routledge. </w:t>
      </w:r>
      <w:hyperlink r:id="rId26">
        <w:r>
          <w:rPr>
            <w:rFonts w:ascii="Arial" w:hAnsi="Arial" w:eastAsia="Arial" w:cs="Arial"/>
            <w:color w:val="0000FF"/>
            <w:sz w:val="24"/>
            <w:u w:val="single"/>
          </w:rPr>
          <w:t>https://doi.org/10.4324/9781315105000</w:t>
        </w:r>
      </w:hyperlink>
      <w:r>
        <w:rPr>
          <w:rFonts w:ascii="Arial" w:hAnsi="Arial" w:eastAsia="Arial" w:cs="Arial"/>
          <w:sz w:val="24"/>
        </w:rPr>
        <w:t xml:space="preserve"> </w:t>
      </w:r>
    </w:p>
    <w:p w:rsidR="005B3FCE" w:rsidRDefault="00243352" w14:paraId="03C8FC11"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Donkor, F., Mitoulis, S., Argyroudis, S., Aboelkhair, H., Cánovas, J., Bashir, A., Cuaton, G., Diatta, S., Habibi, M., Hölbling, D., Manuel, L., Pregnolato, M., Ribeiro, R., Sfetsos, A., Shahzad, N., and Werner, C., 2022. SDG Final Decade of Action: Resilient Pathways to Build Back Better from High-Impact Low-Probability (HILP) Events. Sustainability. </w:t>
      </w:r>
      <w:hyperlink r:id="rId27">
        <w:r>
          <w:rPr>
            <w:rFonts w:ascii="Arial" w:hAnsi="Arial" w:eastAsia="Arial" w:cs="Arial"/>
            <w:color w:val="0000FF"/>
            <w:sz w:val="24"/>
            <w:u w:val="single"/>
          </w:rPr>
          <w:t>https://doi.org/10.3390/su142215401</w:t>
        </w:r>
      </w:hyperlink>
      <w:r>
        <w:rPr>
          <w:rFonts w:ascii="Arial" w:hAnsi="Arial" w:eastAsia="Arial" w:cs="Arial"/>
          <w:sz w:val="24"/>
        </w:rPr>
        <w:t xml:space="preserve">. </w:t>
      </w:r>
    </w:p>
    <w:p w:rsidR="005B3FCE" w:rsidRDefault="00243352" w14:paraId="75882E8D"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Ekici, R. and Toksoz, D., 2021. New Trends in Event Marketing. In K. Birdir, S. Birdir, A. Dalgic, and D. Toksoz (Eds.), Impact of ICTs on Event Management and Marketing (pp. 156-176). IGI Global. </w:t>
      </w:r>
      <w:hyperlink r:id="rId28">
        <w:r>
          <w:rPr>
            <w:rFonts w:ascii="Arial" w:hAnsi="Arial" w:eastAsia="Arial" w:cs="Arial"/>
            <w:color w:val="0000FF"/>
            <w:sz w:val="24"/>
            <w:u w:val="single"/>
          </w:rPr>
          <w:t>https://doi-org.ezproxy.uwtsd.ac.uk/10.4018/978-1-7998-4954-4.ch010</w:t>
        </w:r>
      </w:hyperlink>
      <w:r>
        <w:rPr>
          <w:rFonts w:ascii="Arial" w:hAnsi="Arial" w:eastAsia="Arial" w:cs="Arial"/>
          <w:sz w:val="24"/>
        </w:rPr>
        <w:t xml:space="preserve"> </w:t>
      </w:r>
    </w:p>
    <w:p w:rsidR="005B3FCE" w:rsidRDefault="00243352" w14:paraId="48AE3503"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EWERTOWSKI, T. and BUTLEWSKI, M., 2022. Managerial Perception of Risk in an Organization in a Post-COVID-19 Work Environment. International Journal of Environmental Research and Public Health, </w:t>
      </w:r>
      <w:r>
        <w:rPr>
          <w:rFonts w:ascii="Arial" w:hAnsi="Arial" w:eastAsia="Arial" w:cs="Arial"/>
          <w:b/>
          <w:sz w:val="24"/>
        </w:rPr>
        <w:t>19</w:t>
      </w:r>
      <w:r>
        <w:rPr>
          <w:rFonts w:ascii="Arial" w:hAnsi="Arial" w:eastAsia="Arial" w:cs="Arial"/>
          <w:sz w:val="24"/>
        </w:rPr>
        <w:t xml:space="preserve">(22), pp. 14978. </w:t>
      </w:r>
      <w:hyperlink r:id="rId29">
        <w:r>
          <w:rPr>
            <w:rFonts w:ascii="Arial" w:hAnsi="Arial" w:eastAsia="Arial" w:cs="Arial"/>
            <w:color w:val="0000FF"/>
            <w:sz w:val="24"/>
            <w:u w:val="single"/>
          </w:rPr>
          <w:t>https://www.proquest.com/scholarly-journals/managerial-perception-risk-organization-post/docview/2739434180/se-2?accountid=130472</w:t>
        </w:r>
      </w:hyperlink>
      <w:r>
        <w:rPr>
          <w:rFonts w:ascii="Arial" w:hAnsi="Arial" w:eastAsia="Arial" w:cs="Arial"/>
          <w:sz w:val="24"/>
        </w:rPr>
        <w:t xml:space="preserve"> </w:t>
      </w:r>
    </w:p>
    <w:p w:rsidR="005B3FCE" w:rsidRDefault="00243352" w14:paraId="78990AD1"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Filippetto, A., Lima, R., and Barbosa, J., 2021. A risk prediction model for software project management based on similarity analysis of context histories. Inf. Softw. Technol., 131, pp. 106497. </w:t>
      </w:r>
      <w:hyperlink r:id="rId30">
        <w:r>
          <w:rPr>
            <w:rFonts w:ascii="Arial" w:hAnsi="Arial" w:eastAsia="Arial" w:cs="Arial"/>
            <w:color w:val="0000FF"/>
            <w:sz w:val="24"/>
            <w:u w:val="single"/>
          </w:rPr>
          <w:t>https://doi.org/10.1016/j.infsof.2020.106497</w:t>
        </w:r>
      </w:hyperlink>
      <w:r>
        <w:rPr>
          <w:rFonts w:ascii="Arial" w:hAnsi="Arial" w:eastAsia="Arial" w:cs="Arial"/>
          <w:sz w:val="24"/>
        </w:rPr>
        <w:t xml:space="preserve">. </w:t>
      </w:r>
    </w:p>
    <w:p w:rsidR="005B3FCE" w:rsidRDefault="00243352" w14:paraId="085ADB6C"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George, B., Walker, R., and Monster, J., 2019. Does Strategic Planning Improve Organizational Performance? A Meta</w:t>
      </w:r>
      <w:r>
        <w:rPr>
          <w:rFonts w:ascii="Cambria Math" w:hAnsi="Cambria Math" w:eastAsia="Cambria Math" w:cs="Cambria Math"/>
          <w:sz w:val="24"/>
        </w:rPr>
        <w:t>‐</w:t>
      </w:r>
      <w:r>
        <w:rPr>
          <w:rFonts w:ascii="Arial" w:hAnsi="Arial" w:eastAsia="Arial" w:cs="Arial"/>
          <w:sz w:val="24"/>
        </w:rPr>
        <w:t xml:space="preserve">Analysis. Public Administration Review. </w:t>
      </w:r>
      <w:hyperlink r:id="rId31">
        <w:r>
          <w:rPr>
            <w:rFonts w:ascii="Arial" w:hAnsi="Arial" w:eastAsia="Arial" w:cs="Arial"/>
            <w:color w:val="0000FF"/>
            <w:sz w:val="24"/>
            <w:u w:val="single"/>
          </w:rPr>
          <w:t>https://doi.org/10.1111/puar.13104</w:t>
        </w:r>
      </w:hyperlink>
      <w:r>
        <w:rPr>
          <w:rFonts w:ascii="Arial" w:hAnsi="Arial" w:eastAsia="Arial" w:cs="Arial"/>
          <w:sz w:val="24"/>
        </w:rPr>
        <w:t>. .</w:t>
      </w:r>
    </w:p>
    <w:p w:rsidR="005B3FCE" w:rsidRDefault="00243352" w14:paraId="4F8A7766"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Getz, D. and Page, S.J., 2019. Event Studies: Theory, Research and Policy for Planned Events. 4th ed. Abingdon, Oxon: Routledge.</w:t>
      </w:r>
    </w:p>
    <w:p w:rsidR="005B3FCE" w:rsidRDefault="00243352" w14:paraId="7A5A9D25"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Havard, C.T., 2021. Disney, Netflix, and Amazon oh my! An Analysis of Streaming Brand Competition and the Impact on the Future of Consumer Entertainment. – Finding in Sport, Hospitality, Entertainment, and Event Management. </w:t>
      </w:r>
      <w:hyperlink r:id="rId32">
        <w:r>
          <w:rPr>
            <w:rFonts w:ascii="Arial" w:hAnsi="Arial" w:eastAsia="Arial" w:cs="Arial"/>
            <w:color w:val="0000FF"/>
            <w:sz w:val="24"/>
            <w:u w:val="single"/>
          </w:rPr>
          <w:t>https://www.researchgate.net/publication/350922785_Disney_Netflix_and_Amazon_Oh_My_An_Analysis_of_Streaming_Brand_Competition_and_the_Impact_on_the_Future_of_Consumer_Entertainment_-_Findings_in_Sport_Hospitality_Entertainment_and_Event_Management</w:t>
        </w:r>
      </w:hyperlink>
      <w:r>
        <w:rPr>
          <w:rFonts w:ascii="Arial" w:hAnsi="Arial" w:eastAsia="Arial" w:cs="Arial"/>
          <w:sz w:val="24"/>
        </w:rPr>
        <w:t xml:space="preserve"> </w:t>
      </w:r>
    </w:p>
    <w:p w:rsidR="005B3FCE" w:rsidRDefault="00243352" w14:paraId="3F99F998"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Health and Safety Executive, 2024.Janjusevic Managing crowd safety in public venues. </w:t>
      </w:r>
      <w:hyperlink r:id="rId33">
        <w:r>
          <w:rPr>
            <w:rFonts w:ascii="Arial" w:hAnsi="Arial" w:eastAsia="Arial" w:cs="Arial"/>
            <w:color w:val="0000FF"/>
            <w:sz w:val="24"/>
            <w:u w:val="single"/>
          </w:rPr>
          <w:t>https://www.hse.gov.uk/event-safety/crowd-management-assess.htm</w:t>
        </w:r>
      </w:hyperlink>
    </w:p>
    <w:p w:rsidR="005B3FCE" w:rsidRDefault="00243352" w14:paraId="010DA036"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HEAVEY, C., LEDWITH, A. and MURPHY, E., 2014. Introducing a new continuous improvement framework for increased organisational return on investment. TQM Journal, </w:t>
      </w:r>
      <w:r>
        <w:rPr>
          <w:rFonts w:ascii="Arial" w:hAnsi="Arial" w:eastAsia="Arial" w:cs="Arial"/>
          <w:b/>
          <w:sz w:val="24"/>
        </w:rPr>
        <w:t>26</w:t>
      </w:r>
      <w:r>
        <w:rPr>
          <w:rFonts w:ascii="Arial" w:hAnsi="Arial" w:eastAsia="Arial" w:cs="Arial"/>
          <w:sz w:val="24"/>
        </w:rPr>
        <w:t xml:space="preserve">(6), pp. 594-609. </w:t>
      </w:r>
      <w:hyperlink r:id="rId34">
        <w:r>
          <w:rPr>
            <w:rFonts w:ascii="Arial" w:hAnsi="Arial" w:eastAsia="Arial" w:cs="Arial"/>
            <w:color w:val="0000FF"/>
            <w:sz w:val="24"/>
            <w:u w:val="single"/>
          </w:rPr>
          <w:t>https://www.proquest.com/scholarly-journals/introducing-new-continuous-improvement-framework/docview/1662758710/se-2?accountid=130472</w:t>
        </w:r>
      </w:hyperlink>
      <w:r>
        <w:rPr>
          <w:rFonts w:ascii="Arial" w:hAnsi="Arial" w:eastAsia="Arial" w:cs="Arial"/>
          <w:sz w:val="24"/>
        </w:rPr>
        <w:t xml:space="preserve"> </w:t>
      </w:r>
    </w:p>
    <w:p w:rsidR="005B3FCE" w:rsidRDefault="00243352" w14:paraId="6344DFCC"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Janjusevic, J., and Mathur, S., 2021. Financial Planning and Budgeting of Events. . </w:t>
      </w:r>
      <w:hyperlink r:id="rId35">
        <w:r>
          <w:rPr>
            <w:rFonts w:ascii="Arial" w:hAnsi="Arial" w:eastAsia="Arial" w:cs="Arial"/>
            <w:color w:val="0000FF"/>
            <w:sz w:val="24"/>
            <w:u w:val="single"/>
          </w:rPr>
          <w:t>https://doi.org/10.23912/9781911635734-4769</w:t>
        </w:r>
      </w:hyperlink>
      <w:r>
        <w:rPr>
          <w:rFonts w:ascii="Arial" w:hAnsi="Arial" w:eastAsia="Arial" w:cs="Arial"/>
          <w:sz w:val="24"/>
        </w:rPr>
        <w:t xml:space="preserve">. </w:t>
      </w:r>
    </w:p>
    <w:p w:rsidR="005B3FCE" w:rsidRDefault="00243352" w14:paraId="0CF6CB6D"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Kaplanidou, K. and Vogt, C., 2007. The role of psychological commitment in sport tourists' behavioural loyalty. Available at: </w:t>
      </w:r>
      <w:hyperlink r:id="rId36">
        <w:r>
          <w:rPr>
            <w:rFonts w:ascii="Arial" w:hAnsi="Arial" w:eastAsia="Arial" w:cs="Arial"/>
            <w:color w:val="0000FF"/>
            <w:sz w:val="24"/>
            <w:u w:val="single"/>
          </w:rPr>
          <w:t>https://www.researchgate.net/publication/248345440_The_Role_of_Psychological_Commitment_in_Sport_Tourists%27_Behavioral_Loyalty</w:t>
        </w:r>
      </w:hyperlink>
    </w:p>
    <w:p w:rsidR="005B3FCE" w:rsidRDefault="00243352" w14:paraId="3803E601"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Kariuki, K., Kimanga, E., and Wanjiku, J., 2020. Performance of Events Management Service Providers within the Weddings Subsector, in Nairobi County, Kenya. International Journal of Innovative Research and Development. </w:t>
      </w:r>
      <w:hyperlink r:id="rId37">
        <w:r>
          <w:rPr>
            <w:rFonts w:ascii="Arial" w:hAnsi="Arial" w:eastAsia="Arial" w:cs="Arial"/>
            <w:color w:val="0000FF"/>
            <w:sz w:val="24"/>
            <w:u w:val="single"/>
          </w:rPr>
          <w:t>https://doi.org/10.24940/IJIRD/2020/V9/I12/DEC20033</w:t>
        </w:r>
      </w:hyperlink>
      <w:r>
        <w:rPr>
          <w:rFonts w:ascii="Arial" w:hAnsi="Arial" w:eastAsia="Arial" w:cs="Arial"/>
          <w:sz w:val="24"/>
        </w:rPr>
        <w:t xml:space="preserve">. </w:t>
      </w:r>
    </w:p>
    <w:p w:rsidR="005B3FCE" w:rsidRDefault="00243352" w14:paraId="5C36A320"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Kelly, P., Newbold, C., Jordan, J. and Diaz, K., 2019. Festival Operations. </w:t>
      </w:r>
      <w:hyperlink r:id="rId38">
        <w:r>
          <w:rPr>
            <w:rFonts w:ascii="Arial" w:hAnsi="Arial" w:eastAsia="Arial" w:cs="Arial"/>
            <w:color w:val="0000FF"/>
            <w:sz w:val="24"/>
            <w:u w:val="single"/>
          </w:rPr>
          <w:t>https://goodfellowpublishers.com/free_files/Chapter%207-b18c68ae2472977d83b94a10812b02c0.pdf</w:t>
        </w:r>
      </w:hyperlink>
      <w:r>
        <w:rPr>
          <w:rFonts w:ascii="Arial" w:hAnsi="Arial" w:eastAsia="Arial" w:cs="Arial"/>
          <w:sz w:val="24"/>
        </w:rPr>
        <w:t xml:space="preserve"> </w:t>
      </w:r>
    </w:p>
    <w:p w:rsidR="005B3FCE" w:rsidRDefault="00243352" w14:paraId="43F06DCC"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Mombeuil, C., 2020. Principles and Practices of Small-Scale Sport Event Management. </w:t>
      </w:r>
      <w:hyperlink r:id="rId39">
        <w:r>
          <w:rPr>
            <w:rFonts w:ascii="Arial" w:hAnsi="Arial" w:eastAsia="Arial" w:cs="Arial"/>
            <w:color w:val="0000FF"/>
            <w:sz w:val="24"/>
            <w:u w:val="single"/>
          </w:rPr>
          <w:t>https://www-igi-global-com.ezproxy.uwtsd.ac.uk/gateway/book/244564</w:t>
        </w:r>
      </w:hyperlink>
      <w:r>
        <w:rPr>
          <w:rFonts w:ascii="Arial" w:hAnsi="Arial" w:eastAsia="Arial" w:cs="Arial"/>
          <w:sz w:val="24"/>
        </w:rPr>
        <w:t xml:space="preserve">  </w:t>
      </w:r>
    </w:p>
    <w:p w:rsidR="005B3FCE" w:rsidRDefault="00243352" w14:paraId="3D37E5CA"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NEUHOFER, B., CELUCH, K. and TO, T.L., 2020. Experience design and the dimensions of transformative festival experiences. International Journal of Contemporary Hospitality Management, </w:t>
      </w:r>
      <w:r>
        <w:rPr>
          <w:rFonts w:ascii="Arial" w:hAnsi="Arial" w:eastAsia="Arial" w:cs="Arial"/>
          <w:b/>
          <w:sz w:val="24"/>
        </w:rPr>
        <w:t>32</w:t>
      </w:r>
      <w:r>
        <w:rPr>
          <w:rFonts w:ascii="Arial" w:hAnsi="Arial" w:eastAsia="Arial" w:cs="Arial"/>
          <w:sz w:val="24"/>
        </w:rPr>
        <w:t xml:space="preserve">(9), pp. 2881-2901. </w:t>
      </w:r>
      <w:hyperlink r:id="rId40">
        <w:r>
          <w:rPr>
            <w:rFonts w:ascii="Arial" w:hAnsi="Arial" w:eastAsia="Arial" w:cs="Arial"/>
            <w:color w:val="0000FF"/>
            <w:sz w:val="24"/>
            <w:u w:val="single"/>
          </w:rPr>
          <w:t>https://www.proquest.com/scholarly-journals/experience-design-dimensions-transformative/docview/2435697539/se-2?accountid=130472</w:t>
        </w:r>
      </w:hyperlink>
      <w:r>
        <w:rPr>
          <w:rFonts w:ascii="Arial" w:hAnsi="Arial" w:eastAsia="Arial" w:cs="Arial"/>
          <w:sz w:val="24"/>
        </w:rPr>
        <w:t xml:space="preserve"> </w:t>
      </w:r>
    </w:p>
    <w:p w:rsidR="005B3FCE" w:rsidRDefault="00243352" w14:paraId="7A685FC3"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Nigel, S., 2019. Operations Management. Pearson Education. 9</w:t>
      </w:r>
      <w:r>
        <w:rPr>
          <w:rFonts w:ascii="Arial" w:hAnsi="Arial" w:eastAsia="Arial" w:cs="Arial"/>
          <w:sz w:val="24"/>
          <w:vertAlign w:val="superscript"/>
        </w:rPr>
        <w:t>Th</w:t>
      </w:r>
      <w:r>
        <w:rPr>
          <w:rFonts w:ascii="Arial" w:hAnsi="Arial" w:eastAsia="Arial" w:cs="Arial"/>
          <w:sz w:val="24"/>
        </w:rPr>
        <w:t xml:space="preserve"> edition. </w:t>
      </w:r>
      <w:hyperlink r:id="rId41">
        <w:r>
          <w:rPr>
            <w:rFonts w:ascii="Arial" w:hAnsi="Arial" w:eastAsia="Arial" w:cs="Arial"/>
            <w:color w:val="0000FF"/>
            <w:sz w:val="24"/>
            <w:u w:val="single"/>
          </w:rPr>
          <w:t>https://librarysearch.uwtsd.ac.uk/permalink/44WHELF_UWTSD/tj3s4p/alma99100313059402421</w:t>
        </w:r>
      </w:hyperlink>
      <w:r>
        <w:rPr>
          <w:rFonts w:ascii="Arial" w:hAnsi="Arial" w:eastAsia="Arial" w:cs="Arial"/>
          <w:sz w:val="24"/>
        </w:rPr>
        <w:t xml:space="preserve"> </w:t>
      </w:r>
    </w:p>
    <w:p w:rsidR="005B3FCE" w:rsidRDefault="00243352" w14:paraId="1588B1A1"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Pessina, I., 2021. Risk and Resilience Management as a Response to COVID-19 Pandemic Outbreak. Towards a New and Refreshing Approach. Economia Aziendale Online, 12, pp. 27-37. </w:t>
      </w:r>
      <w:hyperlink r:id="rId42">
        <w:r>
          <w:rPr>
            <w:rFonts w:ascii="Arial" w:hAnsi="Arial" w:eastAsia="Arial" w:cs="Arial"/>
            <w:color w:val="0000FF"/>
            <w:sz w:val="24"/>
            <w:u w:val="single"/>
          </w:rPr>
          <w:t>https://doi.org/10.13132/2038-5498/12.1.27-37</w:t>
        </w:r>
      </w:hyperlink>
      <w:r>
        <w:rPr>
          <w:rFonts w:ascii="Arial" w:hAnsi="Arial" w:eastAsia="Arial" w:cs="Arial"/>
          <w:sz w:val="24"/>
        </w:rPr>
        <w:t xml:space="preserve">. </w:t>
      </w:r>
    </w:p>
    <w:p w:rsidR="005B3FCE" w:rsidRDefault="00243352" w14:paraId="50D9D3DC"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Ribeiro, F. S., and Costa, D. B. 2018. Last Planner System: Implementation and Evaluation With Focus on the Phase Schedule, 26th Annual Conference of the International Group for Lean Construction , 702-712. </w:t>
      </w:r>
      <w:hyperlink r:id="rId43">
        <w:r>
          <w:rPr>
            <w:rFonts w:ascii="Arial" w:hAnsi="Arial" w:eastAsia="Arial" w:cs="Arial"/>
            <w:color w:val="0000FF"/>
            <w:sz w:val="24"/>
            <w:u w:val="single"/>
          </w:rPr>
          <w:t>https://doi.org/10.24928/2018/0411</w:t>
        </w:r>
      </w:hyperlink>
      <w:r>
        <w:rPr>
          <w:rFonts w:ascii="Arial" w:hAnsi="Arial" w:eastAsia="Arial" w:cs="Arial"/>
          <w:sz w:val="24"/>
        </w:rPr>
        <w:t xml:space="preserve"> </w:t>
      </w:r>
    </w:p>
    <w:p w:rsidR="005B3FCE" w:rsidRDefault="00243352" w14:paraId="48133378"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Samaranayake, T., Pemarathane, W., and Hettige, B., 2017. Solution for event-planning using multi-agent technology. 2017 Seventeenth International Conference on Advances in ICT for Emerging Regions (ICTer), pp. 1-6. </w:t>
      </w:r>
      <w:hyperlink r:id="rId44">
        <w:r>
          <w:rPr>
            <w:rFonts w:ascii="Arial" w:hAnsi="Arial" w:eastAsia="Arial" w:cs="Arial"/>
            <w:color w:val="0000FF"/>
            <w:sz w:val="24"/>
            <w:u w:val="single"/>
          </w:rPr>
          <w:t>https://doi.org/10.1109/ICTER.2017.8257805</w:t>
        </w:r>
      </w:hyperlink>
      <w:r>
        <w:rPr>
          <w:rFonts w:ascii="Arial" w:hAnsi="Arial" w:eastAsia="Arial" w:cs="Arial"/>
          <w:sz w:val="24"/>
        </w:rPr>
        <w:t xml:space="preserve">. </w:t>
      </w:r>
    </w:p>
    <w:p w:rsidR="005B3FCE" w:rsidRDefault="00243352" w14:paraId="1115A8CC"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Savino, M., and Mazza, A., 2014. Toward Environmental and Quality Sustainability: An Integrated Approach for Continuous Improvement. IEEE Transactions on Engineering Management, 61, pp. 171-181. </w:t>
      </w:r>
      <w:hyperlink r:id="rId45">
        <w:r>
          <w:rPr>
            <w:rFonts w:ascii="Arial" w:hAnsi="Arial" w:eastAsia="Arial" w:cs="Arial"/>
            <w:color w:val="0000FF"/>
            <w:sz w:val="24"/>
            <w:u w:val="single"/>
          </w:rPr>
          <w:t>https://doi.org/10.1109/TEM.2013.2288495</w:t>
        </w:r>
      </w:hyperlink>
      <w:r>
        <w:rPr>
          <w:rFonts w:ascii="Arial" w:hAnsi="Arial" w:eastAsia="Arial" w:cs="Arial"/>
          <w:sz w:val="24"/>
        </w:rPr>
        <w:t xml:space="preserve">. </w:t>
      </w:r>
    </w:p>
    <w:p w:rsidR="005B3FCE" w:rsidRDefault="00243352" w14:paraId="42E8F184"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Silvers, J.R. (2003) Event Management Body of Knowledge (EMBOK) Project. </w:t>
      </w:r>
      <w:hyperlink r:id="rId46">
        <w:r>
          <w:rPr>
            <w:rFonts w:ascii="Arial" w:hAnsi="Arial" w:eastAsia="Arial" w:cs="Arial"/>
            <w:color w:val="0000FF"/>
            <w:sz w:val="24"/>
            <w:u w:val="single"/>
          </w:rPr>
          <w:t>https://embok.org/juliasilvers/embok.html</w:t>
        </w:r>
      </w:hyperlink>
      <w:r>
        <w:rPr>
          <w:rFonts w:ascii="Arial" w:hAnsi="Arial" w:eastAsia="Arial" w:cs="Arial"/>
          <w:sz w:val="24"/>
        </w:rPr>
        <w:t xml:space="preserve"> </w:t>
      </w:r>
    </w:p>
    <w:p w:rsidR="005B3FCE" w:rsidRDefault="00243352" w14:paraId="546EF8A0"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Shafahi, A., and Haghani, A., 2018. Project selection and scheduling for phase-able projects with interdependencies among phases. Automation in Construction. </w:t>
      </w:r>
      <w:hyperlink r:id="rId47">
        <w:r>
          <w:rPr>
            <w:rFonts w:ascii="Arial" w:hAnsi="Arial" w:eastAsia="Arial" w:cs="Arial"/>
            <w:color w:val="0000FF"/>
            <w:sz w:val="24"/>
            <w:u w:val="single"/>
          </w:rPr>
          <w:t>https://doi.org/10.1016/J.AUTCON.2018.05.008</w:t>
        </w:r>
      </w:hyperlink>
      <w:r>
        <w:rPr>
          <w:rFonts w:ascii="Arial" w:hAnsi="Arial" w:eastAsia="Arial" w:cs="Arial"/>
          <w:sz w:val="24"/>
        </w:rPr>
        <w:t xml:space="preserve">. </w:t>
      </w:r>
    </w:p>
    <w:p w:rsidR="005B3FCE" w:rsidRDefault="00243352" w14:paraId="31A87979"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Shigali, S., and Shitseswa, A., 2023. Effect of Physical Resource Allocation Strategies on Public Service Delivery: A Case of Vihiga County Government, Kenya. African Journal of Empirical Research. </w:t>
      </w:r>
      <w:hyperlink r:id="rId48">
        <w:r>
          <w:rPr>
            <w:rFonts w:ascii="Arial" w:hAnsi="Arial" w:eastAsia="Arial" w:cs="Arial"/>
            <w:color w:val="0000FF"/>
            <w:sz w:val="24"/>
            <w:u w:val="single"/>
          </w:rPr>
          <w:t>https://doi.org/10.51867/ajernet4.1.25</w:t>
        </w:r>
      </w:hyperlink>
      <w:r>
        <w:rPr>
          <w:rFonts w:ascii="Arial" w:hAnsi="Arial" w:eastAsia="Arial" w:cs="Arial"/>
          <w:sz w:val="24"/>
        </w:rPr>
        <w:t xml:space="preserve">. </w:t>
      </w:r>
    </w:p>
    <w:p w:rsidR="005B3FCE" w:rsidRDefault="00243352" w14:paraId="51F11177"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Suarez, E., Calvo-Mora, A. and Roldán, J.L., 2016. The role of strategic planning in excellence management systems. European journal of operational research, 248(2), pp.532-542. </w:t>
      </w:r>
      <w:hyperlink r:id="rId49">
        <w:r>
          <w:rPr>
            <w:rFonts w:ascii="Arial" w:hAnsi="Arial" w:eastAsia="Arial" w:cs="Arial"/>
            <w:color w:val="0000FF"/>
            <w:sz w:val="24"/>
            <w:u w:val="single"/>
          </w:rPr>
          <w:t>https://doi.org/10.1016/j.ejor.2015.07.008</w:t>
        </w:r>
      </w:hyperlink>
      <w:r>
        <w:rPr>
          <w:rFonts w:ascii="Arial" w:hAnsi="Arial" w:eastAsia="Arial" w:cs="Arial"/>
          <w:sz w:val="24"/>
        </w:rPr>
        <w:t xml:space="preserve"> </w:t>
      </w:r>
    </w:p>
    <w:p w:rsidR="005B3FCE" w:rsidRDefault="00243352" w14:paraId="3A9F1F02"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Wang, Y., 2023. Digital Transformation and Resilience in Global Supply Chains: A Comprehensive Review and Future Directions in the Post-COVID-19 Era. Advances in Economics, Management and Political Sciences. </w:t>
      </w:r>
      <w:hyperlink r:id="rId50">
        <w:r>
          <w:rPr>
            <w:rFonts w:ascii="Arial" w:hAnsi="Arial" w:eastAsia="Arial" w:cs="Arial"/>
            <w:color w:val="0000FF"/>
            <w:sz w:val="24"/>
            <w:u w:val="single"/>
          </w:rPr>
          <w:t>https://doi.org/10.54254/2754-1169/51/20230649</w:t>
        </w:r>
      </w:hyperlink>
      <w:r>
        <w:rPr>
          <w:rFonts w:ascii="Arial" w:hAnsi="Arial" w:eastAsia="Arial" w:cs="Arial"/>
          <w:sz w:val="24"/>
        </w:rPr>
        <w:t xml:space="preserve">. </w:t>
      </w:r>
    </w:p>
    <w:p w:rsidR="005B3FCE" w:rsidRDefault="00243352" w14:paraId="563BF41D"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Wilson, J., Arshed, N., Shaw, E., and Pret, T., 2017. Expanding the Domain of Festival Research: A Review and Research Agenda. INTL: Other Global Business Issues (Topic). </w:t>
      </w:r>
      <w:hyperlink r:id="rId51">
        <w:r>
          <w:rPr>
            <w:rFonts w:ascii="Arial" w:hAnsi="Arial" w:eastAsia="Arial" w:cs="Arial"/>
            <w:color w:val="0000FF"/>
            <w:sz w:val="24"/>
            <w:u w:val="single"/>
          </w:rPr>
          <w:t>https://doi.org/10.1111/ijmr.12093</w:t>
        </w:r>
      </w:hyperlink>
      <w:r>
        <w:rPr>
          <w:rFonts w:ascii="Arial" w:hAnsi="Arial" w:eastAsia="Arial" w:cs="Arial"/>
          <w:sz w:val="24"/>
        </w:rPr>
        <w:t xml:space="preserve">. </w:t>
      </w:r>
    </w:p>
    <w:p w:rsidR="005B3FCE" w:rsidRDefault="00243352" w14:paraId="2EB4C308"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Yen, H., 2022. How the Experience Designs of Sustainable Festive Events Affect Cultural Emotion, Travel Motivation, and Behavioral Intention. Sustainability. </w:t>
      </w:r>
      <w:hyperlink r:id="rId52">
        <w:r>
          <w:rPr>
            <w:rFonts w:ascii="Arial" w:hAnsi="Arial" w:eastAsia="Arial" w:cs="Arial"/>
            <w:color w:val="0000FF"/>
            <w:sz w:val="24"/>
            <w:u w:val="single"/>
          </w:rPr>
          <w:t>https://doi.org/10.3390/su141911807</w:t>
        </w:r>
      </w:hyperlink>
      <w:r>
        <w:rPr>
          <w:rFonts w:ascii="Arial" w:hAnsi="Arial" w:eastAsia="Arial" w:cs="Arial"/>
          <w:sz w:val="24"/>
        </w:rPr>
        <w:t>.</w:t>
      </w:r>
    </w:p>
    <w:p w:rsidR="005B3FCE" w:rsidRDefault="00243352" w14:paraId="68BA0408" w14:textId="77777777">
      <w:pPr>
        <w:numPr>
          <w:ilvl w:val="0"/>
          <w:numId w:val="2"/>
        </w:numPr>
        <w:spacing w:line="360" w:lineRule="auto"/>
        <w:ind w:left="1080" w:hanging="360"/>
        <w:jc w:val="both"/>
        <w:rPr>
          <w:rFonts w:ascii="Arial" w:hAnsi="Arial" w:eastAsia="Arial" w:cs="Arial"/>
          <w:sz w:val="24"/>
        </w:rPr>
      </w:pPr>
      <w:r>
        <w:rPr>
          <w:rFonts w:ascii="Arial" w:hAnsi="Arial" w:eastAsia="Arial" w:cs="Arial"/>
          <w:sz w:val="24"/>
        </w:rPr>
        <w:t xml:space="preserve">Zhang, J., Zhang, M., Ren, F., and Liu, J., 2016. An Innovation Approach for Optimal Resource Allocation in Emergency Management. IEEE Transactions on Computers, pp. 1-1. </w:t>
      </w:r>
      <w:hyperlink r:id="rId53">
        <w:r>
          <w:rPr>
            <w:rFonts w:ascii="Arial" w:hAnsi="Arial" w:eastAsia="Arial" w:cs="Arial"/>
            <w:color w:val="0000FF"/>
            <w:sz w:val="24"/>
            <w:u w:val="single"/>
          </w:rPr>
          <w:t>https://doi.org/10.1109/TC.2016.2601331</w:t>
        </w:r>
      </w:hyperlink>
      <w:r>
        <w:rPr>
          <w:rFonts w:ascii="Arial" w:hAnsi="Arial" w:eastAsia="Arial" w:cs="Arial"/>
          <w:sz w:val="24"/>
        </w:rPr>
        <w:t xml:space="preserve">. </w:t>
      </w:r>
    </w:p>
    <w:sectPr w:rsidR="005B3FCE">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D53705"/>
    <w:multiLevelType w:val="multilevel"/>
    <w:tmpl w:val="FFFFFFFF"/>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28EE6FEB"/>
    <w:multiLevelType w:val="multilevel"/>
    <w:tmpl w:val="FFFFFFFF"/>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92288083">
    <w:abstractNumId w:val="0"/>
  </w:num>
  <w:num w:numId="2" w16cid:durableId="927033556">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FCE"/>
    <w:rsid w:val="00243352"/>
    <w:rsid w:val="005B3FCE"/>
    <w:rsid w:val="00C086FB"/>
    <w:rsid w:val="00C237DD"/>
    <w:rsid w:val="00D0270E"/>
    <w:rsid w:val="015B727B"/>
    <w:rsid w:val="0318869A"/>
    <w:rsid w:val="0652AED9"/>
    <w:rsid w:val="13D52F09"/>
    <w:rsid w:val="1AE140AE"/>
    <w:rsid w:val="1D713B8E"/>
    <w:rsid w:val="1F1ED7AB"/>
    <w:rsid w:val="242B54E7"/>
    <w:rsid w:val="2CDEB787"/>
    <w:rsid w:val="428DF962"/>
    <w:rsid w:val="467B51D2"/>
    <w:rsid w:val="4F413490"/>
    <w:rsid w:val="54CCDAC5"/>
    <w:rsid w:val="6514381B"/>
    <w:rsid w:val="759D333D"/>
    <w:rsid w:val="76DA7C00"/>
    <w:rsid w:val="7E20088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0F20C231"/>
  <w15:docId w15:val="{AD5C53F3-82D4-4016-8DA7-CD4206200E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EastAsia" w:cstheme="minorBidi"/>
        <w:kern w:val="2"/>
        <w:sz w:val="22"/>
        <w:szCs w:val="22"/>
        <w:lang w:val="en-US"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image" Target="media/image5.png" Id="rId13" /><Relationship Type="http://schemas.openxmlformats.org/officeDocument/2006/relationships/oleObject" Target="embeddings/oleObject7.bin" Id="rId18" /><Relationship Type="http://schemas.openxmlformats.org/officeDocument/2006/relationships/hyperlink" Target="https://doi.org/10.4324/9781315105000" TargetMode="External" Id="rId26" /><Relationship Type="http://schemas.openxmlformats.org/officeDocument/2006/relationships/hyperlink" Target="https://www-igi-global-com.ezproxy.uwtsd.ac.uk/gateway/book/244564" TargetMode="External" Id="rId39" /><Relationship Type="http://schemas.openxmlformats.org/officeDocument/2006/relationships/image" Target="media/image9.png" Id="rId21" /><Relationship Type="http://schemas.openxmlformats.org/officeDocument/2006/relationships/hyperlink" Target="https://www.proquest.com/scholarly-journals/introducing-new-continuous-improvement-framework/docview/1662758710/se-2?accountid=130472" TargetMode="External" Id="rId34" /><Relationship Type="http://schemas.openxmlformats.org/officeDocument/2006/relationships/hyperlink" Target="https://doi.org/10.13132/2038-5498/12.1.27-37" TargetMode="External" Id="rId42" /><Relationship Type="http://schemas.openxmlformats.org/officeDocument/2006/relationships/hyperlink" Target="https://doi.org/10.1016/J.AUTCON.2018.05.008" TargetMode="External" Id="rId47" /><Relationship Type="http://schemas.openxmlformats.org/officeDocument/2006/relationships/hyperlink" Target="https://doi.org/10.54254/2754-1169/51/20230649" TargetMode="External" Id="rId50" /><Relationship Type="http://schemas.openxmlformats.org/officeDocument/2006/relationships/theme" Target="theme/theme1.xml" Id="rId55" /><Relationship Type="http://schemas.openxmlformats.org/officeDocument/2006/relationships/image" Target="media/image2.png" Id="rId7" /><Relationship Type="http://schemas.openxmlformats.org/officeDocument/2006/relationships/styles" Target="styles.xml" Id="rId2" /><Relationship Type="http://schemas.openxmlformats.org/officeDocument/2006/relationships/oleObject" Target="embeddings/oleObject6.bin" Id="rId16" /><Relationship Type="http://schemas.openxmlformats.org/officeDocument/2006/relationships/hyperlink" Target="https://www.proquest.com/scholarly-journals/managerial-perception-risk-organization-post/docview/2739434180/se-2?accountid=130472" TargetMode="External" Id="rId29" /><Relationship Type="http://schemas.openxmlformats.org/officeDocument/2006/relationships/image" Target="media/image4.png" Id="rId11" /><Relationship Type="http://schemas.openxmlformats.org/officeDocument/2006/relationships/hyperlink" Target="https://www.researchgate.net/profile/Juergen-Muench/publication/300586176_Phase_4_Execute_Plans/links/5cc20c6ea6fdcc1d49aef974/Phase-4-Execute-Plans.pdf" TargetMode="External" Id="rId24" /><Relationship Type="http://schemas.openxmlformats.org/officeDocument/2006/relationships/hyperlink" Target="https://www.researchgate.net/publication/350922785_Disney_Netflix_and_Amazon_Oh_My_An_Analysis_of_Streaming_Brand_Competition_and_the_Impact_on_the_Future_of_Consumer_Entertainment_-_Findings_in_Sport_Hospitality_Entertainment_and_Event_Management" TargetMode="External" Id="rId32" /><Relationship Type="http://schemas.openxmlformats.org/officeDocument/2006/relationships/hyperlink" Target="https://doi.org/10.24940/IJIRD/2020/V9/I12/DEC20033" TargetMode="External" Id="rId37" /><Relationship Type="http://schemas.openxmlformats.org/officeDocument/2006/relationships/hyperlink" Target="https://www.proquest.com/scholarly-journals/experience-design-dimensions-transformative/docview/2435697539/se-2?accountid=130472" TargetMode="External" Id="rId40" /><Relationship Type="http://schemas.openxmlformats.org/officeDocument/2006/relationships/hyperlink" Target="https://doi.org/10.1109/TEM.2013.2288495" TargetMode="External" Id="rId45" /><Relationship Type="http://schemas.openxmlformats.org/officeDocument/2006/relationships/hyperlink" Target="https://doi.org/10.1109/TC.2016.2601331" TargetMode="External" Id="rId53" /><Relationship Type="http://schemas.openxmlformats.org/officeDocument/2006/relationships/image" Target="media/image1.png" Id="rId5" /><Relationship Type="http://schemas.openxmlformats.org/officeDocument/2006/relationships/oleObject" Target="embeddings/oleObject3.bin" Id="rId10" /><Relationship Type="http://schemas.openxmlformats.org/officeDocument/2006/relationships/image" Target="media/image8.png" Id="rId19" /><Relationship Type="http://schemas.openxmlformats.org/officeDocument/2006/relationships/hyperlink" Target="https://doi.org/10.1111/puar.13104" TargetMode="External" Id="rId31" /><Relationship Type="http://schemas.openxmlformats.org/officeDocument/2006/relationships/hyperlink" Target="https://doi.org/10.1109/ICTER.2017.8257805" TargetMode="External" Id="rId44" /><Relationship Type="http://schemas.openxmlformats.org/officeDocument/2006/relationships/hyperlink" Target="https://doi.org/10.3390/su141911807" TargetMode="External" Id="rId52"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oleObject" Target="embeddings/oleObject5.bin" Id="rId14" /><Relationship Type="http://schemas.openxmlformats.org/officeDocument/2006/relationships/oleObject" Target="embeddings/oleObject9.bin" Id="rId22" /><Relationship Type="http://schemas.openxmlformats.org/officeDocument/2006/relationships/hyperlink" Target="https://doi.org/10.3390/su142215401" TargetMode="External" Id="rId27" /><Relationship Type="http://schemas.openxmlformats.org/officeDocument/2006/relationships/hyperlink" Target="https://doi.org/10.1016/j.infsof.2020.106497" TargetMode="External" Id="rId30" /><Relationship Type="http://schemas.openxmlformats.org/officeDocument/2006/relationships/hyperlink" Target="https://doi.org/10.23912/9781911635734-4769" TargetMode="External" Id="rId35" /><Relationship Type="http://schemas.openxmlformats.org/officeDocument/2006/relationships/hyperlink" Target="https://doi.org/10.24928/2018/0411" TargetMode="External" Id="rId43" /><Relationship Type="http://schemas.openxmlformats.org/officeDocument/2006/relationships/hyperlink" Target="https://doi.org/10.51867/ajernet4.1.25" TargetMode="External" Id="rId48" /><Relationship Type="http://schemas.openxmlformats.org/officeDocument/2006/relationships/oleObject" Target="embeddings/oleObject2.bin" Id="rId8" /><Relationship Type="http://schemas.openxmlformats.org/officeDocument/2006/relationships/hyperlink" Target="https://doi.org/10.1111/ijmr.12093" TargetMode="External" Id="rId51" /><Relationship Type="http://schemas.openxmlformats.org/officeDocument/2006/relationships/settings" Target="settings.xml" Id="rId3" /><Relationship Type="http://schemas.openxmlformats.org/officeDocument/2006/relationships/oleObject" Target="embeddings/oleObject4.bin" Id="rId12" /><Relationship Type="http://schemas.openxmlformats.org/officeDocument/2006/relationships/image" Target="media/image7.png" Id="rId17" /><Relationship Type="http://schemas.openxmlformats.org/officeDocument/2006/relationships/hyperlink" Target="https://doi.org/10.1016/j.evalprogplan.2016.12.009" TargetMode="External" Id="rId25" /><Relationship Type="http://schemas.openxmlformats.org/officeDocument/2006/relationships/hyperlink" Target="https://www.hse.gov.uk/event-safety/crowd-management-assess.htm" TargetMode="External" Id="rId33" /><Relationship Type="http://schemas.openxmlformats.org/officeDocument/2006/relationships/hyperlink" Target="https://goodfellowpublishers.com/free_files/Chapter%207-b18c68ae2472977d83b94a10812b02c0.pdf" TargetMode="External" Id="rId38" /><Relationship Type="http://schemas.openxmlformats.org/officeDocument/2006/relationships/hyperlink" Target="https://embok.org/juliasilvers/embok.html" TargetMode="External" Id="rId46" /><Relationship Type="http://schemas.openxmlformats.org/officeDocument/2006/relationships/oleObject" Target="embeddings/oleObject8.bin" Id="rId20" /><Relationship Type="http://schemas.openxmlformats.org/officeDocument/2006/relationships/hyperlink" Target="https://librarysearch.uwtsd.ac.uk/permalink/44WHELF_UWTSD/tj3s4p/alma99100313059402421" TargetMode="External" Id="rId41" /><Relationship Type="http://schemas.openxmlformats.org/officeDocument/2006/relationships/fontTable" Target="fontTable.xml" Id="rId54" /><Relationship Type="http://schemas.openxmlformats.org/officeDocument/2006/relationships/numbering" Target="numbering.xml" Id="rId1" /><Relationship Type="http://schemas.openxmlformats.org/officeDocument/2006/relationships/oleObject" Target="embeddings/oleObject1.bin" Id="rId6" /><Relationship Type="http://schemas.openxmlformats.org/officeDocument/2006/relationships/image" Target="media/image6.png" Id="rId15" /><Relationship Type="http://schemas.openxmlformats.org/officeDocument/2006/relationships/hyperlink" Target="https://doi-org.ezproxy.uwtsd.ac.uk/10.4018/978-1-7998-3230-0.ch001" TargetMode="External" Id="rId23" /><Relationship Type="http://schemas.openxmlformats.org/officeDocument/2006/relationships/hyperlink" Target="https://doi-org.ezproxy.uwtsd.ac.uk/10.4018/978-1-7998-4954-4.ch010" TargetMode="External" Id="rId28" /><Relationship Type="http://schemas.openxmlformats.org/officeDocument/2006/relationships/hyperlink" Target="https://www.researchgate.net/publication/248345440_The_Role_of_Psychological_Commitment_in_Sport_Tourists%27_Behavioral_Loyalty" TargetMode="External" Id="rId36" /><Relationship Type="http://schemas.openxmlformats.org/officeDocument/2006/relationships/hyperlink" Target="https://doi.org/10.1016/j.ejor.2015.07.008" TargetMode="External" Id="rId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Alina Cristina Pruteanu (2209886)</lastModifiedBy>
  <revision>3</revision>
  <dcterms:created xsi:type="dcterms:W3CDTF">2024-11-07T12:53:00.0000000Z</dcterms:created>
  <dcterms:modified xsi:type="dcterms:W3CDTF">2024-11-07T13:04:27.7149312Z</dcterms:modified>
</coreProperties>
</file>