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32E3D" w14:textId="4BA459AA" w:rsidR="00896E03" w:rsidRPr="00475205" w:rsidRDefault="00896E03" w:rsidP="00475205">
      <w:pPr>
        <w:spacing w:line="480" w:lineRule="auto"/>
        <w:jc w:val="center"/>
        <w:rPr>
          <w:u w:val="single"/>
        </w:rPr>
      </w:pPr>
      <w:r w:rsidRPr="00896E03">
        <w:rPr>
          <w:u w:val="single"/>
        </w:rPr>
        <w:t>Give a detailed account of Alexander’s encounter with Talestris in the sources and include</w:t>
      </w:r>
      <w:r w:rsidRPr="00896E03">
        <w:rPr>
          <w:u w:val="single"/>
        </w:rPr>
        <w:t xml:space="preserve"> </w:t>
      </w:r>
      <w:r w:rsidRPr="00896E03">
        <w:rPr>
          <w:u w:val="single"/>
        </w:rPr>
        <w:t>analysis of reasons for the differences. Focus upon Walter of Châtillon, Alexandreis 8.1-48; Quintus</w:t>
      </w:r>
      <w:r w:rsidRPr="00896E03">
        <w:rPr>
          <w:u w:val="single"/>
        </w:rPr>
        <w:t xml:space="preserve"> </w:t>
      </w:r>
      <w:r w:rsidRPr="00896E03">
        <w:rPr>
          <w:u w:val="single"/>
        </w:rPr>
        <w:t>Curtius Rufus 6.5.24-32; Historia de preliis pp77-9.</w:t>
      </w:r>
    </w:p>
    <w:p w14:paraId="660733CF" w14:textId="65AEBB60" w:rsidR="00896E03" w:rsidRDefault="00FE456B" w:rsidP="005C05B4">
      <w:pPr>
        <w:spacing w:line="480" w:lineRule="auto"/>
      </w:pPr>
      <w:r w:rsidRPr="00FE456B">
        <w:t xml:space="preserve">The accounts of Alexander’s encounter </w:t>
      </w:r>
      <w:r>
        <w:t>with the Amazonian queen Talestris offer an interesting example of the mythologizing of Alexander’s life, persevering from soon after Alexander’s death, through to the middle ages. The origin of the account lies in the vulgate tradition of Alexander narratives, likely deriving from Cleitarchus.</w:t>
      </w:r>
      <w:r>
        <w:rPr>
          <w:rStyle w:val="FootnoteReference"/>
        </w:rPr>
        <w:footnoteReference w:id="1"/>
      </w:r>
      <w:r>
        <w:t xml:space="preserve"> The surviving classical works of this tradition are Justin, Diodorus and Curtius Rufus, the latter being one of the focusses of this paper.</w:t>
      </w:r>
      <w:r>
        <w:rPr>
          <w:rStyle w:val="FootnoteReference"/>
        </w:rPr>
        <w:footnoteReference w:id="2"/>
      </w:r>
      <w:r>
        <w:t xml:space="preserve"> The legitimacy of this encounter was, however, questioned by other classical authors, such as Arrian, who flat out denied its accuracy,</w:t>
      </w:r>
      <w:r>
        <w:rPr>
          <w:rStyle w:val="FootnoteReference"/>
        </w:rPr>
        <w:footnoteReference w:id="3"/>
      </w:r>
      <w:r>
        <w:t xml:space="preserve"> and Plutarch, who questions it through recounting Lysimachus jokingly wondering where he was when this alleged event happened, while leaving the possibility open.</w:t>
      </w:r>
      <w:r>
        <w:rPr>
          <w:rStyle w:val="FootnoteReference"/>
        </w:rPr>
        <w:footnoteReference w:id="4"/>
      </w:r>
      <w:r>
        <w:t xml:space="preserve"> However, some later medieval writers, such as in Walter of Chatillon’s </w:t>
      </w:r>
      <w:r>
        <w:rPr>
          <w:i/>
          <w:iCs/>
        </w:rPr>
        <w:t>Alexandreis,</w:t>
      </w:r>
      <w:r>
        <w:rPr>
          <w:rStyle w:val="FootnoteReference"/>
          <w:i/>
          <w:iCs/>
        </w:rPr>
        <w:footnoteReference w:id="5"/>
      </w:r>
      <w:r>
        <w:t xml:space="preserve"> and the </w:t>
      </w:r>
      <w:r>
        <w:rPr>
          <w:i/>
          <w:iCs/>
        </w:rPr>
        <w:t>historia de preliis,</w:t>
      </w:r>
      <w:r>
        <w:rPr>
          <w:rStyle w:val="FootnoteReference"/>
          <w:i/>
          <w:iCs/>
        </w:rPr>
        <w:footnoteReference w:id="6"/>
      </w:r>
      <w:r>
        <w:rPr>
          <w:i/>
          <w:iCs/>
        </w:rPr>
        <w:t xml:space="preserve"> </w:t>
      </w:r>
      <w:r>
        <w:t>include this event, albeit in different forms. This paper will give an account of these variations and offer some explanations for similarities and differences between them.</w:t>
      </w:r>
    </w:p>
    <w:p w14:paraId="79768559" w14:textId="77777777" w:rsidR="009D292D" w:rsidRDefault="007B4523" w:rsidP="005C05B4">
      <w:pPr>
        <w:spacing w:line="480" w:lineRule="auto"/>
      </w:pPr>
      <w:r>
        <w:t xml:space="preserve">The works of Curtius Rufus and Walter of Chatillon have almost identical accounts of Alexander’s encounter with Talestris. Both begin by describing the location of the extent of Talestris’ royal authority, Talestris arriving at Alexander’s camp with 300 women, the same description of the weaponry, clothing and practice of cauterising one breast for easing the use of weapons, while leaving other intact, her being unimpressed by Alexander’s appearance but still asking to bear his child as a union between the most powerful man and most powerful </w:t>
      </w:r>
      <w:r>
        <w:lastRenderedPageBreak/>
        <w:t>woman, with Talestris keeping a potential daughter and Alexander keeping a son.</w:t>
      </w:r>
      <w:r>
        <w:rPr>
          <w:rStyle w:val="FootnoteReference"/>
        </w:rPr>
        <w:footnoteReference w:id="7"/>
      </w:r>
      <w:r>
        <w:t xml:space="preserve"> Both also recount Alexander offering Talestris a role in Alexander’s military campaign, with her refusing to leave her kingdom unguarded, and the two then spending 13 nights together, before Talestris departs back to her homeland.</w:t>
      </w:r>
      <w:r>
        <w:rPr>
          <w:rStyle w:val="FootnoteReference"/>
        </w:rPr>
        <w:footnoteReference w:id="8"/>
      </w:r>
      <w:r w:rsidR="007E16A5">
        <w:t xml:space="preserve"> </w:t>
      </w:r>
    </w:p>
    <w:p w14:paraId="7B572FFB" w14:textId="46D20B32" w:rsidR="00FE456B" w:rsidRDefault="00F34ECB" w:rsidP="005C05B4">
      <w:pPr>
        <w:spacing w:line="480" w:lineRule="auto"/>
      </w:pPr>
      <w:r>
        <w:t xml:space="preserve">The main reason for this similarity is likely because Curtius was Walter’s main source for the majority of the </w:t>
      </w:r>
      <w:r>
        <w:rPr>
          <w:i/>
          <w:iCs/>
        </w:rPr>
        <w:t>Alexandreis,</w:t>
      </w:r>
      <w:r>
        <w:rPr>
          <w:rStyle w:val="FootnoteReference"/>
          <w:i/>
          <w:iCs/>
        </w:rPr>
        <w:footnoteReference w:id="9"/>
      </w:r>
      <w:r>
        <w:t xml:space="preserve"> though Dionisotti attributes the main theme of the </w:t>
      </w:r>
      <w:r>
        <w:rPr>
          <w:i/>
          <w:iCs/>
        </w:rPr>
        <w:t xml:space="preserve">Alexandreis </w:t>
      </w:r>
      <w:r>
        <w:t>to be kingly power, with Walter selecting parts of Curtius that exhibit such power, and omitting sections which do not.</w:t>
      </w:r>
      <w:r>
        <w:rPr>
          <w:rStyle w:val="FootnoteReference"/>
        </w:rPr>
        <w:footnoteReference w:id="10"/>
      </w:r>
      <w:r>
        <w:t xml:space="preserve"> </w:t>
      </w:r>
      <w:r w:rsidR="004A6067">
        <w:t>It is also pointed out that this passage is the only example of a romantic episode in the whole of Walter’s work,</w:t>
      </w:r>
      <w:r w:rsidR="004A6067">
        <w:rPr>
          <w:rStyle w:val="FootnoteReference"/>
        </w:rPr>
        <w:footnoteReference w:id="11"/>
      </w:r>
      <w:r w:rsidR="004A6067">
        <w:t xml:space="preserve"> being an example in which the choice of partner contributing to a eugenicist approach to royal procreation, as Baynham refers to it.</w:t>
      </w:r>
      <w:r w:rsidR="004A6067">
        <w:rPr>
          <w:rStyle w:val="FootnoteReference"/>
        </w:rPr>
        <w:footnoteReference w:id="12"/>
      </w:r>
      <w:r w:rsidR="004A6067">
        <w:t xml:space="preserve"> </w:t>
      </w:r>
      <w:r w:rsidR="009D292D">
        <w:t>These sources also present Alexander and Talestris as a union of partnership, rather than of domination or submission, possibly representing a desire for union and stability between the Greeks and their subjects.</w:t>
      </w:r>
      <w:r w:rsidR="009D292D">
        <w:rPr>
          <w:rStyle w:val="FootnoteReference"/>
        </w:rPr>
        <w:footnoteReference w:id="13"/>
      </w:r>
      <w:r w:rsidR="00D33857">
        <w:t xml:space="preserve"> </w:t>
      </w:r>
      <w:r w:rsidR="00BF33AD">
        <w:t>The context of first Century Rome may have interpreted this as a plea to fully integrate the provinces into the Empire. It also</w:t>
      </w:r>
      <w:r w:rsidR="00D33857">
        <w:t xml:space="preserve"> may have supported Walter’s prior mentioned theme of kingly power, being a guide for how contemporary kings should treat their foreign subjects, such as in the context of the crusader states of the 12</w:t>
      </w:r>
      <w:r w:rsidR="00D33857" w:rsidRPr="00D33857">
        <w:rPr>
          <w:vertAlign w:val="superscript"/>
        </w:rPr>
        <w:t>th</w:t>
      </w:r>
      <w:r w:rsidR="00D33857">
        <w:t xml:space="preserve"> century, encouraging peace and reconciliation, rather than continued conflict.</w:t>
      </w:r>
      <w:r w:rsidR="00903A91">
        <w:t xml:space="preserve"> Overall, the reasons for the similarities between Curtius’ and Walter’s interpretations of the Talestris episode is due to Curtius being the main source for Walter’s work, with this event fitting into contemporary issues of kingship</w:t>
      </w:r>
      <w:r w:rsidR="00941D7E">
        <w:t>.</w:t>
      </w:r>
    </w:p>
    <w:p w14:paraId="1D2377FF" w14:textId="6F761736" w:rsidR="00941D7E" w:rsidRDefault="00941D7E" w:rsidP="005C05B4">
      <w:pPr>
        <w:spacing w:line="480" w:lineRule="auto"/>
      </w:pPr>
      <w:r>
        <w:lastRenderedPageBreak/>
        <w:t>However, there are some minor differences between them. One of these differences is in the wording of Alexander’s offer of military co-operation. Whereas Curtius presents this as an offer to fight “with him” (</w:t>
      </w:r>
      <w:r>
        <w:rPr>
          <w:i/>
          <w:iCs/>
        </w:rPr>
        <w:t>cum ipso militare),</w:t>
      </w:r>
      <w:r>
        <w:rPr>
          <w:rStyle w:val="FootnoteReference"/>
          <w:i/>
          <w:iCs/>
        </w:rPr>
        <w:footnoteReference w:id="14"/>
      </w:r>
      <w:r>
        <w:rPr>
          <w:i/>
          <w:iCs/>
        </w:rPr>
        <w:t xml:space="preserve"> </w:t>
      </w:r>
      <w:r>
        <w:t>Walter phrases it as “under him” (</w:t>
      </w:r>
      <w:r>
        <w:rPr>
          <w:i/>
          <w:iCs/>
        </w:rPr>
        <w:t>uacare sub eo).</w:t>
      </w:r>
      <w:r>
        <w:rPr>
          <w:rStyle w:val="FootnoteReference"/>
          <w:i/>
          <w:iCs/>
        </w:rPr>
        <w:footnoteReference w:id="15"/>
      </w:r>
      <w:r>
        <w:rPr>
          <w:i/>
          <w:iCs/>
        </w:rPr>
        <w:t xml:space="preserve"> </w:t>
      </w:r>
      <w:r w:rsidR="00A65652">
        <w:t xml:space="preserve">This subtle difference in wording establishes at least an attempt from Alexander to establish himself as an authority over Talestris. In the context of the theme of kingship, this demonstrates a message that, although peace and co-operation should be encouraged between the civilised and barbaric, the civilised should strive to have authority over </w:t>
      </w:r>
      <w:r w:rsidR="00D776AF">
        <w:t xml:space="preserve">the barbaric. This could be viewed as an allegory for Walter’s, meaning that peace and co-operation between Christians, Muslims and Jews in the crusader states should be encouraged, but Christians should establish themselves as the authority </w:t>
      </w:r>
      <w:r w:rsidR="00BF4865">
        <w:t xml:space="preserve">over </w:t>
      </w:r>
      <w:r w:rsidR="0021510A">
        <w:t xml:space="preserve">the other religions in the area. </w:t>
      </w:r>
    </w:p>
    <w:p w14:paraId="20656389" w14:textId="48DB323F" w:rsidR="00AA2782" w:rsidRDefault="00AA2782" w:rsidP="005C05B4">
      <w:pPr>
        <w:spacing w:line="480" w:lineRule="auto"/>
      </w:pPr>
      <w:r>
        <w:t xml:space="preserve">Whereas Curtius and Walter have many similarities, the </w:t>
      </w:r>
      <w:r>
        <w:rPr>
          <w:i/>
          <w:iCs/>
        </w:rPr>
        <w:t xml:space="preserve">historia de preliis </w:t>
      </w:r>
      <w:r>
        <w:t>is very different. Firstly, it is presented through letters between Alexander and Talestris, with them not meeting in person. It also represents a much more hostile exchange between the two, with Alexander demanding submission from the Amazons, and Talestris replying with defiance, using an ethnographical description of their customs as intimidation, also discouraging Alexander from conquest, with no honour gained from conquering women, and no spoils to steal.</w:t>
      </w:r>
      <w:r>
        <w:rPr>
          <w:rStyle w:val="FootnoteReference"/>
        </w:rPr>
        <w:footnoteReference w:id="16"/>
      </w:r>
      <w:r>
        <w:t xml:space="preserve"> Alexander then replies that if they agree to meet he promises no harm will come to them, and allows them to give as much tribute as they wish in return for fine gifts of their own, to which they eventually submitted.</w:t>
      </w:r>
      <w:r>
        <w:rPr>
          <w:rStyle w:val="FootnoteReference"/>
        </w:rPr>
        <w:footnoteReference w:id="17"/>
      </w:r>
    </w:p>
    <w:p w14:paraId="1C236A9D" w14:textId="6E1EA903" w:rsidR="00AA2782" w:rsidRDefault="00AA2782" w:rsidP="005C05B4">
      <w:pPr>
        <w:spacing w:line="480" w:lineRule="auto"/>
      </w:pPr>
      <w:r>
        <w:t>The more hostile tone of this account</w:t>
      </w:r>
      <w:r w:rsidR="003D02FF">
        <w:t xml:space="preserve"> represents Talestris as submitting to Alexander’s authority</w:t>
      </w:r>
      <w:r w:rsidR="008D760A">
        <w:t xml:space="preserve">, rather than the union as equals presented in Curtius and the </w:t>
      </w:r>
      <w:r w:rsidR="008D760A">
        <w:rPr>
          <w:i/>
          <w:iCs/>
        </w:rPr>
        <w:t>Alexandreid</w:t>
      </w:r>
      <w:r w:rsidR="008D760A">
        <w:t xml:space="preserve"> which, according to Baynham, would have “appealed to pan-Hellenic sentiment”.</w:t>
      </w:r>
      <w:r w:rsidR="008D760A">
        <w:rPr>
          <w:rStyle w:val="FootnoteReference"/>
        </w:rPr>
        <w:footnoteReference w:id="18"/>
      </w:r>
      <w:r w:rsidR="008D760A">
        <w:t xml:space="preserve"> </w:t>
      </w:r>
      <w:r w:rsidR="00EC4D1F">
        <w:t xml:space="preserve">The reference to </w:t>
      </w:r>
      <w:r w:rsidR="00EC4D1F">
        <w:lastRenderedPageBreak/>
        <w:t xml:space="preserve">there being no honour in conquering an army of women also contrasts with the other sources, which, in having Talestris unimpressed by Alexander’s physique, may be suggesting that Talestris saw herself as stronger than Alexander. Therefore, the representation of the Amazons in Curtius and the </w:t>
      </w:r>
      <w:r w:rsidR="00EC4D1F">
        <w:rPr>
          <w:i/>
          <w:iCs/>
        </w:rPr>
        <w:t xml:space="preserve">Alexandreid </w:t>
      </w:r>
      <w:r w:rsidR="00EC4D1F">
        <w:t xml:space="preserve">shows them </w:t>
      </w:r>
      <w:r w:rsidR="004B1C2A">
        <w:t>as being perceived of as equal in strength to Alexander’s army,</w:t>
      </w:r>
      <w:r w:rsidR="009F061C">
        <w:t xml:space="preserve"> in many ways their female equivalent,</w:t>
      </w:r>
      <w:r w:rsidR="004B1C2A">
        <w:t xml:space="preserve"> whereas the </w:t>
      </w:r>
      <w:r w:rsidR="004B1C2A">
        <w:rPr>
          <w:i/>
          <w:iCs/>
        </w:rPr>
        <w:t>historia de preliis</w:t>
      </w:r>
      <w:r w:rsidR="004B1C2A">
        <w:t xml:space="preserve"> presents them as</w:t>
      </w:r>
      <w:r w:rsidR="009F061C">
        <w:t xml:space="preserve"> inherently</w:t>
      </w:r>
      <w:r w:rsidR="004B1C2A">
        <w:t xml:space="preserve"> weaker due to their gender</w:t>
      </w:r>
      <w:r w:rsidR="009F061C">
        <w:t>.</w:t>
      </w:r>
    </w:p>
    <w:p w14:paraId="10138ED0" w14:textId="77777777" w:rsidR="0088583A" w:rsidRDefault="009F061C" w:rsidP="005C05B4">
      <w:pPr>
        <w:spacing w:line="480" w:lineRule="auto"/>
      </w:pPr>
      <w:r>
        <w:t xml:space="preserve">The </w:t>
      </w:r>
      <w:r>
        <w:rPr>
          <w:i/>
          <w:iCs/>
        </w:rPr>
        <w:t xml:space="preserve">historia </w:t>
      </w:r>
      <w:r>
        <w:t>also shows a lower level of respect from Alexander towards the Amazons. After reading Talestris’ letter, Alexander is said to have laughed before sending his final letter,</w:t>
      </w:r>
      <w:r>
        <w:rPr>
          <w:rStyle w:val="FootnoteReference"/>
        </w:rPr>
        <w:footnoteReference w:id="19"/>
      </w:r>
      <w:r>
        <w:t xml:space="preserve"> perhaps indicating he did not take their threat particularly seriously. In contrast, the other sources show Alexander as being convinced by Talestris that her strength combined with his own would produce a worthy heir, meaning he was clearly impressed by her</w:t>
      </w:r>
      <w:r w:rsidR="00072278">
        <w:t>. This could explain the omission of the discussion of producing an heir</w:t>
      </w:r>
      <w:r w:rsidR="0088583A">
        <w:t xml:space="preserve">, with the </w:t>
      </w:r>
      <w:r w:rsidR="0088583A">
        <w:rPr>
          <w:i/>
          <w:iCs/>
        </w:rPr>
        <w:t>historia de preliis’</w:t>
      </w:r>
      <w:r w:rsidR="0088583A">
        <w:t xml:space="preserve"> representation of Alexander’s decreased respect for Thalestris’ strength making him less likely to be persuaded by such a notion.</w:t>
      </w:r>
    </w:p>
    <w:p w14:paraId="2946CB7B" w14:textId="6C84195D" w:rsidR="009F061C" w:rsidRDefault="0088583A" w:rsidP="005C05B4">
      <w:pPr>
        <w:spacing w:line="480" w:lineRule="auto"/>
        <w:rPr>
          <w:i/>
          <w:iCs/>
        </w:rPr>
      </w:pPr>
      <w:r>
        <w:t>Overall, the differences in the accounts</w:t>
      </w:r>
      <w:r w:rsidR="00547FCA">
        <w:t xml:space="preserve"> can be attributed to differences in the contemporary application of the themes of leadership between Curtius and the </w:t>
      </w:r>
      <w:r w:rsidR="00547FCA">
        <w:rPr>
          <w:i/>
          <w:iCs/>
        </w:rPr>
        <w:t xml:space="preserve">Alexandreid, </w:t>
      </w:r>
      <w:r w:rsidR="00547FCA">
        <w:t xml:space="preserve">and representations of gender in the </w:t>
      </w:r>
      <w:r w:rsidR="00547FCA">
        <w:rPr>
          <w:i/>
          <w:iCs/>
        </w:rPr>
        <w:t>historia de preliis.</w:t>
      </w:r>
    </w:p>
    <w:p w14:paraId="617FCB07" w14:textId="56404C7E" w:rsidR="00D73EBC" w:rsidRDefault="00D73EBC" w:rsidP="005C05B4">
      <w:pPr>
        <w:spacing w:line="480" w:lineRule="auto"/>
        <w:rPr>
          <w:b/>
          <w:bCs/>
        </w:rPr>
      </w:pPr>
      <w:r>
        <w:rPr>
          <w:b/>
          <w:bCs/>
        </w:rPr>
        <w:t>Word count: 1036</w:t>
      </w:r>
    </w:p>
    <w:p w14:paraId="7BC3714F" w14:textId="13DEE75A" w:rsidR="00D73EBC" w:rsidRDefault="00D73EBC" w:rsidP="005C05B4">
      <w:pPr>
        <w:spacing w:line="480" w:lineRule="auto"/>
        <w:rPr>
          <w:b/>
          <w:bCs/>
        </w:rPr>
      </w:pPr>
      <w:r>
        <w:rPr>
          <w:b/>
          <w:bCs/>
        </w:rPr>
        <w:br w:type="page"/>
      </w:r>
    </w:p>
    <w:p w14:paraId="4D6A318B" w14:textId="682EA4E1" w:rsidR="00D73EBC" w:rsidRDefault="00D73EBC" w:rsidP="005C05B4">
      <w:pPr>
        <w:pStyle w:val="Heading1"/>
        <w:spacing w:line="480" w:lineRule="auto"/>
      </w:pPr>
      <w:r>
        <w:lastRenderedPageBreak/>
        <w:t>Primary Sources</w:t>
      </w:r>
    </w:p>
    <w:p w14:paraId="17C95A0F" w14:textId="69A3309B" w:rsidR="00D73EBC" w:rsidRDefault="00D73EBC" w:rsidP="005C05B4">
      <w:pPr>
        <w:spacing w:line="480" w:lineRule="auto"/>
      </w:pPr>
      <w:r>
        <w:t xml:space="preserve">Arrian. </w:t>
      </w:r>
      <w:r>
        <w:rPr>
          <w:i/>
        </w:rPr>
        <w:t xml:space="preserve">The Campaigns of Alexander. </w:t>
      </w:r>
      <w:r>
        <w:t>Aubrey De Selincourt (trans.). 1971. London: Penguin.</w:t>
      </w:r>
    </w:p>
    <w:p w14:paraId="348CA0FF" w14:textId="2949D991" w:rsidR="008E29C6" w:rsidRDefault="008E29C6" w:rsidP="005C05B4">
      <w:pPr>
        <w:spacing w:line="480" w:lineRule="auto"/>
        <w:rPr>
          <w:rFonts w:cs="Times New Roman"/>
          <w:color w:val="000000"/>
        </w:rPr>
      </w:pPr>
      <w:r>
        <w:rPr>
          <w:rFonts w:cs="Times New Roman"/>
          <w:color w:val="000000"/>
        </w:rPr>
        <w:t xml:space="preserve">Diodorus Siculus. </w:t>
      </w:r>
      <w:r>
        <w:rPr>
          <w:rFonts w:cs="Times New Roman"/>
          <w:i/>
          <w:color w:val="000000"/>
        </w:rPr>
        <w:t>Diodorus of Sicily in Twelve Volumes</w:t>
      </w:r>
      <w:r>
        <w:rPr>
          <w:rFonts w:cs="Times New Roman"/>
          <w:color w:val="000000"/>
        </w:rPr>
        <w:t>. C.H. Oldfather (trans.). 1989. Cambridge, MA: Harvard University Press; London: William Heinemann.</w:t>
      </w:r>
    </w:p>
    <w:p w14:paraId="112C60FA" w14:textId="26D10417" w:rsidR="008E29C6" w:rsidRPr="008E29C6" w:rsidRDefault="008E29C6" w:rsidP="005C05B4">
      <w:pPr>
        <w:spacing w:line="480" w:lineRule="auto"/>
      </w:pPr>
      <w:r>
        <w:rPr>
          <w:rFonts w:cs="Times New Roman"/>
          <w:color w:val="000000"/>
        </w:rPr>
        <w:t xml:space="preserve">Marcus Junianus Justinus. </w:t>
      </w:r>
      <w:r w:rsidRPr="008E29C6">
        <w:rPr>
          <w:rFonts w:cs="Times New Roman"/>
          <w:i/>
          <w:iCs/>
          <w:color w:val="000000"/>
        </w:rPr>
        <w:t>Epitome of the Philippic History of Pompeius Trogus</w:t>
      </w:r>
      <w:r>
        <w:rPr>
          <w:rFonts w:cs="Times New Roman"/>
          <w:i/>
          <w:iCs/>
          <w:color w:val="000000"/>
        </w:rPr>
        <w:t xml:space="preserve">. </w:t>
      </w:r>
      <w:r>
        <w:rPr>
          <w:rFonts w:cs="Times New Roman"/>
          <w:color w:val="000000"/>
        </w:rPr>
        <w:t>John Selby Watson (trans.). 1853. London: Henry G. Bohn.</w:t>
      </w:r>
    </w:p>
    <w:p w14:paraId="6F0A2B19" w14:textId="4B982CCA" w:rsidR="008E29C6" w:rsidRPr="008E29C6" w:rsidRDefault="008E29C6" w:rsidP="005C05B4">
      <w:pPr>
        <w:spacing w:line="480" w:lineRule="auto"/>
        <w:rPr>
          <w:rFonts w:cs="Times New Roman"/>
          <w:color w:val="000000"/>
        </w:rPr>
      </w:pPr>
      <w:r>
        <w:rPr>
          <w:rFonts w:cs="Times New Roman"/>
          <w:color w:val="000000"/>
        </w:rPr>
        <w:t xml:space="preserve">Plutarch. </w:t>
      </w:r>
      <w:r>
        <w:rPr>
          <w:rFonts w:cs="Times New Roman"/>
          <w:i/>
          <w:color w:val="000000"/>
        </w:rPr>
        <w:t>The Age of Alexander.</w:t>
      </w:r>
      <w:r>
        <w:rPr>
          <w:rFonts w:cs="Times New Roman"/>
          <w:color w:val="000000"/>
        </w:rPr>
        <w:t xml:space="preserve"> Ian Scott-Kilvert (trans.). 1973. London: Penguin.</w:t>
      </w:r>
    </w:p>
    <w:p w14:paraId="5DECE0A8" w14:textId="642162A1" w:rsidR="008E29C6" w:rsidRDefault="008E29C6" w:rsidP="005C05B4">
      <w:pPr>
        <w:spacing w:line="480" w:lineRule="auto"/>
        <w:rPr>
          <w:rFonts w:cs="Times New Roman"/>
          <w:color w:val="000000"/>
        </w:rPr>
      </w:pPr>
      <w:r>
        <w:rPr>
          <w:rFonts w:cs="Times New Roman"/>
          <w:color w:val="000000"/>
        </w:rPr>
        <w:t xml:space="preserve">Quintus Curtius Rufus. </w:t>
      </w:r>
      <w:r>
        <w:rPr>
          <w:rFonts w:cs="Times New Roman"/>
          <w:i/>
          <w:color w:val="000000"/>
        </w:rPr>
        <w:t xml:space="preserve">The History of Alexander. </w:t>
      </w:r>
      <w:r>
        <w:rPr>
          <w:rFonts w:cs="Times New Roman"/>
          <w:color w:val="000000"/>
        </w:rPr>
        <w:t>John Yardley (trans.). 2004. London: Penguin.</w:t>
      </w:r>
    </w:p>
    <w:p w14:paraId="6FD1A688" w14:textId="7DE2855B" w:rsidR="00A433E0" w:rsidRPr="00A433E0" w:rsidRDefault="00A433E0" w:rsidP="005C05B4">
      <w:pPr>
        <w:spacing w:line="480" w:lineRule="auto"/>
        <w:rPr>
          <w:rFonts w:cs="Times New Roman"/>
          <w:color w:val="000000"/>
        </w:rPr>
      </w:pPr>
      <w:r>
        <w:rPr>
          <w:rFonts w:cs="Times New Roman"/>
          <w:i/>
          <w:iCs/>
          <w:color w:val="000000"/>
        </w:rPr>
        <w:t xml:space="preserve">The History of Alexander’s Battles: historia de preliis, The J1 Version. </w:t>
      </w:r>
      <w:r>
        <w:rPr>
          <w:rFonts w:cs="Times New Roman"/>
          <w:color w:val="000000"/>
        </w:rPr>
        <w:t xml:space="preserve">R. T. Pritchard (trans.). 1992. Toronto: </w:t>
      </w:r>
      <w:r w:rsidRPr="00A433E0">
        <w:rPr>
          <w:rFonts w:cs="Times New Roman"/>
          <w:color w:val="000000"/>
        </w:rPr>
        <w:t>Pontifical Institute of Mediaeval Studies</w:t>
      </w:r>
      <w:r>
        <w:rPr>
          <w:rFonts w:cs="Times New Roman"/>
          <w:color w:val="000000"/>
        </w:rPr>
        <w:t>.</w:t>
      </w:r>
    </w:p>
    <w:p w14:paraId="59D2ECD0" w14:textId="49E91675" w:rsidR="00A433E0" w:rsidRPr="00D60ADF" w:rsidRDefault="00A433E0" w:rsidP="00D60ADF">
      <w:pPr>
        <w:pStyle w:val="Bibliography"/>
        <w:spacing w:line="480" w:lineRule="auto"/>
        <w:rPr>
          <w:noProof/>
          <w:lang w:val="en-US"/>
        </w:rPr>
      </w:pPr>
      <w:r>
        <w:rPr>
          <w:rFonts w:cs="Times New Roman"/>
          <w:color w:val="000000"/>
        </w:rPr>
        <w:t xml:space="preserve">Walter of Chatillon, </w:t>
      </w:r>
      <w:r>
        <w:rPr>
          <w:rFonts w:cs="Times New Roman"/>
          <w:i/>
          <w:iCs/>
          <w:color w:val="000000"/>
        </w:rPr>
        <w:t xml:space="preserve">Alexandreis. </w:t>
      </w:r>
      <w:r>
        <w:rPr>
          <w:rFonts w:cs="Times New Roman"/>
          <w:color w:val="000000"/>
        </w:rPr>
        <w:t xml:space="preserve">D. Townsend (trans.). in </w:t>
      </w:r>
      <w:r>
        <w:rPr>
          <w:noProof/>
          <w:lang w:val="en-US"/>
        </w:rPr>
        <w:t xml:space="preserve">Townsend, D., 1995. Sex and the Single Amazon in Twelfth-Century Latin Epic. </w:t>
      </w:r>
      <w:r>
        <w:rPr>
          <w:i/>
          <w:iCs/>
          <w:noProof/>
          <w:lang w:val="en-US"/>
        </w:rPr>
        <w:t xml:space="preserve">University of Toronto Quarterly, </w:t>
      </w:r>
      <w:r>
        <w:rPr>
          <w:noProof/>
          <w:lang w:val="en-US"/>
        </w:rPr>
        <w:t>64(2), pp. 255-273</w:t>
      </w:r>
      <w:r>
        <w:rPr>
          <w:noProof/>
          <w:lang w:val="en-US"/>
        </w:rPr>
        <w:t>, pp. 256-257.</w:t>
      </w:r>
      <w:bookmarkStart w:id="0" w:name="_GoBack"/>
      <w:bookmarkEnd w:id="0"/>
    </w:p>
    <w:sdt>
      <w:sdtPr>
        <w:id w:val="848765673"/>
        <w:docPartObj>
          <w:docPartGallery w:val="Bibliographies"/>
          <w:docPartUnique/>
        </w:docPartObj>
      </w:sdtPr>
      <w:sdtEndPr>
        <w:rPr>
          <w:rFonts w:ascii="Times New Roman" w:eastAsiaTheme="minorHAnsi" w:hAnsi="Times New Roman" w:cstheme="minorBidi"/>
          <w:color w:val="auto"/>
          <w:sz w:val="24"/>
          <w:szCs w:val="22"/>
          <w:lang w:val="en-GB"/>
        </w:rPr>
      </w:sdtEndPr>
      <w:sdtContent>
        <w:p w14:paraId="6363C1C7" w14:textId="1A35966E" w:rsidR="00D73EBC" w:rsidRDefault="00D73EBC" w:rsidP="005C05B4">
          <w:pPr>
            <w:pStyle w:val="Heading1"/>
            <w:spacing w:line="480" w:lineRule="auto"/>
          </w:pPr>
          <w:r>
            <w:t>Modern Scholarship</w:t>
          </w:r>
        </w:p>
        <w:sdt>
          <w:sdtPr>
            <w:id w:val="111145805"/>
            <w:bibliography/>
          </w:sdtPr>
          <w:sdtContent>
            <w:p w14:paraId="6D1C2E0E" w14:textId="77777777" w:rsidR="00D73EBC" w:rsidRDefault="00D73EBC" w:rsidP="005C05B4">
              <w:pPr>
                <w:pStyle w:val="Bibliography"/>
                <w:spacing w:line="480" w:lineRule="auto"/>
                <w:rPr>
                  <w:noProof/>
                  <w:szCs w:val="24"/>
                  <w:lang w:val="en-US"/>
                </w:rPr>
              </w:pPr>
              <w:r>
                <w:fldChar w:fldCharType="begin"/>
              </w:r>
              <w:r>
                <w:instrText xml:space="preserve"> BIBLIOGRAPHY </w:instrText>
              </w:r>
              <w:r>
                <w:fldChar w:fldCharType="separate"/>
              </w:r>
              <w:r>
                <w:rPr>
                  <w:noProof/>
                  <w:lang w:val="en-US"/>
                </w:rPr>
                <w:t xml:space="preserve">Baynham, E., 2001. Alexander and the Amazons. </w:t>
              </w:r>
              <w:r>
                <w:rPr>
                  <w:i/>
                  <w:iCs/>
                  <w:noProof/>
                  <w:lang w:val="en-US"/>
                </w:rPr>
                <w:t xml:space="preserve">The Classical Quarterly, New Series, </w:t>
              </w:r>
              <w:r>
                <w:rPr>
                  <w:noProof/>
                  <w:lang w:val="en-US"/>
                </w:rPr>
                <w:t>5(1), pp. 115-126.</w:t>
              </w:r>
            </w:p>
            <w:p w14:paraId="6D1FCD43" w14:textId="77777777" w:rsidR="00D73EBC" w:rsidRDefault="00D73EBC" w:rsidP="005C05B4">
              <w:pPr>
                <w:pStyle w:val="Bibliography"/>
                <w:spacing w:line="480" w:lineRule="auto"/>
                <w:rPr>
                  <w:noProof/>
                  <w:lang w:val="en-US"/>
                </w:rPr>
              </w:pPr>
              <w:r>
                <w:rPr>
                  <w:noProof/>
                  <w:lang w:val="en-US"/>
                </w:rPr>
                <w:t xml:space="preserve">Dionisotti, A. C., 1990. Walter of Chatillon and the Greeks. In: O. Murray &amp; P. Goodman, eds. </w:t>
              </w:r>
              <w:r>
                <w:rPr>
                  <w:i/>
                  <w:iCs/>
                  <w:noProof/>
                  <w:lang w:val="en-US"/>
                </w:rPr>
                <w:t xml:space="preserve">Latin Poetry and the Classical Tradition. </w:t>
              </w:r>
              <w:r>
                <w:rPr>
                  <w:noProof/>
                  <w:lang w:val="en-US"/>
                </w:rPr>
                <w:t>Oxford: Clarendon Press, pp. 73-96.</w:t>
              </w:r>
            </w:p>
            <w:p w14:paraId="78127F0B" w14:textId="77777777" w:rsidR="00D73EBC" w:rsidRDefault="00D73EBC" w:rsidP="005C05B4">
              <w:pPr>
                <w:pStyle w:val="Bibliography"/>
                <w:spacing w:line="480" w:lineRule="auto"/>
                <w:rPr>
                  <w:noProof/>
                  <w:lang w:val="en-US"/>
                </w:rPr>
              </w:pPr>
              <w:r>
                <w:rPr>
                  <w:noProof/>
                  <w:lang w:val="en-US"/>
                </w:rPr>
                <w:t xml:space="preserve">Lafferty, M., 2011. Walter of Chatillon's Alexandreis. In: D. Zuwiyya, ed. </w:t>
              </w:r>
              <w:r>
                <w:rPr>
                  <w:i/>
                  <w:iCs/>
                  <w:noProof/>
                  <w:lang w:val="en-US"/>
                </w:rPr>
                <w:t xml:space="preserve">A Companion to Alexander Literature in the Middle Ages. </w:t>
              </w:r>
              <w:r>
                <w:rPr>
                  <w:noProof/>
                  <w:lang w:val="en-US"/>
                </w:rPr>
                <w:t>Leiden; Boston: Brill, pp. 177-200.</w:t>
              </w:r>
            </w:p>
            <w:p w14:paraId="78A0C500" w14:textId="77777777" w:rsidR="00D73EBC" w:rsidRDefault="00D73EBC" w:rsidP="005C05B4">
              <w:pPr>
                <w:pStyle w:val="Bibliography"/>
                <w:spacing w:line="480" w:lineRule="auto"/>
                <w:rPr>
                  <w:noProof/>
                  <w:lang w:val="en-US"/>
                </w:rPr>
              </w:pPr>
              <w:r>
                <w:rPr>
                  <w:noProof/>
                  <w:lang w:val="en-US"/>
                </w:rPr>
                <w:lastRenderedPageBreak/>
                <w:t xml:space="preserve">Townsend, D., 1995. Sex and the Single Amazon in Twelfth-Century Latin Epic. </w:t>
              </w:r>
              <w:r>
                <w:rPr>
                  <w:i/>
                  <w:iCs/>
                  <w:noProof/>
                  <w:lang w:val="en-US"/>
                </w:rPr>
                <w:t xml:space="preserve">University of Toronto Quarterly, </w:t>
              </w:r>
              <w:r>
                <w:rPr>
                  <w:noProof/>
                  <w:lang w:val="en-US"/>
                </w:rPr>
                <w:t>64(2), pp. 255-273.</w:t>
              </w:r>
            </w:p>
            <w:p w14:paraId="050DDC9E" w14:textId="3D21C001" w:rsidR="00D73EBC" w:rsidRDefault="00D73EBC" w:rsidP="005C05B4">
              <w:pPr>
                <w:spacing w:line="480" w:lineRule="auto"/>
              </w:pPr>
              <w:r>
                <w:rPr>
                  <w:b/>
                  <w:bCs/>
                  <w:noProof/>
                </w:rPr>
                <w:fldChar w:fldCharType="end"/>
              </w:r>
            </w:p>
          </w:sdtContent>
        </w:sdt>
      </w:sdtContent>
    </w:sdt>
    <w:p w14:paraId="24920D10" w14:textId="77777777" w:rsidR="00D73EBC" w:rsidRPr="00D73EBC" w:rsidRDefault="00D73EBC" w:rsidP="00896E03"/>
    <w:sectPr w:rsidR="00D73EBC" w:rsidRPr="00D73E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105FFA" w14:textId="77777777" w:rsidR="00220D91" w:rsidRDefault="00220D91" w:rsidP="00896E03">
      <w:pPr>
        <w:spacing w:after="0" w:line="240" w:lineRule="auto"/>
      </w:pPr>
      <w:r>
        <w:separator/>
      </w:r>
    </w:p>
  </w:endnote>
  <w:endnote w:type="continuationSeparator" w:id="0">
    <w:p w14:paraId="11D8AACB" w14:textId="77777777" w:rsidR="00220D91" w:rsidRDefault="00220D91" w:rsidP="00896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79240" w14:textId="77777777" w:rsidR="00220D91" w:rsidRDefault="00220D91" w:rsidP="00896E03">
      <w:pPr>
        <w:spacing w:after="0" w:line="240" w:lineRule="auto"/>
      </w:pPr>
      <w:r>
        <w:separator/>
      </w:r>
    </w:p>
  </w:footnote>
  <w:footnote w:type="continuationSeparator" w:id="0">
    <w:p w14:paraId="7BDE8301" w14:textId="77777777" w:rsidR="00220D91" w:rsidRDefault="00220D91" w:rsidP="00896E03">
      <w:pPr>
        <w:spacing w:after="0" w:line="240" w:lineRule="auto"/>
      </w:pPr>
      <w:r>
        <w:continuationSeparator/>
      </w:r>
    </w:p>
  </w:footnote>
  <w:footnote w:id="1">
    <w:p w14:paraId="49DB8949" w14:textId="03EEC5B8" w:rsidR="00FE456B" w:rsidRDefault="00FE456B">
      <w:pPr>
        <w:pStyle w:val="FootnoteText"/>
      </w:pPr>
      <w:r>
        <w:rPr>
          <w:rStyle w:val="FootnoteReference"/>
        </w:rPr>
        <w:footnoteRef/>
      </w:r>
      <w:r>
        <w:t xml:space="preserve"> Baynham 2001: 116.</w:t>
      </w:r>
    </w:p>
  </w:footnote>
  <w:footnote w:id="2">
    <w:p w14:paraId="418AC37A" w14:textId="28AB70AD" w:rsidR="00FE456B" w:rsidRDefault="00FE456B">
      <w:pPr>
        <w:pStyle w:val="FootnoteText"/>
      </w:pPr>
      <w:r>
        <w:rPr>
          <w:rStyle w:val="FootnoteReference"/>
        </w:rPr>
        <w:footnoteRef/>
      </w:r>
      <w:r>
        <w:t xml:space="preserve"> Justin 12.3; Diod. 17.77; Curt. Ruf. 6.5.24-32.</w:t>
      </w:r>
    </w:p>
  </w:footnote>
  <w:footnote w:id="3">
    <w:p w14:paraId="0117615A" w14:textId="55BB7BC2" w:rsidR="00FE456B" w:rsidRDefault="00FE456B">
      <w:pPr>
        <w:pStyle w:val="FootnoteText"/>
      </w:pPr>
      <w:r>
        <w:rPr>
          <w:rStyle w:val="FootnoteReference"/>
        </w:rPr>
        <w:footnoteRef/>
      </w:r>
      <w:r>
        <w:t xml:space="preserve"> Arr. Anab. 7.13.</w:t>
      </w:r>
    </w:p>
  </w:footnote>
  <w:footnote w:id="4">
    <w:p w14:paraId="1DFE510F" w14:textId="37044848" w:rsidR="00FE456B" w:rsidRDefault="00FE456B">
      <w:pPr>
        <w:pStyle w:val="FootnoteText"/>
      </w:pPr>
      <w:r>
        <w:rPr>
          <w:rStyle w:val="FootnoteReference"/>
        </w:rPr>
        <w:footnoteRef/>
      </w:r>
      <w:r>
        <w:t xml:space="preserve"> Plt. Alex. 46.</w:t>
      </w:r>
    </w:p>
  </w:footnote>
  <w:footnote w:id="5">
    <w:p w14:paraId="0D8E0933" w14:textId="551A7149" w:rsidR="00FE456B" w:rsidRPr="00FE456B" w:rsidRDefault="00FE456B">
      <w:pPr>
        <w:pStyle w:val="FootnoteText"/>
      </w:pPr>
      <w:r>
        <w:rPr>
          <w:rStyle w:val="FootnoteReference"/>
        </w:rPr>
        <w:footnoteRef/>
      </w:r>
      <w:r>
        <w:t xml:space="preserve"> Walter of Chatillon, </w:t>
      </w:r>
      <w:r>
        <w:rPr>
          <w:i/>
          <w:iCs/>
        </w:rPr>
        <w:t xml:space="preserve">Alexandreis, </w:t>
      </w:r>
      <w:r>
        <w:t>8.1-48.</w:t>
      </w:r>
    </w:p>
  </w:footnote>
  <w:footnote w:id="6">
    <w:p w14:paraId="7D0680AB" w14:textId="15A229B1" w:rsidR="00FE456B" w:rsidRPr="00FE456B" w:rsidRDefault="00FE456B">
      <w:pPr>
        <w:pStyle w:val="FootnoteText"/>
      </w:pPr>
      <w:r>
        <w:rPr>
          <w:rStyle w:val="FootnoteReference"/>
        </w:rPr>
        <w:footnoteRef/>
      </w:r>
      <w:r>
        <w:t xml:space="preserve"> </w:t>
      </w:r>
      <w:r>
        <w:rPr>
          <w:i/>
          <w:iCs/>
        </w:rPr>
        <w:t xml:space="preserve">Historia de preliis, </w:t>
      </w:r>
      <w:r>
        <w:t>3.82-84.</w:t>
      </w:r>
    </w:p>
  </w:footnote>
  <w:footnote w:id="7">
    <w:p w14:paraId="38F85F17" w14:textId="00826936" w:rsidR="007B4523" w:rsidRPr="007B4523" w:rsidRDefault="007B4523">
      <w:pPr>
        <w:pStyle w:val="FootnoteText"/>
      </w:pPr>
      <w:r>
        <w:rPr>
          <w:rStyle w:val="FootnoteReference"/>
        </w:rPr>
        <w:footnoteRef/>
      </w:r>
      <w:r>
        <w:t xml:space="preserve"> Curt. Ruf. 6.5.24-30; </w:t>
      </w:r>
      <w:r w:rsidR="007E16A5">
        <w:t xml:space="preserve">Walter, </w:t>
      </w:r>
      <w:r>
        <w:rPr>
          <w:i/>
          <w:iCs/>
        </w:rPr>
        <w:t xml:space="preserve">Alexandreis </w:t>
      </w:r>
      <w:r>
        <w:t>8.1-35.</w:t>
      </w:r>
    </w:p>
  </w:footnote>
  <w:footnote w:id="8">
    <w:p w14:paraId="2A0A9824" w14:textId="66FB4AA0" w:rsidR="007B4523" w:rsidRPr="007E16A5" w:rsidRDefault="007B4523">
      <w:pPr>
        <w:pStyle w:val="FootnoteText"/>
      </w:pPr>
      <w:r>
        <w:rPr>
          <w:rStyle w:val="FootnoteReference"/>
        </w:rPr>
        <w:footnoteRef/>
      </w:r>
      <w:r>
        <w:t xml:space="preserve"> Curt. Ruf. 6.5.31-</w:t>
      </w:r>
      <w:r w:rsidR="007E16A5">
        <w:t xml:space="preserve">2; Walter, </w:t>
      </w:r>
      <w:r w:rsidR="007E16A5">
        <w:rPr>
          <w:i/>
          <w:iCs/>
        </w:rPr>
        <w:t xml:space="preserve">Alexandreis </w:t>
      </w:r>
      <w:r w:rsidR="007E16A5">
        <w:t>8.36-48.</w:t>
      </w:r>
    </w:p>
  </w:footnote>
  <w:footnote w:id="9">
    <w:p w14:paraId="6D05C4F1" w14:textId="73007E95" w:rsidR="00F34ECB" w:rsidRDefault="00F34ECB">
      <w:pPr>
        <w:pStyle w:val="FootnoteText"/>
      </w:pPr>
      <w:r>
        <w:rPr>
          <w:rStyle w:val="FootnoteReference"/>
        </w:rPr>
        <w:footnoteRef/>
      </w:r>
      <w:r>
        <w:t xml:space="preserve"> Dionisotti 1990: 77, 80; Lafferty 2011: 185.</w:t>
      </w:r>
    </w:p>
  </w:footnote>
  <w:footnote w:id="10">
    <w:p w14:paraId="4DFADE3D" w14:textId="53AD20D8" w:rsidR="00F34ECB" w:rsidRDefault="00F34ECB">
      <w:pPr>
        <w:pStyle w:val="FootnoteText"/>
      </w:pPr>
      <w:r>
        <w:rPr>
          <w:rStyle w:val="FootnoteReference"/>
        </w:rPr>
        <w:footnoteRef/>
      </w:r>
      <w:r>
        <w:t xml:space="preserve"> Dionisotti 1990: 78.</w:t>
      </w:r>
    </w:p>
  </w:footnote>
  <w:footnote w:id="11">
    <w:p w14:paraId="397BF3FF" w14:textId="35ABE82D" w:rsidR="004A6067" w:rsidRDefault="004A6067">
      <w:pPr>
        <w:pStyle w:val="FootnoteText"/>
      </w:pPr>
      <w:r>
        <w:rPr>
          <w:rStyle w:val="FootnoteReference"/>
        </w:rPr>
        <w:footnoteRef/>
      </w:r>
      <w:r>
        <w:t xml:space="preserve"> Dionisotti 1990: 79.</w:t>
      </w:r>
    </w:p>
  </w:footnote>
  <w:footnote w:id="12">
    <w:p w14:paraId="491C8BD0" w14:textId="6E3850C2" w:rsidR="004A6067" w:rsidRDefault="004A6067">
      <w:pPr>
        <w:pStyle w:val="FootnoteText"/>
      </w:pPr>
      <w:r>
        <w:rPr>
          <w:rStyle w:val="FootnoteReference"/>
        </w:rPr>
        <w:footnoteRef/>
      </w:r>
      <w:r>
        <w:t xml:space="preserve"> Baynham 2001: 126.</w:t>
      </w:r>
    </w:p>
  </w:footnote>
  <w:footnote w:id="13">
    <w:p w14:paraId="34BF32D0" w14:textId="4F38FE7C" w:rsidR="009D292D" w:rsidRDefault="009D292D">
      <w:pPr>
        <w:pStyle w:val="FootnoteText"/>
      </w:pPr>
      <w:r>
        <w:rPr>
          <w:rStyle w:val="FootnoteReference"/>
        </w:rPr>
        <w:footnoteRef/>
      </w:r>
      <w:r>
        <w:t xml:space="preserve"> Baynham 2001: </w:t>
      </w:r>
      <w:r w:rsidR="00D33857">
        <w:t>123, 126.</w:t>
      </w:r>
    </w:p>
  </w:footnote>
  <w:footnote w:id="14">
    <w:p w14:paraId="1FAAF165" w14:textId="67AB46B1" w:rsidR="00941D7E" w:rsidRDefault="00941D7E">
      <w:pPr>
        <w:pStyle w:val="FootnoteText"/>
      </w:pPr>
      <w:r>
        <w:rPr>
          <w:rStyle w:val="FootnoteReference"/>
        </w:rPr>
        <w:footnoteRef/>
      </w:r>
      <w:r>
        <w:t xml:space="preserve"> Curt. Ruf. 6.5.31.</w:t>
      </w:r>
    </w:p>
  </w:footnote>
  <w:footnote w:id="15">
    <w:p w14:paraId="0680C85D" w14:textId="455896B8" w:rsidR="00941D7E" w:rsidRPr="00941D7E" w:rsidRDefault="00941D7E">
      <w:pPr>
        <w:pStyle w:val="FootnoteText"/>
      </w:pPr>
      <w:r>
        <w:rPr>
          <w:rStyle w:val="FootnoteReference"/>
        </w:rPr>
        <w:footnoteRef/>
      </w:r>
      <w:r>
        <w:t xml:space="preserve"> Walter, </w:t>
      </w:r>
      <w:r>
        <w:rPr>
          <w:i/>
          <w:iCs/>
        </w:rPr>
        <w:t xml:space="preserve">Alexandreis </w:t>
      </w:r>
      <w:r>
        <w:t>8.44; Townsend 1995: 267.</w:t>
      </w:r>
    </w:p>
  </w:footnote>
  <w:footnote w:id="16">
    <w:p w14:paraId="4914AFEB" w14:textId="201B2B22" w:rsidR="00AA2782" w:rsidRPr="00AA2782" w:rsidRDefault="00AA2782">
      <w:pPr>
        <w:pStyle w:val="FootnoteText"/>
      </w:pPr>
      <w:r>
        <w:rPr>
          <w:rStyle w:val="FootnoteReference"/>
        </w:rPr>
        <w:footnoteRef/>
      </w:r>
      <w:r>
        <w:t xml:space="preserve"> </w:t>
      </w:r>
      <w:r>
        <w:rPr>
          <w:i/>
          <w:iCs/>
        </w:rPr>
        <w:t xml:space="preserve">Historia de preliis </w:t>
      </w:r>
      <w:r>
        <w:t>3.82-3.</w:t>
      </w:r>
    </w:p>
  </w:footnote>
  <w:footnote w:id="17">
    <w:p w14:paraId="6A2BE8B4" w14:textId="0456A501" w:rsidR="00AA2782" w:rsidRPr="00AA2782" w:rsidRDefault="00AA2782">
      <w:pPr>
        <w:pStyle w:val="FootnoteText"/>
      </w:pPr>
      <w:r>
        <w:rPr>
          <w:rStyle w:val="FootnoteReference"/>
        </w:rPr>
        <w:footnoteRef/>
      </w:r>
      <w:r>
        <w:t xml:space="preserve"> </w:t>
      </w:r>
      <w:r w:rsidRPr="00AA2782">
        <w:rPr>
          <w:i/>
          <w:iCs/>
        </w:rPr>
        <w:t>Historia de preliis</w:t>
      </w:r>
      <w:r>
        <w:t xml:space="preserve"> 3.84.</w:t>
      </w:r>
    </w:p>
  </w:footnote>
  <w:footnote w:id="18">
    <w:p w14:paraId="0CDBF354" w14:textId="2BA77D82" w:rsidR="008D760A" w:rsidRDefault="008D760A">
      <w:pPr>
        <w:pStyle w:val="FootnoteText"/>
      </w:pPr>
      <w:r>
        <w:rPr>
          <w:rStyle w:val="FootnoteReference"/>
        </w:rPr>
        <w:footnoteRef/>
      </w:r>
      <w:r>
        <w:t xml:space="preserve"> Baynham 2001: 123.</w:t>
      </w:r>
    </w:p>
  </w:footnote>
  <w:footnote w:id="19">
    <w:p w14:paraId="1E4504C6" w14:textId="58879B41" w:rsidR="009F061C" w:rsidRPr="009F061C" w:rsidRDefault="009F061C">
      <w:pPr>
        <w:pStyle w:val="FootnoteText"/>
      </w:pPr>
      <w:r>
        <w:rPr>
          <w:rStyle w:val="FootnoteReference"/>
        </w:rPr>
        <w:footnoteRef/>
      </w:r>
      <w:r>
        <w:t xml:space="preserve"> </w:t>
      </w:r>
      <w:r>
        <w:rPr>
          <w:i/>
          <w:iCs/>
        </w:rPr>
        <w:t xml:space="preserve">Historia de preliis </w:t>
      </w:r>
      <w:r>
        <w:t>3.84.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D7EFB" w14:textId="47AAFC04" w:rsidR="00896E03" w:rsidRDefault="00896E03">
    <w:pPr>
      <w:pStyle w:val="Header"/>
    </w:pPr>
    <w:r>
      <w:t>James Forder</w:t>
    </w:r>
    <w:r>
      <w:tab/>
      <w:t>1701007</w:t>
    </w:r>
    <w:r>
      <w:tab/>
      <w:t>HPAH6058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E03"/>
    <w:rsid w:val="00072278"/>
    <w:rsid w:val="0021510A"/>
    <w:rsid w:val="00216264"/>
    <w:rsid w:val="00220D91"/>
    <w:rsid w:val="003D02FF"/>
    <w:rsid w:val="00475205"/>
    <w:rsid w:val="004A6067"/>
    <w:rsid w:val="004B1C2A"/>
    <w:rsid w:val="0053110B"/>
    <w:rsid w:val="00547FCA"/>
    <w:rsid w:val="005C05B4"/>
    <w:rsid w:val="007B4523"/>
    <w:rsid w:val="007E16A5"/>
    <w:rsid w:val="00860198"/>
    <w:rsid w:val="008704D0"/>
    <w:rsid w:val="0088583A"/>
    <w:rsid w:val="00896E03"/>
    <w:rsid w:val="008D760A"/>
    <w:rsid w:val="008E29C6"/>
    <w:rsid w:val="00903A91"/>
    <w:rsid w:val="00941D7E"/>
    <w:rsid w:val="009D292D"/>
    <w:rsid w:val="009F061C"/>
    <w:rsid w:val="00A433E0"/>
    <w:rsid w:val="00A65652"/>
    <w:rsid w:val="00AA2782"/>
    <w:rsid w:val="00BF33AD"/>
    <w:rsid w:val="00BF4865"/>
    <w:rsid w:val="00C35D03"/>
    <w:rsid w:val="00D33857"/>
    <w:rsid w:val="00D60ADF"/>
    <w:rsid w:val="00D73EBC"/>
    <w:rsid w:val="00D776AF"/>
    <w:rsid w:val="00EC4D1F"/>
    <w:rsid w:val="00F34ECB"/>
    <w:rsid w:val="00FE4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CF750"/>
  <w15:chartTrackingRefBased/>
  <w15:docId w15:val="{9E592427-B038-4B24-95D9-5E17123B9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E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E03"/>
  </w:style>
  <w:style w:type="paragraph" w:styleId="Footer">
    <w:name w:val="footer"/>
    <w:basedOn w:val="Normal"/>
    <w:link w:val="FooterChar"/>
    <w:uiPriority w:val="99"/>
    <w:unhideWhenUsed/>
    <w:rsid w:val="00896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E03"/>
  </w:style>
  <w:style w:type="paragraph" w:styleId="FootnoteText">
    <w:name w:val="footnote text"/>
    <w:basedOn w:val="Normal"/>
    <w:link w:val="FootnoteTextChar"/>
    <w:uiPriority w:val="99"/>
    <w:semiHidden/>
    <w:unhideWhenUsed/>
    <w:rsid w:val="00FE45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56B"/>
    <w:rPr>
      <w:sz w:val="20"/>
      <w:szCs w:val="20"/>
    </w:rPr>
  </w:style>
  <w:style w:type="character" w:styleId="FootnoteReference">
    <w:name w:val="footnote reference"/>
    <w:basedOn w:val="DefaultParagraphFont"/>
    <w:uiPriority w:val="99"/>
    <w:semiHidden/>
    <w:unhideWhenUsed/>
    <w:rsid w:val="00FE456B"/>
    <w:rPr>
      <w:vertAlign w:val="superscript"/>
    </w:rPr>
  </w:style>
  <w:style w:type="character" w:customStyle="1" w:styleId="Heading1Char">
    <w:name w:val="Heading 1 Char"/>
    <w:basedOn w:val="DefaultParagraphFont"/>
    <w:link w:val="Heading1"/>
    <w:uiPriority w:val="9"/>
    <w:rsid w:val="00D73EB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3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461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Dio90</b:Tag>
    <b:SourceType>BookSection</b:SourceType>
    <b:Guid>{80C4A2CA-8B6F-4CA4-8572-3BD954A4654D}</b:Guid>
    <b:Title>Walter of Chatillon and the Greeks</b:Title>
    <b:Year>1990</b:Year>
    <b:City>Oxford</b:City>
    <b:Publisher>Clarendon Press</b:Publisher>
    <b:Author>
      <b:Author>
        <b:NameList>
          <b:Person>
            <b:Last>Dionisotti</b:Last>
            <b:First>A.</b:First>
            <b:Middle>C.</b:Middle>
          </b:Person>
        </b:NameList>
      </b:Author>
      <b:Editor>
        <b:NameList>
          <b:Person>
            <b:Last>Murray</b:Last>
            <b:First>O</b:First>
          </b:Person>
          <b:Person>
            <b:Last>Goodman</b:Last>
            <b:First>P</b:First>
          </b:Person>
        </b:NameList>
      </b:Editor>
    </b:Author>
    <b:BookTitle>Latin Poetry and the Classical Tradition</b:BookTitle>
    <b:Pages>73-96</b:Pages>
    <b:RefOrder>1</b:RefOrder>
  </b:Source>
  <b:Source>
    <b:Tag>EBa01</b:Tag>
    <b:SourceType>JournalArticle</b:SourceType>
    <b:Guid>{BA0F1B32-3240-4F0A-AE34-7CD407584FA8}</b:Guid>
    <b:Title>Alexander and the Amazons</b:Title>
    <b:Year>2001</b:Year>
    <b:Pages>115-126</b:Pages>
    <b:Author>
      <b:Author>
        <b:NameList>
          <b:Person>
            <b:Last>Baynham</b:Last>
            <b:First>E.</b:First>
          </b:Person>
        </b:NameList>
      </b:Author>
    </b:Author>
    <b:JournalName>The Classical Quarterly, New Series</b:JournalName>
    <b:Volume>5</b:Volume>
    <b:Issue>1</b:Issue>
    <b:RefOrder>2</b:RefOrder>
  </b:Source>
  <b:Source>
    <b:Tag>MLa11</b:Tag>
    <b:SourceType>BookSection</b:SourceType>
    <b:Guid>{E15BA297-DF00-4791-A228-A79A7E023FDC}</b:Guid>
    <b:Title>Walter of Chatillon's Alexandreis</b:Title>
    <b:Year>2011</b:Year>
    <b:Pages>177-200</b:Pages>
    <b:Author>
      <b:Author>
        <b:NameList>
          <b:Person>
            <b:Last>Lafferty</b:Last>
            <b:First>M.</b:First>
          </b:Person>
        </b:NameList>
      </b:Author>
      <b:Editor>
        <b:NameList>
          <b:Person>
            <b:Last>Zuwiyya</b:Last>
            <b:First>D.</b:First>
          </b:Person>
        </b:NameList>
      </b:Editor>
    </b:Author>
    <b:BookTitle>A Companion to Alexander Literature in the Middle Ages</b:BookTitle>
    <b:City>Leiden; Boston</b:City>
    <b:Publisher>Brill</b:Publisher>
    <b:RefOrder>3</b:RefOrder>
  </b:Source>
  <b:Source>
    <b:Tag>Dav95</b:Tag>
    <b:SourceType>JournalArticle</b:SourceType>
    <b:Guid>{A7A6D9D4-8DEB-4482-95E4-A958C0DCD767}</b:Guid>
    <b:Title>Sex and the Single Amazon in Twelfth-Century Latin Epic</b:Title>
    <b:Year>1995</b:Year>
    <b:Pages>255-273</b:Pages>
    <b:Author>
      <b:Author>
        <b:NameList>
          <b:Person>
            <b:Last>Townsend</b:Last>
            <b:First>David</b:First>
          </b:Person>
        </b:NameList>
      </b:Author>
    </b:Author>
    <b:JournalName>University of Toronto Quarterly</b:JournalName>
    <b:Volume>64</b:Volume>
    <b:Issue>2</b:Issue>
    <b:RefOrder>4</b:RefOrder>
  </b:Source>
</b:Sources>
</file>

<file path=customXml/itemProps1.xml><?xml version="1.0" encoding="utf-8"?>
<ds:datastoreItem xmlns:ds="http://schemas.openxmlformats.org/officeDocument/2006/customXml" ds:itemID="{B022E61A-9094-456B-BF29-8BA6D6AAD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6</Pages>
  <Words>1269</Words>
  <Characters>7237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19</cp:revision>
  <dcterms:created xsi:type="dcterms:W3CDTF">2020-01-13T16:48:00Z</dcterms:created>
  <dcterms:modified xsi:type="dcterms:W3CDTF">2020-01-13T20:55:00Z</dcterms:modified>
</cp:coreProperties>
</file>