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DABB1" w14:textId="699A7FEC" w:rsidR="00914D60" w:rsidRDefault="00914D60" w:rsidP="00085331">
      <w:pPr>
        <w:jc w:val="center"/>
        <w:rPr>
          <w:rFonts w:ascii="Arial" w:hAnsi="Arial" w:cs="Arial"/>
          <w:b/>
          <w:bCs/>
          <w:sz w:val="22"/>
        </w:rPr>
      </w:pPr>
      <w:r w:rsidRPr="00D06BA5">
        <w:rPr>
          <w:rFonts w:ascii="Arial" w:hAnsi="Arial" w:cs="Arial"/>
          <w:noProof/>
        </w:rPr>
        <w:drawing>
          <wp:inline distT="0" distB="0" distL="0" distR="0" wp14:anchorId="672A7133" wp14:editId="6245A404">
            <wp:extent cx="4005580" cy="1259669"/>
            <wp:effectExtent l="0" t="0" r="0" b="0"/>
            <wp:docPr id="41" name="Picture 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5138" cy="1404190"/>
                    </a:xfrm>
                    <a:prstGeom prst="rect">
                      <a:avLst/>
                    </a:prstGeom>
                    <a:noFill/>
                    <a:ln>
                      <a:noFill/>
                    </a:ln>
                  </pic:spPr>
                </pic:pic>
              </a:graphicData>
            </a:graphic>
          </wp:inline>
        </w:drawing>
      </w:r>
    </w:p>
    <w:p w14:paraId="6E417E12" w14:textId="77777777" w:rsidR="00914D60" w:rsidRDefault="00914D60" w:rsidP="00085331">
      <w:pPr>
        <w:jc w:val="center"/>
        <w:rPr>
          <w:rFonts w:ascii="Arial" w:hAnsi="Arial" w:cs="Arial"/>
          <w:b/>
          <w:bCs/>
          <w:sz w:val="22"/>
        </w:rPr>
      </w:pPr>
    </w:p>
    <w:p w14:paraId="31BAE2C5" w14:textId="6AAE6851" w:rsidR="00914D60" w:rsidRDefault="00914D60" w:rsidP="00085331">
      <w:pPr>
        <w:jc w:val="center"/>
        <w:rPr>
          <w:rFonts w:ascii="Arial" w:hAnsi="Arial" w:cs="Arial"/>
          <w:b/>
          <w:bCs/>
          <w:sz w:val="22"/>
        </w:rPr>
      </w:pPr>
    </w:p>
    <w:p w14:paraId="3FE4DD51" w14:textId="397EC704" w:rsidR="00914D60" w:rsidRDefault="00914D60" w:rsidP="00085331">
      <w:pPr>
        <w:jc w:val="center"/>
        <w:rPr>
          <w:rFonts w:ascii="Arial" w:hAnsi="Arial" w:cs="Arial"/>
          <w:b/>
          <w:bCs/>
          <w:sz w:val="22"/>
        </w:rPr>
      </w:pPr>
    </w:p>
    <w:p w14:paraId="5EA4739D" w14:textId="77777777" w:rsidR="00914D60" w:rsidRPr="00D06BA5" w:rsidRDefault="00914D60" w:rsidP="00914D60">
      <w:pPr>
        <w:pStyle w:val="NoSpacing"/>
        <w:jc w:val="center"/>
        <w:rPr>
          <w:rFonts w:ascii="Arial" w:hAnsi="Arial" w:cs="Arial"/>
          <w:b/>
          <w:bCs/>
          <w:sz w:val="40"/>
          <w:szCs w:val="40"/>
        </w:rPr>
      </w:pPr>
      <w:r w:rsidRPr="00D06BA5">
        <w:rPr>
          <w:rFonts w:ascii="Arial" w:hAnsi="Arial" w:cs="Arial"/>
          <w:b/>
          <w:bCs/>
          <w:sz w:val="40"/>
          <w:szCs w:val="40"/>
        </w:rPr>
        <w:t>BA BUSINESS MANAGEMENT</w:t>
      </w:r>
    </w:p>
    <w:p w14:paraId="65F42A32" w14:textId="13835CC1" w:rsidR="00914D60" w:rsidRPr="00D06BA5" w:rsidRDefault="00914D60" w:rsidP="00914D60">
      <w:pPr>
        <w:jc w:val="center"/>
        <w:rPr>
          <w:rFonts w:ascii="Arial" w:hAnsi="Arial" w:cs="Arial"/>
          <w:b/>
          <w:bCs/>
          <w:noProof/>
          <w:sz w:val="44"/>
          <w:szCs w:val="44"/>
        </w:rPr>
      </w:pPr>
      <w:r w:rsidRPr="00D06BA5">
        <w:rPr>
          <w:rFonts w:ascii="Arial" w:hAnsi="Arial" w:cs="Arial"/>
          <w:b/>
          <w:bCs/>
          <w:noProof/>
          <w:sz w:val="44"/>
          <w:szCs w:val="44"/>
        </w:rPr>
        <w:t xml:space="preserve">Module:  </w:t>
      </w:r>
      <w:r>
        <w:rPr>
          <w:rFonts w:ascii="Arial" w:hAnsi="Arial" w:cs="Arial"/>
          <w:b/>
          <w:bCs/>
          <w:noProof/>
          <w:sz w:val="44"/>
          <w:szCs w:val="44"/>
        </w:rPr>
        <w:t>Community Engagement</w:t>
      </w:r>
    </w:p>
    <w:p w14:paraId="6303AA09" w14:textId="74E60D8D" w:rsidR="00914D60" w:rsidRPr="00D06BA5" w:rsidRDefault="002F5A53" w:rsidP="00914D60">
      <w:pPr>
        <w:jc w:val="center"/>
        <w:rPr>
          <w:rFonts w:ascii="Arial" w:hAnsi="Arial" w:cs="Arial"/>
          <w:b/>
          <w:bCs/>
          <w:noProof/>
          <w:sz w:val="44"/>
          <w:szCs w:val="44"/>
        </w:rPr>
      </w:pPr>
      <w:r>
        <w:rPr>
          <w:rFonts w:ascii="Arial" w:hAnsi="Arial" w:cs="Arial"/>
          <w:b/>
          <w:bCs/>
          <w:noProof/>
          <w:sz w:val="44"/>
          <w:szCs w:val="44"/>
        </w:rPr>
        <w:t xml:space="preserve">Assessment </w:t>
      </w:r>
      <w:r w:rsidR="00914D60" w:rsidRPr="00D06BA5">
        <w:rPr>
          <w:rFonts w:ascii="Arial" w:hAnsi="Arial" w:cs="Arial"/>
          <w:b/>
          <w:bCs/>
          <w:noProof/>
          <w:sz w:val="44"/>
          <w:szCs w:val="44"/>
        </w:rPr>
        <w:t>1</w:t>
      </w:r>
    </w:p>
    <w:p w14:paraId="4C4F797B" w14:textId="77777777" w:rsidR="00914D60" w:rsidRPr="00D06BA5" w:rsidRDefault="00914D60" w:rsidP="00914D60">
      <w:pPr>
        <w:jc w:val="center"/>
        <w:rPr>
          <w:rFonts w:ascii="Arial" w:hAnsi="Arial" w:cs="Arial"/>
          <w:kern w:val="24"/>
          <w:sz w:val="32"/>
          <w:szCs w:val="32"/>
        </w:rPr>
      </w:pPr>
    </w:p>
    <w:p w14:paraId="1FF431E9" w14:textId="77777777" w:rsidR="00914D60" w:rsidRPr="00D06BA5" w:rsidRDefault="00914D60" w:rsidP="00914D60">
      <w:pPr>
        <w:jc w:val="center"/>
        <w:rPr>
          <w:rFonts w:ascii="Arial" w:hAnsi="Arial" w:cs="Arial"/>
          <w:kern w:val="24"/>
          <w:sz w:val="32"/>
          <w:szCs w:val="32"/>
        </w:rPr>
      </w:pPr>
    </w:p>
    <w:p w14:paraId="762B8365" w14:textId="77777777" w:rsidR="00914D60" w:rsidRPr="00D06BA5" w:rsidRDefault="00914D60" w:rsidP="00914D60">
      <w:pPr>
        <w:jc w:val="center"/>
        <w:rPr>
          <w:rFonts w:ascii="Arial" w:hAnsi="Arial" w:cs="Arial"/>
          <w:kern w:val="24"/>
          <w:sz w:val="32"/>
          <w:szCs w:val="32"/>
        </w:rPr>
      </w:pPr>
    </w:p>
    <w:p w14:paraId="7E5CAC07" w14:textId="0601B309" w:rsidR="00914D60" w:rsidRPr="00D06BA5" w:rsidRDefault="00914D60" w:rsidP="00914D60">
      <w:pPr>
        <w:jc w:val="center"/>
        <w:rPr>
          <w:rFonts w:ascii="Arial" w:hAnsi="Arial" w:cs="Arial"/>
          <w:kern w:val="24"/>
          <w:sz w:val="32"/>
          <w:szCs w:val="32"/>
        </w:rPr>
      </w:pPr>
    </w:p>
    <w:p w14:paraId="44408FF0" w14:textId="0A3E1F4A" w:rsidR="00914D60" w:rsidRPr="00D06BA5" w:rsidRDefault="00914D60" w:rsidP="00914D60">
      <w:pPr>
        <w:jc w:val="center"/>
        <w:rPr>
          <w:rFonts w:ascii="Arial" w:hAnsi="Arial" w:cs="Arial"/>
          <w:kern w:val="24"/>
          <w:sz w:val="32"/>
          <w:szCs w:val="32"/>
        </w:rPr>
      </w:pPr>
      <w:r w:rsidRPr="00D06BA5">
        <w:rPr>
          <w:rFonts w:ascii="Arial" w:hAnsi="Arial" w:cs="Arial"/>
          <w:b/>
          <w:bCs/>
          <w:noProof/>
        </w:rPr>
        <mc:AlternateContent>
          <mc:Choice Requires="wps">
            <w:drawing>
              <wp:anchor distT="0" distB="0" distL="114300" distR="114300" simplePos="0" relativeHeight="251659264" behindDoc="0" locked="0" layoutInCell="1" allowOverlap="1" wp14:anchorId="02259D97" wp14:editId="2F3623DA">
                <wp:simplePos x="0" y="0"/>
                <wp:positionH relativeFrom="margin">
                  <wp:align>left</wp:align>
                </wp:positionH>
                <wp:positionV relativeFrom="paragraph">
                  <wp:posOffset>304800</wp:posOffset>
                </wp:positionV>
                <wp:extent cx="5041900" cy="1809750"/>
                <wp:effectExtent l="0" t="0" r="0" b="0"/>
                <wp:wrapNone/>
                <wp:docPr id="12" name="TextBox 11">
                  <a:extLst xmlns:a="http://schemas.openxmlformats.org/drawingml/2006/main">
                    <a:ext uri="{FF2B5EF4-FFF2-40B4-BE49-F238E27FC236}">
                      <a16:creationId xmlns:a16="http://schemas.microsoft.com/office/drawing/2014/main" id="{80A682EB-168E-DCAF-645F-AC3BE6145389}"/>
                    </a:ext>
                  </a:extLst>
                </wp:docPr>
                <wp:cNvGraphicFramePr/>
                <a:graphic xmlns:a="http://schemas.openxmlformats.org/drawingml/2006/main">
                  <a:graphicData uri="http://schemas.microsoft.com/office/word/2010/wordprocessingShape">
                    <wps:wsp>
                      <wps:cNvSpPr txBox="1"/>
                      <wps:spPr>
                        <a:xfrm flipH="1">
                          <a:off x="0" y="0"/>
                          <a:ext cx="5041900" cy="1809750"/>
                        </a:xfrm>
                        <a:prstGeom prst="rect">
                          <a:avLst/>
                        </a:prstGeom>
                        <a:noFill/>
                      </wps:spPr>
                      <wps:txbx>
                        <w:txbxContent>
                          <w:p w14:paraId="594D2351" w14:textId="77777777"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Name: Milena Adzhemova</w:t>
                            </w:r>
                          </w:p>
                          <w:p w14:paraId="7F50B10A" w14:textId="77777777"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University: University of Wales TSD</w:t>
                            </w:r>
                          </w:p>
                          <w:p w14:paraId="2E30810B" w14:textId="0FD942A0" w:rsidR="00914D60" w:rsidRPr="00F16AD9" w:rsidRDefault="00914D60" w:rsidP="00914D60">
                            <w:pPr>
                              <w:pStyle w:val="ListParagraph"/>
                              <w:numPr>
                                <w:ilvl w:val="0"/>
                                <w:numId w:val="2"/>
                              </w:numPr>
                              <w:spacing w:after="0"/>
                              <w:jc w:val="left"/>
                              <w:rPr>
                                <w:rFonts w:ascii="Arial Narrow" w:hAnsi="Arial Narrow"/>
                                <w:kern w:val="24"/>
                                <w:sz w:val="32"/>
                                <w:szCs w:val="32"/>
                              </w:rPr>
                            </w:pPr>
                            <w:r w:rsidRPr="00F16AD9">
                              <w:rPr>
                                <w:rFonts w:ascii="Arial Narrow" w:hAnsi="Arial Narrow" w:cs="Arial"/>
                                <w:noProof/>
                                <w:sz w:val="32"/>
                                <w:szCs w:val="32"/>
                              </w:rPr>
                              <w:t>Module Code</w:t>
                            </w:r>
                            <w:r w:rsidRPr="00F16AD9">
                              <w:rPr>
                                <w:rFonts w:ascii="Arial Narrow" w:hAnsi="Arial Narrow"/>
                                <w:kern w:val="24"/>
                                <w:sz w:val="32"/>
                                <w:szCs w:val="32"/>
                              </w:rPr>
                              <w:t xml:space="preserve"> - LCBB400</w:t>
                            </w:r>
                            <w:r>
                              <w:rPr>
                                <w:rFonts w:ascii="Arial Narrow" w:hAnsi="Arial Narrow"/>
                                <w:kern w:val="24"/>
                                <w:sz w:val="32"/>
                                <w:szCs w:val="32"/>
                              </w:rPr>
                              <w:t>2</w:t>
                            </w:r>
                          </w:p>
                          <w:p w14:paraId="15D34815" w14:textId="3D0C5E9B"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 xml:space="preserve">Lecturer:  </w:t>
                            </w:r>
                            <w:r w:rsidR="003E5130">
                              <w:rPr>
                                <w:rFonts w:ascii="Arial Narrow" w:hAnsi="Arial Narrow"/>
                                <w:kern w:val="24"/>
                                <w:sz w:val="32"/>
                                <w:szCs w:val="32"/>
                              </w:rPr>
                              <w:t xml:space="preserve">Dr. </w:t>
                            </w:r>
                            <w:proofErr w:type="spellStart"/>
                            <w:r w:rsidR="003E5130">
                              <w:rPr>
                                <w:rFonts w:ascii="Arial Narrow" w:hAnsi="Arial Narrow"/>
                                <w:kern w:val="24"/>
                                <w:sz w:val="32"/>
                                <w:szCs w:val="32"/>
                              </w:rPr>
                              <w:t>Akinseye</w:t>
                            </w:r>
                            <w:proofErr w:type="spellEnd"/>
                            <w:r w:rsidR="003E5130">
                              <w:rPr>
                                <w:rFonts w:ascii="Arial Narrow" w:hAnsi="Arial Narrow"/>
                                <w:kern w:val="24"/>
                                <w:sz w:val="32"/>
                                <w:szCs w:val="32"/>
                              </w:rPr>
                              <w:t xml:space="preserve"> Aluko</w:t>
                            </w:r>
                          </w:p>
                          <w:p w14:paraId="6581133C" w14:textId="5EB97F33"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 xml:space="preserve">Date: </w:t>
                            </w:r>
                            <w:r>
                              <w:rPr>
                                <w:rFonts w:ascii="Arial Narrow" w:hAnsi="Arial Narrow"/>
                                <w:kern w:val="24"/>
                                <w:sz w:val="32"/>
                                <w:szCs w:val="32"/>
                              </w:rPr>
                              <w:t>1</w:t>
                            </w:r>
                            <w:r w:rsidRPr="008A3AFA">
                              <w:rPr>
                                <w:rFonts w:ascii="Arial Narrow" w:hAnsi="Arial Narrow"/>
                                <w:kern w:val="24"/>
                                <w:sz w:val="32"/>
                                <w:szCs w:val="32"/>
                              </w:rPr>
                              <w:t>.</w:t>
                            </w:r>
                            <w:r>
                              <w:rPr>
                                <w:rFonts w:ascii="Arial Narrow" w:hAnsi="Arial Narrow"/>
                                <w:kern w:val="24"/>
                                <w:sz w:val="32"/>
                                <w:szCs w:val="32"/>
                              </w:rPr>
                              <w:t>12</w:t>
                            </w:r>
                            <w:r w:rsidRPr="008A3AFA">
                              <w:rPr>
                                <w:rFonts w:ascii="Arial Narrow" w:hAnsi="Arial Narrow"/>
                                <w:kern w:val="24"/>
                                <w:sz w:val="32"/>
                                <w:szCs w:val="32"/>
                              </w:rPr>
                              <w:t>.2022</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2259D97" id="_x0000_t202" coordsize="21600,21600" o:spt="202" path="m,l,21600r21600,l21600,xe">
                <v:stroke joinstyle="miter"/>
                <v:path gradientshapeok="t" o:connecttype="rect"/>
              </v:shapetype>
              <v:shape id="TextBox 11" o:spid="_x0000_s1026" type="#_x0000_t202" style="position:absolute;left:0;text-align:left;margin-left:0;margin-top:24pt;width:397pt;height:142.5pt;flip:x;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" filled="f" stroked="f">
                <v:textbox>
                  <w:txbxContent>
                    <w:p w14:paraId="594D2351" w14:textId="77777777"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Name: Milena Adzhemova</w:t>
                      </w:r>
                    </w:p>
                    <w:p w14:paraId="7F50B10A" w14:textId="77777777"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University: University of Wales TSD</w:t>
                      </w:r>
                    </w:p>
                    <w:p w14:paraId="2E30810B" w14:textId="0FD942A0" w:rsidR="00914D60" w:rsidRPr="00F16AD9" w:rsidRDefault="00914D60" w:rsidP="00914D60">
                      <w:pPr>
                        <w:pStyle w:val="ListParagraph"/>
                        <w:numPr>
                          <w:ilvl w:val="0"/>
                          <w:numId w:val="2"/>
                        </w:numPr>
                        <w:spacing w:after="0"/>
                        <w:jc w:val="left"/>
                        <w:rPr>
                          <w:rFonts w:ascii="Arial Narrow" w:hAnsi="Arial Narrow"/>
                          <w:kern w:val="24"/>
                          <w:sz w:val="32"/>
                          <w:szCs w:val="32"/>
                        </w:rPr>
                      </w:pPr>
                      <w:r w:rsidRPr="00F16AD9">
                        <w:rPr>
                          <w:rFonts w:ascii="Arial Narrow" w:hAnsi="Arial Narrow" w:cs="Arial"/>
                          <w:noProof/>
                          <w:sz w:val="32"/>
                          <w:szCs w:val="32"/>
                        </w:rPr>
                        <w:t>Module Code</w:t>
                      </w:r>
                      <w:r w:rsidRPr="00F16AD9">
                        <w:rPr>
                          <w:rFonts w:ascii="Arial Narrow" w:hAnsi="Arial Narrow"/>
                          <w:kern w:val="24"/>
                          <w:sz w:val="32"/>
                          <w:szCs w:val="32"/>
                        </w:rPr>
                        <w:t xml:space="preserve"> - LCBB400</w:t>
                      </w:r>
                      <w:r>
                        <w:rPr>
                          <w:rFonts w:ascii="Arial Narrow" w:hAnsi="Arial Narrow"/>
                          <w:kern w:val="24"/>
                          <w:sz w:val="32"/>
                          <w:szCs w:val="32"/>
                        </w:rPr>
                        <w:t>2</w:t>
                      </w:r>
                    </w:p>
                    <w:p w14:paraId="15D34815" w14:textId="3D0C5E9B"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 xml:space="preserve">Lecturer:  </w:t>
                      </w:r>
                      <w:r w:rsidR="003E5130">
                        <w:rPr>
                          <w:rFonts w:ascii="Arial Narrow" w:hAnsi="Arial Narrow"/>
                          <w:kern w:val="24"/>
                          <w:sz w:val="32"/>
                          <w:szCs w:val="32"/>
                        </w:rPr>
                        <w:t xml:space="preserve">Dr. </w:t>
                      </w:r>
                      <w:proofErr w:type="spellStart"/>
                      <w:r w:rsidR="003E5130">
                        <w:rPr>
                          <w:rFonts w:ascii="Arial Narrow" w:hAnsi="Arial Narrow"/>
                          <w:kern w:val="24"/>
                          <w:sz w:val="32"/>
                          <w:szCs w:val="32"/>
                        </w:rPr>
                        <w:t>Akinseye</w:t>
                      </w:r>
                      <w:proofErr w:type="spellEnd"/>
                      <w:r w:rsidR="003E5130">
                        <w:rPr>
                          <w:rFonts w:ascii="Arial Narrow" w:hAnsi="Arial Narrow"/>
                          <w:kern w:val="24"/>
                          <w:sz w:val="32"/>
                          <w:szCs w:val="32"/>
                        </w:rPr>
                        <w:t xml:space="preserve"> Aluko</w:t>
                      </w:r>
                    </w:p>
                    <w:p w14:paraId="6581133C" w14:textId="5EB97F33" w:rsidR="00914D60" w:rsidRPr="008A3AFA" w:rsidRDefault="00914D60" w:rsidP="00914D60">
                      <w:pPr>
                        <w:pStyle w:val="ListParagraph"/>
                        <w:numPr>
                          <w:ilvl w:val="0"/>
                          <w:numId w:val="2"/>
                        </w:numPr>
                        <w:spacing w:after="0"/>
                        <w:jc w:val="left"/>
                        <w:rPr>
                          <w:rFonts w:ascii="Arial Narrow" w:hAnsi="Arial Narrow"/>
                          <w:kern w:val="24"/>
                          <w:sz w:val="32"/>
                          <w:szCs w:val="32"/>
                        </w:rPr>
                      </w:pPr>
                      <w:r w:rsidRPr="008A3AFA">
                        <w:rPr>
                          <w:rFonts w:ascii="Arial Narrow" w:hAnsi="Arial Narrow"/>
                          <w:kern w:val="24"/>
                          <w:sz w:val="32"/>
                          <w:szCs w:val="32"/>
                        </w:rPr>
                        <w:t xml:space="preserve">Date: </w:t>
                      </w:r>
                      <w:r>
                        <w:rPr>
                          <w:rFonts w:ascii="Arial Narrow" w:hAnsi="Arial Narrow"/>
                          <w:kern w:val="24"/>
                          <w:sz w:val="32"/>
                          <w:szCs w:val="32"/>
                        </w:rPr>
                        <w:t>1</w:t>
                      </w:r>
                      <w:r w:rsidRPr="008A3AFA">
                        <w:rPr>
                          <w:rFonts w:ascii="Arial Narrow" w:hAnsi="Arial Narrow"/>
                          <w:kern w:val="24"/>
                          <w:sz w:val="32"/>
                          <w:szCs w:val="32"/>
                        </w:rPr>
                        <w:t>.</w:t>
                      </w:r>
                      <w:r>
                        <w:rPr>
                          <w:rFonts w:ascii="Arial Narrow" w:hAnsi="Arial Narrow"/>
                          <w:kern w:val="24"/>
                          <w:sz w:val="32"/>
                          <w:szCs w:val="32"/>
                        </w:rPr>
                        <w:t>1</w:t>
                      </w:r>
                      <w:r>
                        <w:rPr>
                          <w:rFonts w:ascii="Arial Narrow" w:hAnsi="Arial Narrow"/>
                          <w:kern w:val="24"/>
                          <w:sz w:val="32"/>
                          <w:szCs w:val="32"/>
                        </w:rPr>
                        <w:t>2</w:t>
                      </w:r>
                      <w:r w:rsidRPr="008A3AFA">
                        <w:rPr>
                          <w:rFonts w:ascii="Arial Narrow" w:hAnsi="Arial Narrow"/>
                          <w:kern w:val="24"/>
                          <w:sz w:val="32"/>
                          <w:szCs w:val="32"/>
                        </w:rPr>
                        <w:t>.2022</w:t>
                      </w:r>
                    </w:p>
                  </w:txbxContent>
                </v:textbox>
                <w10:wrap anchorx="margin"/>
              </v:shape>
            </w:pict>
          </mc:Fallback>
        </mc:AlternateContent>
      </w:r>
    </w:p>
    <w:p w14:paraId="7BDECCB7" w14:textId="24A8BE10" w:rsidR="00914D60" w:rsidRPr="00D06BA5" w:rsidRDefault="00914D60" w:rsidP="00914D60">
      <w:pPr>
        <w:jc w:val="center"/>
        <w:rPr>
          <w:rFonts w:ascii="Arial" w:hAnsi="Arial" w:cs="Arial"/>
          <w:kern w:val="24"/>
          <w:sz w:val="32"/>
          <w:szCs w:val="32"/>
        </w:rPr>
      </w:pPr>
    </w:p>
    <w:p w14:paraId="2D608337" w14:textId="77777777" w:rsidR="00914D60" w:rsidRPr="00D06BA5" w:rsidRDefault="00914D60" w:rsidP="00914D60">
      <w:pPr>
        <w:jc w:val="center"/>
        <w:rPr>
          <w:rFonts w:ascii="Arial" w:hAnsi="Arial" w:cs="Arial"/>
          <w:kern w:val="24"/>
          <w:sz w:val="32"/>
          <w:szCs w:val="32"/>
        </w:rPr>
      </w:pPr>
    </w:p>
    <w:p w14:paraId="6A969CD6" w14:textId="77777777" w:rsidR="00914D60" w:rsidRPr="00D06BA5" w:rsidRDefault="00914D60" w:rsidP="00914D60">
      <w:pPr>
        <w:jc w:val="center"/>
        <w:rPr>
          <w:rFonts w:ascii="Arial" w:hAnsi="Arial" w:cs="Arial"/>
          <w:kern w:val="24"/>
          <w:sz w:val="32"/>
          <w:szCs w:val="32"/>
        </w:rPr>
      </w:pPr>
    </w:p>
    <w:p w14:paraId="2F0B9F00" w14:textId="77777777" w:rsidR="00914D60" w:rsidRPr="00D06BA5" w:rsidRDefault="00914D60" w:rsidP="00914D60">
      <w:pPr>
        <w:jc w:val="center"/>
        <w:rPr>
          <w:rFonts w:ascii="Arial" w:hAnsi="Arial" w:cs="Arial"/>
          <w:kern w:val="24"/>
          <w:sz w:val="32"/>
          <w:szCs w:val="32"/>
        </w:rPr>
      </w:pPr>
    </w:p>
    <w:p w14:paraId="6BDF93FF" w14:textId="77777777" w:rsidR="00914D60" w:rsidRPr="00D06BA5" w:rsidRDefault="00914D60" w:rsidP="00914D60">
      <w:pPr>
        <w:jc w:val="center"/>
        <w:rPr>
          <w:rFonts w:ascii="Arial" w:hAnsi="Arial" w:cs="Arial"/>
        </w:rPr>
      </w:pPr>
    </w:p>
    <w:p w14:paraId="7B3D8509" w14:textId="77777777" w:rsidR="00914D60" w:rsidRPr="00D06BA5" w:rsidRDefault="00914D60" w:rsidP="00914D60">
      <w:pPr>
        <w:jc w:val="center"/>
        <w:rPr>
          <w:rFonts w:ascii="Arial" w:hAnsi="Arial" w:cs="Arial"/>
        </w:rPr>
      </w:pPr>
    </w:p>
    <w:p w14:paraId="4FA5C4A9" w14:textId="77777777" w:rsidR="00914D60" w:rsidRDefault="00914D60" w:rsidP="00085331">
      <w:pPr>
        <w:jc w:val="center"/>
        <w:rPr>
          <w:rFonts w:ascii="Arial" w:hAnsi="Arial" w:cs="Arial"/>
          <w:b/>
          <w:bCs/>
          <w:sz w:val="22"/>
        </w:rPr>
      </w:pPr>
    </w:p>
    <w:p w14:paraId="29143E9E" w14:textId="08B303CD" w:rsidR="00085331" w:rsidRDefault="00085331" w:rsidP="00085331">
      <w:pPr>
        <w:rPr>
          <w:rFonts w:ascii="Arial" w:hAnsi="Arial" w:cs="Arial"/>
          <w:b/>
          <w:bCs/>
          <w:sz w:val="22"/>
        </w:rPr>
      </w:pPr>
    </w:p>
    <w:p w14:paraId="56A57F20" w14:textId="4F9EDC73" w:rsidR="00085331" w:rsidRDefault="00085331" w:rsidP="00085331">
      <w:pPr>
        <w:rPr>
          <w:rFonts w:ascii="Arial" w:hAnsi="Arial" w:cs="Arial"/>
          <w:b/>
          <w:bCs/>
          <w:sz w:val="22"/>
        </w:rPr>
      </w:pPr>
    </w:p>
    <w:p w14:paraId="1C7C007F" w14:textId="5C2BBE02" w:rsidR="00085331" w:rsidRDefault="00085331" w:rsidP="00085331">
      <w:pPr>
        <w:rPr>
          <w:rFonts w:ascii="Arial" w:hAnsi="Arial" w:cs="Arial"/>
          <w:b/>
          <w:bCs/>
          <w:sz w:val="22"/>
        </w:rPr>
      </w:pPr>
    </w:p>
    <w:p w14:paraId="2ECB21F7" w14:textId="77777777" w:rsidR="00085331" w:rsidRPr="00085331" w:rsidRDefault="00085331" w:rsidP="00085331">
      <w:pPr>
        <w:jc w:val="center"/>
        <w:rPr>
          <w:rFonts w:ascii="Arial" w:hAnsi="Arial" w:cs="Arial"/>
          <w:sz w:val="22"/>
        </w:rPr>
      </w:pPr>
    </w:p>
    <w:sdt>
      <w:sdtPr>
        <w:rPr>
          <w:rFonts w:ascii="Arial" w:eastAsiaTheme="minorHAnsi" w:hAnsi="Arial" w:cs="Arial"/>
          <w:color w:val="000000" w:themeColor="text1"/>
          <w:sz w:val="22"/>
          <w:szCs w:val="22"/>
        </w:rPr>
        <w:id w:val="-482390674"/>
        <w:docPartObj>
          <w:docPartGallery w:val="Table of Contents"/>
          <w:docPartUnique/>
        </w:docPartObj>
      </w:sdtPr>
      <w:sdtEndPr>
        <w:rPr>
          <w:b/>
          <w:bCs/>
          <w:noProof/>
        </w:rPr>
      </w:sdtEndPr>
      <w:sdtContent>
        <w:p w14:paraId="41E2BF5F" w14:textId="77777777" w:rsidR="00085331" w:rsidRPr="00085331" w:rsidRDefault="00085331" w:rsidP="00085331">
          <w:pPr>
            <w:pStyle w:val="TOCHeading"/>
            <w:spacing w:line="360" w:lineRule="auto"/>
            <w:jc w:val="center"/>
            <w:rPr>
              <w:rFonts w:ascii="Arial" w:hAnsi="Arial" w:cs="Arial"/>
              <w:b/>
              <w:bCs/>
              <w:sz w:val="22"/>
              <w:szCs w:val="22"/>
            </w:rPr>
          </w:pPr>
          <w:r w:rsidRPr="00085331">
            <w:rPr>
              <w:rFonts w:ascii="Arial" w:hAnsi="Arial" w:cs="Arial"/>
              <w:b/>
              <w:bCs/>
              <w:sz w:val="22"/>
              <w:szCs w:val="22"/>
            </w:rPr>
            <w:t>Table of Contents</w:t>
          </w:r>
        </w:p>
        <w:p w14:paraId="32D473A8" w14:textId="77777777" w:rsidR="00085331" w:rsidRPr="00085331" w:rsidRDefault="00085331" w:rsidP="00085331">
          <w:pPr>
            <w:rPr>
              <w:rFonts w:ascii="Arial" w:hAnsi="Arial" w:cs="Arial"/>
              <w:sz w:val="22"/>
            </w:rPr>
          </w:pPr>
        </w:p>
        <w:p w14:paraId="1B65CD33" w14:textId="36119DAA" w:rsidR="00085331" w:rsidRPr="00085331" w:rsidRDefault="00085331" w:rsidP="00085331">
          <w:pPr>
            <w:pStyle w:val="TOC1"/>
            <w:tabs>
              <w:tab w:val="right" w:leader="dot" w:pos="9016"/>
            </w:tabs>
            <w:rPr>
              <w:rFonts w:ascii="Arial" w:eastAsiaTheme="minorEastAsia" w:hAnsi="Arial" w:cs="Arial"/>
              <w:noProof/>
              <w:color w:val="auto"/>
              <w:sz w:val="22"/>
            </w:rPr>
          </w:pPr>
          <w:r w:rsidRPr="00085331">
            <w:rPr>
              <w:rFonts w:ascii="Arial" w:hAnsi="Arial" w:cs="Arial"/>
              <w:sz w:val="22"/>
            </w:rPr>
            <w:fldChar w:fldCharType="begin"/>
          </w:r>
          <w:r w:rsidRPr="00085331">
            <w:rPr>
              <w:rFonts w:ascii="Arial" w:hAnsi="Arial" w:cs="Arial"/>
              <w:sz w:val="22"/>
            </w:rPr>
            <w:instrText xml:space="preserve"> TOC \o "1-3" \h \z \u </w:instrText>
          </w:r>
          <w:r w:rsidRPr="00085331">
            <w:rPr>
              <w:rFonts w:ascii="Arial" w:hAnsi="Arial" w:cs="Arial"/>
              <w:sz w:val="22"/>
            </w:rPr>
            <w:fldChar w:fldCharType="separate"/>
          </w:r>
          <w:hyperlink w:anchor="_Toc120290964" w:history="1">
            <w:r w:rsidRPr="00085331">
              <w:rPr>
                <w:rStyle w:val="Hyperlink"/>
                <w:rFonts w:ascii="Arial" w:hAnsi="Arial" w:cs="Arial"/>
                <w:noProof/>
                <w:sz w:val="22"/>
              </w:rPr>
              <w:t>Introduction</w:t>
            </w:r>
            <w:r w:rsidRPr="00085331">
              <w:rPr>
                <w:rFonts w:ascii="Arial" w:hAnsi="Arial" w:cs="Arial"/>
                <w:noProof/>
                <w:webHidden/>
                <w:sz w:val="22"/>
              </w:rPr>
              <w:tab/>
            </w:r>
            <w:r w:rsidRPr="00085331">
              <w:rPr>
                <w:rFonts w:ascii="Arial" w:hAnsi="Arial" w:cs="Arial"/>
                <w:noProof/>
                <w:webHidden/>
                <w:sz w:val="22"/>
              </w:rPr>
              <w:fldChar w:fldCharType="begin"/>
            </w:r>
            <w:r w:rsidRPr="00085331">
              <w:rPr>
                <w:rFonts w:ascii="Arial" w:hAnsi="Arial" w:cs="Arial"/>
                <w:noProof/>
                <w:webHidden/>
                <w:sz w:val="22"/>
              </w:rPr>
              <w:instrText xml:space="preserve"> PAGEREF _Toc120290964 \h </w:instrText>
            </w:r>
            <w:r w:rsidRPr="00085331">
              <w:rPr>
                <w:rFonts w:ascii="Arial" w:hAnsi="Arial" w:cs="Arial"/>
                <w:noProof/>
                <w:webHidden/>
                <w:sz w:val="22"/>
              </w:rPr>
            </w:r>
            <w:r w:rsidRPr="00085331">
              <w:rPr>
                <w:rFonts w:ascii="Arial" w:hAnsi="Arial" w:cs="Arial"/>
                <w:noProof/>
                <w:webHidden/>
                <w:sz w:val="22"/>
              </w:rPr>
              <w:fldChar w:fldCharType="separate"/>
            </w:r>
            <w:r w:rsidR="003E5130">
              <w:rPr>
                <w:rFonts w:ascii="Arial" w:hAnsi="Arial" w:cs="Arial"/>
                <w:noProof/>
                <w:webHidden/>
                <w:sz w:val="22"/>
              </w:rPr>
              <w:t>3</w:t>
            </w:r>
            <w:r w:rsidRPr="00085331">
              <w:rPr>
                <w:rFonts w:ascii="Arial" w:hAnsi="Arial" w:cs="Arial"/>
                <w:noProof/>
                <w:webHidden/>
                <w:sz w:val="22"/>
              </w:rPr>
              <w:fldChar w:fldCharType="end"/>
            </w:r>
          </w:hyperlink>
        </w:p>
        <w:p w14:paraId="2B7DD6D9" w14:textId="24AFCB9A"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65" w:history="1">
            <w:r w:rsidR="00085331" w:rsidRPr="00085331">
              <w:rPr>
                <w:rStyle w:val="Hyperlink"/>
                <w:rFonts w:ascii="Arial" w:hAnsi="Arial" w:cs="Arial"/>
                <w:noProof/>
                <w:sz w:val="22"/>
              </w:rPr>
              <w:t>Community Engagement</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_Toc120290965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3</w:t>
            </w:r>
            <w:r w:rsidR="00085331" w:rsidRPr="00085331">
              <w:rPr>
                <w:rFonts w:ascii="Arial" w:hAnsi="Arial" w:cs="Arial"/>
                <w:noProof/>
                <w:webHidden/>
                <w:sz w:val="22"/>
              </w:rPr>
              <w:fldChar w:fldCharType="end"/>
            </w:r>
          </w:hyperlink>
        </w:p>
        <w:p w14:paraId="15A81AF3" w14:textId="54015E18"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66" w:history="1">
            <w:r w:rsidR="00085331" w:rsidRPr="00085331">
              <w:rPr>
                <w:rStyle w:val="Hyperlink"/>
                <w:rFonts w:ascii="Arial" w:hAnsi="Arial" w:cs="Arial"/>
                <w:noProof/>
                <w:sz w:val="22"/>
              </w:rPr>
              <w:t>The Selected Project and Practices</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_Toc120290966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4</w:t>
            </w:r>
            <w:r w:rsidR="00085331" w:rsidRPr="00085331">
              <w:rPr>
                <w:rFonts w:ascii="Arial" w:hAnsi="Arial" w:cs="Arial"/>
                <w:noProof/>
                <w:webHidden/>
                <w:sz w:val="22"/>
              </w:rPr>
              <w:fldChar w:fldCharType="end"/>
            </w:r>
          </w:hyperlink>
        </w:p>
        <w:p w14:paraId="6D1EA721" w14:textId="7AA2F611"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67" w:history="1">
            <w:r w:rsidR="00085331" w:rsidRPr="00085331">
              <w:rPr>
                <w:rStyle w:val="Hyperlink"/>
                <w:rFonts w:ascii="Arial" w:hAnsi="Arial" w:cs="Arial"/>
                <w:noProof/>
                <w:sz w:val="22"/>
              </w:rPr>
              <w:t>Relationships Among the Stakeholders</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_Toc120290967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5</w:t>
            </w:r>
            <w:r w:rsidR="00085331" w:rsidRPr="00085331">
              <w:rPr>
                <w:rFonts w:ascii="Arial" w:hAnsi="Arial" w:cs="Arial"/>
                <w:noProof/>
                <w:webHidden/>
                <w:sz w:val="22"/>
              </w:rPr>
              <w:fldChar w:fldCharType="end"/>
            </w:r>
          </w:hyperlink>
        </w:p>
        <w:p w14:paraId="4BFE886F" w14:textId="605FB0E6"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68" w:history="1">
            <w:r w:rsidR="00085331" w:rsidRPr="00085331">
              <w:rPr>
                <w:rStyle w:val="Hyperlink"/>
                <w:rFonts w:ascii="Arial" w:hAnsi="Arial" w:cs="Arial"/>
                <w:noProof/>
                <w:sz w:val="22"/>
              </w:rPr>
              <w:t>Use of Social Media Platforms</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_Toc120290968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5</w:t>
            </w:r>
            <w:r w:rsidR="00085331" w:rsidRPr="00085331">
              <w:rPr>
                <w:rFonts w:ascii="Arial" w:hAnsi="Arial" w:cs="Arial"/>
                <w:noProof/>
                <w:webHidden/>
                <w:sz w:val="22"/>
              </w:rPr>
              <w:fldChar w:fldCharType="end"/>
            </w:r>
          </w:hyperlink>
        </w:p>
        <w:p w14:paraId="7EC4F671" w14:textId="257CC229"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69" w:history="1">
            <w:r w:rsidR="00085331" w:rsidRPr="00085331">
              <w:rPr>
                <w:rStyle w:val="Hyperlink"/>
                <w:rFonts w:ascii="Arial" w:hAnsi="Arial" w:cs="Arial"/>
                <w:noProof/>
                <w:sz w:val="22"/>
              </w:rPr>
              <w:t>Essential Skills and Strategies</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_Toc120290969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6</w:t>
            </w:r>
            <w:r w:rsidR="00085331" w:rsidRPr="00085331">
              <w:rPr>
                <w:rFonts w:ascii="Arial" w:hAnsi="Arial" w:cs="Arial"/>
                <w:noProof/>
                <w:webHidden/>
                <w:sz w:val="22"/>
              </w:rPr>
              <w:fldChar w:fldCharType="end"/>
            </w:r>
          </w:hyperlink>
        </w:p>
        <w:p w14:paraId="652F515F" w14:textId="09ACC496"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70" w:history="1">
            <w:r w:rsidR="00085331" w:rsidRPr="00085331">
              <w:rPr>
                <w:rStyle w:val="Hyperlink"/>
                <w:rFonts w:ascii="Arial" w:hAnsi="Arial" w:cs="Arial"/>
                <w:noProof/>
                <w:sz w:val="22"/>
              </w:rPr>
              <w:t>The Approach of the Community Engagement Practitioner</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_Toc120290970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7</w:t>
            </w:r>
            <w:r w:rsidR="00085331" w:rsidRPr="00085331">
              <w:rPr>
                <w:rFonts w:ascii="Arial" w:hAnsi="Arial" w:cs="Arial"/>
                <w:noProof/>
                <w:webHidden/>
                <w:sz w:val="22"/>
              </w:rPr>
              <w:fldChar w:fldCharType="end"/>
            </w:r>
          </w:hyperlink>
        </w:p>
        <w:p w14:paraId="6351A152" w14:textId="11BC105D"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71" w:history="1">
            <w:r w:rsidR="00085331" w:rsidRPr="00085331">
              <w:rPr>
                <w:rStyle w:val="Hyperlink"/>
                <w:rFonts w:ascii="Arial" w:hAnsi="Arial" w:cs="Arial"/>
                <w:noProof/>
                <w:sz w:val="22"/>
              </w:rPr>
              <w:t>Conclusion and Recommendation</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_Toc120290971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7</w:t>
            </w:r>
            <w:r w:rsidR="00085331" w:rsidRPr="00085331">
              <w:rPr>
                <w:rFonts w:ascii="Arial" w:hAnsi="Arial" w:cs="Arial"/>
                <w:noProof/>
                <w:webHidden/>
                <w:sz w:val="22"/>
              </w:rPr>
              <w:fldChar w:fldCharType="end"/>
            </w:r>
          </w:hyperlink>
        </w:p>
        <w:p w14:paraId="4DA6B1A3" w14:textId="1C7742A0" w:rsidR="00085331" w:rsidRPr="00085331" w:rsidRDefault="00000000" w:rsidP="00085331">
          <w:pPr>
            <w:pStyle w:val="TOC1"/>
            <w:tabs>
              <w:tab w:val="right" w:leader="dot" w:pos="9016"/>
            </w:tabs>
            <w:rPr>
              <w:rFonts w:ascii="Arial" w:eastAsiaTheme="minorEastAsia" w:hAnsi="Arial" w:cs="Arial"/>
              <w:noProof/>
              <w:color w:val="auto"/>
              <w:sz w:val="22"/>
            </w:rPr>
          </w:pPr>
          <w:hyperlink w:anchor="_Toc120290972" w:history="1">
            <w:r w:rsidR="00085331" w:rsidRPr="00085331">
              <w:rPr>
                <w:rStyle w:val="Hyperlink"/>
                <w:rFonts w:ascii="Arial" w:hAnsi="Arial" w:cs="Arial"/>
                <w:noProof/>
                <w:sz w:val="22"/>
              </w:rPr>
              <w:t>References</w:t>
            </w:r>
            <w:r w:rsidR="00085331" w:rsidRPr="00085331">
              <w:rPr>
                <w:rFonts w:ascii="Arial" w:hAnsi="Arial" w:cs="Arial"/>
                <w:noProof/>
                <w:webHidden/>
                <w:sz w:val="22"/>
              </w:rPr>
              <w:tab/>
            </w:r>
            <w:r w:rsidR="00085331" w:rsidRPr="00085331">
              <w:rPr>
                <w:rFonts w:ascii="Arial" w:hAnsi="Arial" w:cs="Arial"/>
                <w:noProof/>
                <w:webHidden/>
                <w:sz w:val="22"/>
              </w:rPr>
              <w:fldChar w:fldCharType="begin"/>
            </w:r>
            <w:r w:rsidR="00085331" w:rsidRPr="00085331">
              <w:rPr>
                <w:rFonts w:ascii="Arial" w:hAnsi="Arial" w:cs="Arial"/>
                <w:noProof/>
                <w:webHidden/>
                <w:sz w:val="22"/>
              </w:rPr>
              <w:instrText xml:space="preserve"> PAGEREF _Toc120290972 \h </w:instrText>
            </w:r>
            <w:r w:rsidR="00085331" w:rsidRPr="00085331">
              <w:rPr>
                <w:rFonts w:ascii="Arial" w:hAnsi="Arial" w:cs="Arial"/>
                <w:noProof/>
                <w:webHidden/>
                <w:sz w:val="22"/>
              </w:rPr>
            </w:r>
            <w:r w:rsidR="00085331" w:rsidRPr="00085331">
              <w:rPr>
                <w:rFonts w:ascii="Arial" w:hAnsi="Arial" w:cs="Arial"/>
                <w:noProof/>
                <w:webHidden/>
                <w:sz w:val="22"/>
              </w:rPr>
              <w:fldChar w:fldCharType="separate"/>
            </w:r>
            <w:r w:rsidR="003E5130">
              <w:rPr>
                <w:rFonts w:ascii="Arial" w:hAnsi="Arial" w:cs="Arial"/>
                <w:noProof/>
                <w:webHidden/>
                <w:sz w:val="22"/>
              </w:rPr>
              <w:t>9</w:t>
            </w:r>
            <w:r w:rsidR="00085331" w:rsidRPr="00085331">
              <w:rPr>
                <w:rFonts w:ascii="Arial" w:hAnsi="Arial" w:cs="Arial"/>
                <w:noProof/>
                <w:webHidden/>
                <w:sz w:val="22"/>
              </w:rPr>
              <w:fldChar w:fldCharType="end"/>
            </w:r>
          </w:hyperlink>
        </w:p>
        <w:p w14:paraId="0EF994CE" w14:textId="77777777" w:rsidR="00085331" w:rsidRPr="00085331" w:rsidRDefault="00085331" w:rsidP="00085331">
          <w:pPr>
            <w:rPr>
              <w:rFonts w:ascii="Arial" w:hAnsi="Arial" w:cs="Arial"/>
              <w:sz w:val="22"/>
            </w:rPr>
          </w:pPr>
          <w:r w:rsidRPr="00085331">
            <w:rPr>
              <w:rFonts w:ascii="Arial" w:hAnsi="Arial" w:cs="Arial"/>
              <w:b/>
              <w:bCs/>
              <w:noProof/>
              <w:sz w:val="22"/>
            </w:rPr>
            <w:fldChar w:fldCharType="end"/>
          </w:r>
        </w:p>
      </w:sdtContent>
    </w:sdt>
    <w:p w14:paraId="17CE6D78" w14:textId="77777777" w:rsidR="00085331" w:rsidRPr="00085331" w:rsidRDefault="00085331" w:rsidP="00085331">
      <w:pPr>
        <w:jc w:val="center"/>
        <w:rPr>
          <w:rFonts w:ascii="Arial" w:hAnsi="Arial" w:cs="Arial"/>
          <w:sz w:val="22"/>
        </w:rPr>
      </w:pPr>
    </w:p>
    <w:p w14:paraId="654A44C5" w14:textId="77777777" w:rsidR="00085331" w:rsidRPr="00085331" w:rsidRDefault="00085331" w:rsidP="00085331">
      <w:pPr>
        <w:jc w:val="center"/>
        <w:rPr>
          <w:rFonts w:ascii="Arial" w:hAnsi="Arial" w:cs="Arial"/>
          <w:sz w:val="22"/>
        </w:rPr>
      </w:pPr>
    </w:p>
    <w:p w14:paraId="6D3D31E6" w14:textId="77777777" w:rsidR="00085331" w:rsidRPr="00085331" w:rsidRDefault="00085331" w:rsidP="00085331">
      <w:pPr>
        <w:jc w:val="center"/>
        <w:rPr>
          <w:rFonts w:ascii="Arial" w:hAnsi="Arial" w:cs="Arial"/>
          <w:sz w:val="22"/>
        </w:rPr>
      </w:pPr>
    </w:p>
    <w:p w14:paraId="5FB039D1" w14:textId="77777777" w:rsidR="00085331" w:rsidRPr="00085331" w:rsidRDefault="00085331" w:rsidP="00085331">
      <w:pPr>
        <w:jc w:val="center"/>
        <w:rPr>
          <w:rFonts w:ascii="Arial" w:hAnsi="Arial" w:cs="Arial"/>
          <w:sz w:val="22"/>
        </w:rPr>
      </w:pPr>
    </w:p>
    <w:p w14:paraId="06A6EB1C" w14:textId="77777777" w:rsidR="00085331" w:rsidRPr="00085331" w:rsidRDefault="00085331" w:rsidP="00085331">
      <w:pPr>
        <w:jc w:val="center"/>
        <w:rPr>
          <w:rFonts w:ascii="Arial" w:hAnsi="Arial" w:cs="Arial"/>
          <w:sz w:val="22"/>
        </w:rPr>
      </w:pPr>
    </w:p>
    <w:p w14:paraId="4C963F07" w14:textId="77777777" w:rsidR="00085331" w:rsidRPr="00085331" w:rsidRDefault="00085331" w:rsidP="00085331">
      <w:pPr>
        <w:jc w:val="center"/>
        <w:rPr>
          <w:rFonts w:ascii="Arial" w:hAnsi="Arial" w:cs="Arial"/>
          <w:sz w:val="22"/>
        </w:rPr>
      </w:pPr>
    </w:p>
    <w:p w14:paraId="3AFCCFAD" w14:textId="77777777" w:rsidR="00085331" w:rsidRPr="00085331" w:rsidRDefault="00085331" w:rsidP="00085331">
      <w:pPr>
        <w:jc w:val="center"/>
        <w:rPr>
          <w:rFonts w:ascii="Arial" w:hAnsi="Arial" w:cs="Arial"/>
          <w:sz w:val="22"/>
        </w:rPr>
      </w:pPr>
    </w:p>
    <w:p w14:paraId="0FB7FB6A" w14:textId="77777777" w:rsidR="00085331" w:rsidRPr="00085331" w:rsidRDefault="00085331" w:rsidP="00085331">
      <w:pPr>
        <w:jc w:val="center"/>
        <w:rPr>
          <w:rFonts w:ascii="Arial" w:hAnsi="Arial" w:cs="Arial"/>
          <w:sz w:val="22"/>
        </w:rPr>
      </w:pPr>
    </w:p>
    <w:p w14:paraId="2034C3A3" w14:textId="77777777" w:rsidR="00085331" w:rsidRPr="00085331" w:rsidRDefault="00085331" w:rsidP="00085331">
      <w:pPr>
        <w:jc w:val="center"/>
        <w:rPr>
          <w:rFonts w:ascii="Arial" w:hAnsi="Arial" w:cs="Arial"/>
          <w:sz w:val="22"/>
        </w:rPr>
      </w:pPr>
    </w:p>
    <w:p w14:paraId="23420B8C" w14:textId="77777777" w:rsidR="00085331" w:rsidRPr="00085331" w:rsidRDefault="00085331" w:rsidP="00085331">
      <w:pPr>
        <w:jc w:val="center"/>
        <w:rPr>
          <w:rFonts w:ascii="Arial" w:hAnsi="Arial" w:cs="Arial"/>
          <w:sz w:val="22"/>
        </w:rPr>
      </w:pPr>
    </w:p>
    <w:p w14:paraId="37C1D0B4" w14:textId="77777777" w:rsidR="00085331" w:rsidRPr="00085331" w:rsidRDefault="00085331" w:rsidP="00085331">
      <w:pPr>
        <w:jc w:val="center"/>
        <w:rPr>
          <w:rFonts w:ascii="Arial" w:hAnsi="Arial" w:cs="Arial"/>
          <w:sz w:val="22"/>
        </w:rPr>
      </w:pPr>
    </w:p>
    <w:p w14:paraId="217050E0" w14:textId="77777777" w:rsidR="00085331" w:rsidRPr="00085331" w:rsidRDefault="00085331" w:rsidP="00085331">
      <w:pPr>
        <w:rPr>
          <w:rFonts w:ascii="Arial" w:hAnsi="Arial" w:cs="Arial"/>
          <w:sz w:val="22"/>
        </w:rPr>
      </w:pPr>
    </w:p>
    <w:p w14:paraId="6CDB5FCA" w14:textId="77777777" w:rsidR="00085331" w:rsidRPr="00085331" w:rsidRDefault="00085331" w:rsidP="00085331">
      <w:pPr>
        <w:jc w:val="center"/>
        <w:rPr>
          <w:rFonts w:ascii="Arial" w:hAnsi="Arial" w:cs="Arial"/>
          <w:sz w:val="22"/>
        </w:rPr>
      </w:pPr>
    </w:p>
    <w:p w14:paraId="36F6ADFD" w14:textId="77777777" w:rsidR="00085331" w:rsidRPr="00085331" w:rsidRDefault="00085331" w:rsidP="00085331">
      <w:pPr>
        <w:pStyle w:val="Heading1"/>
        <w:rPr>
          <w:rFonts w:ascii="Arial" w:hAnsi="Arial" w:cs="Arial"/>
          <w:sz w:val="22"/>
          <w:szCs w:val="22"/>
        </w:rPr>
      </w:pPr>
      <w:bookmarkStart w:id="0" w:name="_Toc120290964"/>
      <w:r w:rsidRPr="00085331">
        <w:rPr>
          <w:rFonts w:ascii="Arial" w:hAnsi="Arial" w:cs="Arial"/>
          <w:sz w:val="22"/>
          <w:szCs w:val="22"/>
        </w:rPr>
        <w:t>Introduction</w:t>
      </w:r>
      <w:bookmarkEnd w:id="0"/>
    </w:p>
    <w:p w14:paraId="307D8213" w14:textId="77777777" w:rsidR="00085331" w:rsidRPr="00085331" w:rsidRDefault="00085331" w:rsidP="00085331">
      <w:pPr>
        <w:rPr>
          <w:rFonts w:ascii="Arial" w:hAnsi="Arial" w:cs="Arial"/>
          <w:sz w:val="22"/>
        </w:rPr>
      </w:pPr>
      <w:r w:rsidRPr="00085331">
        <w:rPr>
          <w:rFonts w:ascii="Arial" w:hAnsi="Arial" w:cs="Arial"/>
          <w:sz w:val="22"/>
        </w:rPr>
        <w:t xml:space="preserve"> "Community engagement," "civic engagement," and "public participation" are all synonyms for the same thing: the drive to create a good change in one's community via action by bringing together one's expertise, abilities, ideals, and motivations (Wilson, 2019). There are a wide variety of models for community engagement to go along with the numerous approaches</w:t>
      </w:r>
      <w:r w:rsidRPr="00085331">
        <w:rPr>
          <w:rFonts w:ascii="Arial" w:hAnsi="Arial" w:cs="Arial"/>
          <w:color w:val="000000"/>
          <w:sz w:val="22"/>
        </w:rPr>
        <w:t xml:space="preserve"> </w:t>
      </w:r>
      <w:r w:rsidRPr="00085331">
        <w:rPr>
          <w:rFonts w:ascii="Arial" w:hAnsi="Arial" w:cs="Arial"/>
          <w:sz w:val="22"/>
        </w:rPr>
        <w:t xml:space="preserve">(Waterton and Watson, 2020). Projects that focus on connection development, community education, direct service to those in need, and other similar </w:t>
      </w:r>
      <w:proofErr w:type="spellStart"/>
      <w:r w:rsidRPr="00085331">
        <w:rPr>
          <w:rFonts w:ascii="Arial" w:hAnsi="Arial" w:cs="Arial"/>
          <w:sz w:val="22"/>
        </w:rPr>
        <w:t>endeavours</w:t>
      </w:r>
      <w:proofErr w:type="spellEnd"/>
      <w:r w:rsidRPr="00085331">
        <w:rPr>
          <w:rFonts w:ascii="Arial" w:hAnsi="Arial" w:cs="Arial"/>
          <w:sz w:val="22"/>
        </w:rPr>
        <w:t xml:space="preserve"> are just a few examples of the types of models that can be used to effect positive change in the world.</w:t>
      </w:r>
    </w:p>
    <w:p w14:paraId="3B19BFDF" w14:textId="5268CD1C" w:rsidR="00085331" w:rsidRPr="00085331" w:rsidRDefault="00085331" w:rsidP="00085331">
      <w:pPr>
        <w:rPr>
          <w:rFonts w:ascii="Arial" w:hAnsi="Arial" w:cs="Arial"/>
          <w:sz w:val="22"/>
        </w:rPr>
      </w:pPr>
      <w:r w:rsidRPr="00085331">
        <w:rPr>
          <w:rFonts w:ascii="Arial" w:hAnsi="Arial" w:cs="Arial"/>
          <w:sz w:val="22"/>
        </w:rPr>
        <w:t xml:space="preserve">The study will take the point of view of a community engagement practitioner and examine a project that took place during the Commonwealth Games, in 2022. Following a brief introduction to the notion of community engagement, the report will detail the selected project and the that were followed, such as community engagement principles, standards, and stakeholder participation. The next section of the report will focus on why it's so important for everyone involved in the project to get along well with one another. Report's latter sections demonstrate the importance of and strategies for </w:t>
      </w:r>
      <w:proofErr w:type="spellStart"/>
      <w:r w:rsidRPr="00085331">
        <w:rPr>
          <w:rFonts w:ascii="Arial" w:hAnsi="Arial" w:cs="Arial"/>
          <w:sz w:val="22"/>
        </w:rPr>
        <w:t>utilising</w:t>
      </w:r>
      <w:proofErr w:type="spellEnd"/>
      <w:r w:rsidRPr="00085331">
        <w:rPr>
          <w:rFonts w:ascii="Arial" w:hAnsi="Arial" w:cs="Arial"/>
          <w:sz w:val="22"/>
        </w:rPr>
        <w:t xml:space="preserve"> social media. Finally, the report will include the skills and techniques that will be required to complete the project successfully. Finally, the report will suggest steps that a community engagement practitioner could take to assist the group in achieving its goals.</w:t>
      </w:r>
    </w:p>
    <w:p w14:paraId="7E831E8B" w14:textId="77777777" w:rsidR="00085331" w:rsidRPr="00085331" w:rsidRDefault="00085331" w:rsidP="00085331">
      <w:pPr>
        <w:pStyle w:val="Heading1"/>
        <w:rPr>
          <w:rFonts w:ascii="Arial" w:hAnsi="Arial" w:cs="Arial"/>
          <w:sz w:val="22"/>
          <w:szCs w:val="22"/>
        </w:rPr>
      </w:pPr>
      <w:bookmarkStart w:id="1" w:name="_Toc120290965"/>
      <w:r w:rsidRPr="00085331">
        <w:rPr>
          <w:rFonts w:ascii="Arial" w:hAnsi="Arial" w:cs="Arial"/>
          <w:sz w:val="22"/>
          <w:szCs w:val="22"/>
        </w:rPr>
        <w:t>Community Engagement</w:t>
      </w:r>
      <w:bookmarkEnd w:id="1"/>
    </w:p>
    <w:p w14:paraId="0737C32B" w14:textId="77777777" w:rsidR="00085331" w:rsidRPr="00085331" w:rsidRDefault="00085331" w:rsidP="00085331">
      <w:pPr>
        <w:rPr>
          <w:rFonts w:ascii="Arial" w:hAnsi="Arial" w:cs="Arial"/>
          <w:sz w:val="22"/>
        </w:rPr>
      </w:pPr>
      <w:r w:rsidRPr="00085331">
        <w:rPr>
          <w:rFonts w:ascii="Arial" w:hAnsi="Arial" w:cs="Arial"/>
          <w:sz w:val="22"/>
        </w:rPr>
        <w:t xml:space="preserve">Community engagement is a creative procedure that </w:t>
      </w:r>
      <w:proofErr w:type="spellStart"/>
      <w:r w:rsidRPr="00085331">
        <w:rPr>
          <w:rFonts w:ascii="Arial" w:hAnsi="Arial" w:cs="Arial"/>
          <w:sz w:val="22"/>
        </w:rPr>
        <w:t>centres</w:t>
      </w:r>
      <w:proofErr w:type="spellEnd"/>
      <w:r w:rsidRPr="00085331">
        <w:rPr>
          <w:rFonts w:ascii="Arial" w:hAnsi="Arial" w:cs="Arial"/>
          <w:sz w:val="22"/>
        </w:rPr>
        <w:t xml:space="preserve"> on carrying out tasks with and through the participation of the community. It's a potent tool for influencing policy and changing individual </w:t>
      </w:r>
      <w:proofErr w:type="spellStart"/>
      <w:r w:rsidRPr="00085331">
        <w:rPr>
          <w:rFonts w:ascii="Arial" w:hAnsi="Arial" w:cs="Arial"/>
          <w:sz w:val="22"/>
        </w:rPr>
        <w:t>behaviour</w:t>
      </w:r>
      <w:proofErr w:type="spellEnd"/>
      <w:r w:rsidRPr="00085331">
        <w:rPr>
          <w:rFonts w:ascii="Arial" w:hAnsi="Arial" w:cs="Arial"/>
          <w:sz w:val="22"/>
        </w:rPr>
        <w:t>, both of which have a significant impact on population health. Community engagement, then, is a highly calculated procedure whose core goal is to collaborate with the specified population (</w:t>
      </w:r>
      <w:proofErr w:type="spellStart"/>
      <w:r w:rsidRPr="00085331">
        <w:rPr>
          <w:rFonts w:ascii="Arial" w:hAnsi="Arial" w:cs="Arial"/>
          <w:sz w:val="22"/>
        </w:rPr>
        <w:t>Dostilio</w:t>
      </w:r>
      <w:proofErr w:type="spellEnd"/>
      <w:r w:rsidRPr="00085331">
        <w:rPr>
          <w:rFonts w:ascii="Arial" w:hAnsi="Arial" w:cs="Arial"/>
          <w:sz w:val="22"/>
        </w:rPr>
        <w:t xml:space="preserve"> and Welch, 2019). Because of this association, the emphasis is shifted from the person to the group, and the term "community" is used to describe the greater purpose for which the involvement is intended.</w:t>
      </w:r>
    </w:p>
    <w:p w14:paraId="4498B8FF" w14:textId="19918038" w:rsidR="00085331" w:rsidRPr="00085331" w:rsidRDefault="00085331" w:rsidP="00085331">
      <w:pPr>
        <w:rPr>
          <w:rFonts w:ascii="Arial" w:hAnsi="Arial" w:cs="Arial"/>
          <w:sz w:val="22"/>
        </w:rPr>
      </w:pPr>
      <w:r w:rsidRPr="00085331">
        <w:rPr>
          <w:rFonts w:ascii="Arial" w:hAnsi="Arial" w:cs="Arial"/>
          <w:sz w:val="22"/>
        </w:rPr>
        <w:t xml:space="preserve">Citizens' problem-solving abilities are enhanced by participation in their communities. Attendees get an in-depth education on the topics at hand. The more they learn, the more perspectives they'll be able to perceive on a given issue (Wilson, 2019). Citizens have the opportunity to hone their interpersonal and deliberative abilities. People from all walks of life can benefit from participating in community involvement activities because of the way it </w:t>
      </w:r>
      <w:r w:rsidRPr="00085331">
        <w:rPr>
          <w:rFonts w:ascii="Arial" w:hAnsi="Arial" w:cs="Arial"/>
          <w:sz w:val="22"/>
        </w:rPr>
        <w:lastRenderedPageBreak/>
        <w:t>empowers and unites them. Ignored communities can learn to take charge of their destiny. When members of the community from different backgrounds work alongside, they often discover how much they have in common with one another. As a result, it facilitates the formation of local networks among residents (</w:t>
      </w:r>
      <w:proofErr w:type="spellStart"/>
      <w:r w:rsidRPr="00085331">
        <w:rPr>
          <w:rFonts w:ascii="Arial" w:hAnsi="Arial" w:cs="Arial"/>
          <w:sz w:val="22"/>
        </w:rPr>
        <w:t>Kronick</w:t>
      </w:r>
      <w:proofErr w:type="spellEnd"/>
      <w:r w:rsidRPr="00085331">
        <w:rPr>
          <w:rFonts w:ascii="Arial" w:hAnsi="Arial" w:cs="Arial"/>
          <w:sz w:val="22"/>
        </w:rPr>
        <w:t>, 2018). Community success depends on the number of informed and engaged members it has.</w:t>
      </w:r>
    </w:p>
    <w:p w14:paraId="1D0E0810" w14:textId="77777777" w:rsidR="00085331" w:rsidRPr="00085331" w:rsidRDefault="00085331" w:rsidP="00085331">
      <w:pPr>
        <w:pStyle w:val="Heading1"/>
        <w:rPr>
          <w:rFonts w:ascii="Arial" w:hAnsi="Arial" w:cs="Arial"/>
          <w:sz w:val="22"/>
          <w:szCs w:val="22"/>
        </w:rPr>
      </w:pPr>
      <w:bookmarkStart w:id="2" w:name="_Toc120290966"/>
      <w:r w:rsidRPr="00085331">
        <w:rPr>
          <w:rFonts w:ascii="Arial" w:hAnsi="Arial" w:cs="Arial"/>
          <w:sz w:val="22"/>
          <w:szCs w:val="22"/>
        </w:rPr>
        <w:t>The Selected Project and Practices</w:t>
      </w:r>
      <w:bookmarkEnd w:id="2"/>
    </w:p>
    <w:p w14:paraId="3E582003" w14:textId="77777777" w:rsidR="00085331" w:rsidRPr="00085331" w:rsidRDefault="00085331" w:rsidP="00085331">
      <w:pPr>
        <w:rPr>
          <w:rFonts w:ascii="Arial" w:hAnsi="Arial" w:cs="Arial"/>
          <w:sz w:val="22"/>
        </w:rPr>
      </w:pPr>
      <w:r w:rsidRPr="00085331">
        <w:rPr>
          <w:rFonts w:ascii="Arial" w:hAnsi="Arial" w:cs="Arial"/>
          <w:sz w:val="22"/>
        </w:rPr>
        <w:t>Some of the most successful community outreach efforts from Birmingham's 2022 Commonwealth Games have been incorporated into the chosen project. The 22nd of June marked the beginning of the celebrations with a flag-raising ceremony for Windrush Day at the Birmingham City Council House (Birmingham Commonwealth Games, 2022). The project solicited participation from community groups and the public at large in a flag-raising ceremony and other events.</w:t>
      </w:r>
    </w:p>
    <w:p w14:paraId="55D0DC08" w14:textId="77777777" w:rsidR="00085331" w:rsidRPr="00085331" w:rsidRDefault="00085331" w:rsidP="00085331">
      <w:pPr>
        <w:rPr>
          <w:rFonts w:ascii="Arial" w:hAnsi="Arial" w:cs="Arial"/>
          <w:sz w:val="22"/>
        </w:rPr>
      </w:pPr>
      <w:r w:rsidRPr="00085331">
        <w:rPr>
          <w:rFonts w:ascii="Arial" w:hAnsi="Arial" w:cs="Arial"/>
          <w:sz w:val="22"/>
        </w:rPr>
        <w:t xml:space="preserve">Following the flag-raising ceremony, the project hosted Black Heritage Walks to </w:t>
      </w:r>
      <w:proofErr w:type="spellStart"/>
      <w:r w:rsidRPr="00085331">
        <w:rPr>
          <w:rFonts w:ascii="Arial" w:hAnsi="Arial" w:cs="Arial"/>
          <w:sz w:val="22"/>
        </w:rPr>
        <w:t>honour</w:t>
      </w:r>
      <w:proofErr w:type="spellEnd"/>
      <w:r w:rsidRPr="00085331">
        <w:rPr>
          <w:rFonts w:ascii="Arial" w:hAnsi="Arial" w:cs="Arial"/>
          <w:sz w:val="22"/>
        </w:rPr>
        <w:t xml:space="preserve"> the achievements of persons of African and Caribbean origin. In 2018, the Black Heritage Walks Network was established to </w:t>
      </w:r>
      <w:proofErr w:type="spellStart"/>
      <w:r w:rsidRPr="00085331">
        <w:rPr>
          <w:rFonts w:ascii="Arial" w:hAnsi="Arial" w:cs="Arial"/>
          <w:sz w:val="22"/>
        </w:rPr>
        <w:t>recognise</w:t>
      </w:r>
      <w:proofErr w:type="spellEnd"/>
      <w:r w:rsidRPr="00085331">
        <w:rPr>
          <w:rFonts w:ascii="Arial" w:hAnsi="Arial" w:cs="Arial"/>
          <w:sz w:val="22"/>
        </w:rPr>
        <w:t xml:space="preserve"> the impact of the African and Caribbean communities in the United Kingdom. The initial intention was to gather the stories and reminiscences of the Windrush generation in Handsworth in </w:t>
      </w:r>
      <w:proofErr w:type="spellStart"/>
      <w:r w:rsidRPr="00085331">
        <w:rPr>
          <w:rFonts w:ascii="Arial" w:hAnsi="Arial" w:cs="Arial"/>
          <w:sz w:val="22"/>
        </w:rPr>
        <w:t>honour</w:t>
      </w:r>
      <w:proofErr w:type="spellEnd"/>
      <w:r w:rsidRPr="00085331">
        <w:rPr>
          <w:rFonts w:ascii="Arial" w:hAnsi="Arial" w:cs="Arial"/>
          <w:sz w:val="22"/>
        </w:rPr>
        <w:t xml:space="preserve"> of the 70th anniversary of the departure of passengers from the Caribbean aboard the HMT Empire Windrush (Birmingham Commonwealth Games, 2022).</w:t>
      </w:r>
    </w:p>
    <w:p w14:paraId="48960542" w14:textId="77777777" w:rsidR="00085331" w:rsidRPr="00085331" w:rsidRDefault="00085331" w:rsidP="00085331">
      <w:pPr>
        <w:rPr>
          <w:rFonts w:ascii="Arial" w:hAnsi="Arial" w:cs="Arial"/>
          <w:sz w:val="22"/>
        </w:rPr>
      </w:pPr>
      <w:r w:rsidRPr="00085331">
        <w:rPr>
          <w:rFonts w:ascii="Arial" w:hAnsi="Arial" w:cs="Arial"/>
          <w:sz w:val="22"/>
        </w:rPr>
        <w:t xml:space="preserve">This event was held by the Community Engagement Team and Legacy Centre of Excellence to </w:t>
      </w:r>
      <w:proofErr w:type="spellStart"/>
      <w:r w:rsidRPr="00085331">
        <w:rPr>
          <w:rFonts w:ascii="Arial" w:hAnsi="Arial" w:cs="Arial"/>
          <w:sz w:val="22"/>
        </w:rPr>
        <w:t>honour</w:t>
      </w:r>
      <w:proofErr w:type="spellEnd"/>
      <w:r w:rsidRPr="00085331">
        <w:rPr>
          <w:rFonts w:ascii="Arial" w:hAnsi="Arial" w:cs="Arial"/>
          <w:sz w:val="22"/>
        </w:rPr>
        <w:t xml:space="preserve"> and remember the Windrush Generation and its offspring. Community members were asked to resume the day's activities at New Street Station after the unveiling of the Windrush statue by delving deeper into the tale of the Windrush. Guests from all across the region spoke about their lives and how they were influenced by the historical events, cultural traditions, and sporting events that have defined their generation and the United Kingdom as a whole (Birmingham Commonwealth Games, 2022). This was a chance for people from all walks of life to get together and talk about their common experiences with migration.</w:t>
      </w:r>
    </w:p>
    <w:p w14:paraId="3E549376" w14:textId="77777777" w:rsidR="00085331" w:rsidRPr="00085331" w:rsidRDefault="00085331" w:rsidP="00085331">
      <w:pPr>
        <w:rPr>
          <w:rFonts w:ascii="Arial" w:hAnsi="Arial" w:cs="Arial"/>
          <w:sz w:val="22"/>
        </w:rPr>
      </w:pPr>
      <w:r w:rsidRPr="00085331">
        <w:rPr>
          <w:rFonts w:ascii="Arial" w:hAnsi="Arial" w:cs="Arial"/>
          <w:sz w:val="22"/>
        </w:rPr>
        <w:t xml:space="preserve">The National Lottery provided funding for some of the other activities in this </w:t>
      </w:r>
      <w:proofErr w:type="spellStart"/>
      <w:r w:rsidRPr="00085331">
        <w:rPr>
          <w:rFonts w:ascii="Arial" w:hAnsi="Arial" w:cs="Arial"/>
          <w:sz w:val="22"/>
        </w:rPr>
        <w:t>programme</w:t>
      </w:r>
      <w:proofErr w:type="spellEnd"/>
      <w:r w:rsidRPr="00085331">
        <w:rPr>
          <w:rFonts w:ascii="Arial" w:hAnsi="Arial" w:cs="Arial"/>
          <w:sz w:val="22"/>
        </w:rPr>
        <w:t xml:space="preserve">, and those funds were used to establish numerous new venues where young people in the area could learn valuable skills. This aided young individuals whose lack of self-assurance prevented them from pursuing chances in sports and physical activity (Wilson, 2019). The concept also incorporated youth-focused initiatives that brought them closer to the Games and made them feel like they were a part of this exciting, once-in-a-generation celebration of sport and culture. Such events set the stage for the next generation of changemakers by amplifying </w:t>
      </w:r>
      <w:r w:rsidRPr="00085331">
        <w:rPr>
          <w:rFonts w:ascii="Arial" w:hAnsi="Arial" w:cs="Arial"/>
          <w:sz w:val="22"/>
        </w:rPr>
        <w:lastRenderedPageBreak/>
        <w:t>their voices, providing them with the resources they need to make a good impact, and preparing them to face the difficulties of adulthood (</w:t>
      </w:r>
      <w:proofErr w:type="spellStart"/>
      <w:r w:rsidRPr="00085331">
        <w:rPr>
          <w:rFonts w:ascii="Arial" w:hAnsi="Arial" w:cs="Arial"/>
          <w:sz w:val="22"/>
        </w:rPr>
        <w:t>Kronick</w:t>
      </w:r>
      <w:proofErr w:type="spellEnd"/>
      <w:r w:rsidRPr="00085331">
        <w:rPr>
          <w:rFonts w:ascii="Arial" w:hAnsi="Arial" w:cs="Arial"/>
          <w:sz w:val="22"/>
        </w:rPr>
        <w:t>, 2018).</w:t>
      </w:r>
    </w:p>
    <w:p w14:paraId="4DA9F194" w14:textId="77777777" w:rsidR="00085331" w:rsidRPr="00085331" w:rsidRDefault="00085331" w:rsidP="00085331">
      <w:pPr>
        <w:pStyle w:val="Heading1"/>
        <w:rPr>
          <w:rFonts w:ascii="Arial" w:hAnsi="Arial" w:cs="Arial"/>
          <w:sz w:val="22"/>
          <w:szCs w:val="22"/>
        </w:rPr>
      </w:pPr>
      <w:bookmarkStart w:id="3" w:name="_Toc120290967"/>
      <w:r w:rsidRPr="00085331">
        <w:rPr>
          <w:rFonts w:ascii="Arial" w:hAnsi="Arial" w:cs="Arial"/>
          <w:sz w:val="22"/>
          <w:szCs w:val="22"/>
        </w:rPr>
        <w:t>Relationships Among the Stakeholders</w:t>
      </w:r>
      <w:bookmarkEnd w:id="3"/>
    </w:p>
    <w:p w14:paraId="0BA5A132" w14:textId="77777777" w:rsidR="00085331" w:rsidRPr="00085331" w:rsidRDefault="00085331" w:rsidP="00085331">
      <w:pPr>
        <w:rPr>
          <w:rFonts w:ascii="Arial" w:hAnsi="Arial" w:cs="Arial"/>
          <w:sz w:val="22"/>
        </w:rPr>
      </w:pPr>
      <w:r w:rsidRPr="00085331">
        <w:rPr>
          <w:rFonts w:ascii="Arial" w:hAnsi="Arial" w:cs="Arial"/>
          <w:sz w:val="22"/>
        </w:rPr>
        <w:t xml:space="preserve">Maintaining cordial ties between all involved parties was a top priority to see the project through to its successful completion. An </w:t>
      </w:r>
      <w:proofErr w:type="spellStart"/>
      <w:r w:rsidRPr="00085331">
        <w:rPr>
          <w:rFonts w:ascii="Arial" w:hAnsi="Arial" w:cs="Arial"/>
          <w:sz w:val="22"/>
        </w:rPr>
        <w:t>organisation</w:t>
      </w:r>
      <w:proofErr w:type="spellEnd"/>
      <w:r w:rsidRPr="00085331">
        <w:rPr>
          <w:rFonts w:ascii="Arial" w:hAnsi="Arial" w:cs="Arial"/>
          <w:sz w:val="22"/>
        </w:rPr>
        <w:t xml:space="preserve"> can boost its functions and efficiency across the board with the help of good communication and cooperation among its many constituents (</w:t>
      </w:r>
      <w:proofErr w:type="spellStart"/>
      <w:r w:rsidRPr="00085331">
        <w:rPr>
          <w:rFonts w:ascii="Arial" w:hAnsi="Arial" w:cs="Arial"/>
          <w:sz w:val="22"/>
        </w:rPr>
        <w:t>Mtawa</w:t>
      </w:r>
      <w:proofErr w:type="spellEnd"/>
      <w:r w:rsidRPr="00085331">
        <w:rPr>
          <w:rFonts w:ascii="Arial" w:hAnsi="Arial" w:cs="Arial"/>
          <w:sz w:val="22"/>
        </w:rPr>
        <w:t>, 2021). Aside from that, community participation can help in generating more visibility, and understanding of the issues, and empowering communities by maintaining positive relationships with key stakeholders. It helps individuals improve their functional capabilities so they can engage completely, which in turn strengthens their competitive position. Interconnectedness and mutual assistance in a residence and relationship set can result from the involvement of stakeholders in the community connection (</w:t>
      </w:r>
      <w:proofErr w:type="spellStart"/>
      <w:r w:rsidRPr="00085331">
        <w:rPr>
          <w:rFonts w:ascii="Arial" w:hAnsi="Arial" w:cs="Arial"/>
          <w:sz w:val="22"/>
        </w:rPr>
        <w:t>Dostilio</w:t>
      </w:r>
      <w:proofErr w:type="spellEnd"/>
      <w:r w:rsidRPr="00085331">
        <w:rPr>
          <w:rFonts w:ascii="Arial" w:hAnsi="Arial" w:cs="Arial"/>
          <w:sz w:val="22"/>
        </w:rPr>
        <w:t xml:space="preserve"> and Welch, 2019). This was crucial for </w:t>
      </w:r>
      <w:proofErr w:type="spellStart"/>
      <w:r w:rsidRPr="00085331">
        <w:rPr>
          <w:rFonts w:ascii="Arial" w:hAnsi="Arial" w:cs="Arial"/>
          <w:sz w:val="22"/>
        </w:rPr>
        <w:t>maximising</w:t>
      </w:r>
      <w:proofErr w:type="spellEnd"/>
      <w:r w:rsidRPr="00085331">
        <w:rPr>
          <w:rFonts w:ascii="Arial" w:hAnsi="Arial" w:cs="Arial"/>
          <w:sz w:val="22"/>
        </w:rPr>
        <w:t xml:space="preserve"> efficiency and productivity in the workplace. One of the main considerations, therefore, was to create some efficient and effective tactics that will aid in maintaining a positive rapport amongst all parties involved.</w:t>
      </w:r>
    </w:p>
    <w:p w14:paraId="6C25BA40" w14:textId="77777777" w:rsidR="00085331" w:rsidRPr="00085331" w:rsidRDefault="00085331" w:rsidP="00085331">
      <w:pPr>
        <w:pStyle w:val="Heading1"/>
        <w:rPr>
          <w:rFonts w:ascii="Arial" w:hAnsi="Arial" w:cs="Arial"/>
          <w:sz w:val="22"/>
          <w:szCs w:val="22"/>
        </w:rPr>
      </w:pPr>
      <w:bookmarkStart w:id="4" w:name="_Toc120290968"/>
      <w:r w:rsidRPr="00085331">
        <w:rPr>
          <w:rFonts w:ascii="Arial" w:hAnsi="Arial" w:cs="Arial"/>
          <w:sz w:val="22"/>
          <w:szCs w:val="22"/>
        </w:rPr>
        <w:t>Use of Social Media Platforms</w:t>
      </w:r>
      <w:bookmarkEnd w:id="4"/>
    </w:p>
    <w:p w14:paraId="7E672733" w14:textId="77777777" w:rsidR="00085331" w:rsidRPr="00085331" w:rsidRDefault="00085331" w:rsidP="00085331">
      <w:pPr>
        <w:rPr>
          <w:rFonts w:ascii="Arial" w:hAnsi="Arial" w:cs="Arial"/>
          <w:sz w:val="22"/>
        </w:rPr>
      </w:pPr>
      <w:r w:rsidRPr="00085331">
        <w:rPr>
          <w:rFonts w:ascii="Arial" w:hAnsi="Arial" w:cs="Arial"/>
          <w:sz w:val="22"/>
        </w:rPr>
        <w:t xml:space="preserve">Using the power of the internet, social media allows individuals to create online communities and networks where they may freely exchange and discuss information, ideas, and opinions. As more and more daily lives move online, social media platforms like Facebook, Twitter, and Instagram have become indispensable tools for promoting and </w:t>
      </w:r>
      <w:proofErr w:type="spellStart"/>
      <w:r w:rsidRPr="00085331">
        <w:rPr>
          <w:rFonts w:ascii="Arial" w:hAnsi="Arial" w:cs="Arial"/>
          <w:sz w:val="22"/>
        </w:rPr>
        <w:t>publicising</w:t>
      </w:r>
      <w:proofErr w:type="spellEnd"/>
      <w:r w:rsidRPr="00085331">
        <w:rPr>
          <w:rFonts w:ascii="Arial" w:hAnsi="Arial" w:cs="Arial"/>
          <w:sz w:val="22"/>
        </w:rPr>
        <w:t xml:space="preserve"> everything from individual initiatives to entire industries (</w:t>
      </w:r>
      <w:proofErr w:type="spellStart"/>
      <w:r w:rsidRPr="00085331">
        <w:rPr>
          <w:rFonts w:ascii="Arial" w:hAnsi="Arial" w:cs="Arial"/>
          <w:sz w:val="22"/>
        </w:rPr>
        <w:t>Dostilio</w:t>
      </w:r>
      <w:proofErr w:type="spellEnd"/>
      <w:r w:rsidRPr="00085331">
        <w:rPr>
          <w:rFonts w:ascii="Arial" w:hAnsi="Arial" w:cs="Arial"/>
          <w:sz w:val="22"/>
        </w:rPr>
        <w:t xml:space="preserve"> and Welch, 2019). The project's community development team employed social media during the Commonwealth Games 2022 to successfully involve the local population. The team used their website and social media to solicit donations from the general public, solicit the assistance of volunteers, and forge partnerships with businesses to spread awareness of the team's mission and encourage people to learn about the history, teach young people valuable lessons about the game, and encourage them to embrace sports as a means of expressing cultural pride (Sachs and Clark, 2018).</w:t>
      </w:r>
    </w:p>
    <w:p w14:paraId="5657DCC4" w14:textId="77777777" w:rsidR="00085331" w:rsidRPr="00085331" w:rsidRDefault="00085331" w:rsidP="00085331">
      <w:pPr>
        <w:rPr>
          <w:rFonts w:ascii="Arial" w:hAnsi="Arial" w:cs="Arial"/>
          <w:sz w:val="22"/>
        </w:rPr>
      </w:pPr>
      <w:r w:rsidRPr="00085331">
        <w:rPr>
          <w:rFonts w:ascii="Arial" w:hAnsi="Arial" w:cs="Arial"/>
          <w:sz w:val="22"/>
        </w:rPr>
        <w:t xml:space="preserve">A community engagement campaign's performance can be measured through the usage of social media channels like Facebook, YouTube and Google. The community engagement team working on this project can make use of social media's global reach and </w:t>
      </w:r>
      <w:proofErr w:type="spellStart"/>
      <w:r w:rsidRPr="00085331">
        <w:rPr>
          <w:rFonts w:ascii="Arial" w:hAnsi="Arial" w:cs="Arial"/>
          <w:sz w:val="22"/>
        </w:rPr>
        <w:t>favourable</w:t>
      </w:r>
      <w:proofErr w:type="spellEnd"/>
      <w:r w:rsidRPr="00085331">
        <w:rPr>
          <w:rFonts w:ascii="Arial" w:hAnsi="Arial" w:cs="Arial"/>
          <w:sz w:val="22"/>
        </w:rPr>
        <w:t xml:space="preserve"> buzz among the general public to solicit donations and spread the word about the initiative's humanitarian goals (Waterton and Watson, 2020). They can use online platforms like their website and Facebook page to solicit charitable donations from a large audience who are likely to respond positively to the call for help (Sachs and Clark, 2018). To attract the attention </w:t>
      </w:r>
      <w:r w:rsidRPr="00085331">
        <w:rPr>
          <w:rFonts w:ascii="Arial" w:hAnsi="Arial" w:cs="Arial"/>
          <w:sz w:val="22"/>
        </w:rPr>
        <w:lastRenderedPageBreak/>
        <w:t xml:space="preserve">of the general public and move them toward the accomplishment of the project, the information uploaded on social media platforms has to be eye-catching and unique. </w:t>
      </w:r>
    </w:p>
    <w:p w14:paraId="03BD342F" w14:textId="77777777" w:rsidR="00085331" w:rsidRPr="00085331" w:rsidRDefault="00085331" w:rsidP="00085331">
      <w:pPr>
        <w:pStyle w:val="Heading1"/>
        <w:rPr>
          <w:rFonts w:ascii="Arial" w:hAnsi="Arial" w:cs="Arial"/>
          <w:sz w:val="22"/>
          <w:szCs w:val="22"/>
        </w:rPr>
      </w:pPr>
      <w:bookmarkStart w:id="5" w:name="_Toc120290969"/>
      <w:r w:rsidRPr="00085331">
        <w:rPr>
          <w:rFonts w:ascii="Arial" w:hAnsi="Arial" w:cs="Arial"/>
          <w:sz w:val="22"/>
          <w:szCs w:val="22"/>
        </w:rPr>
        <w:t>Essential Skills and Strategies</w:t>
      </w:r>
      <w:bookmarkEnd w:id="5"/>
    </w:p>
    <w:p w14:paraId="0C878E8C" w14:textId="77777777" w:rsidR="00085331" w:rsidRPr="00085331" w:rsidRDefault="00085331" w:rsidP="00085331">
      <w:pPr>
        <w:rPr>
          <w:rFonts w:ascii="Arial" w:hAnsi="Arial" w:cs="Arial"/>
          <w:sz w:val="22"/>
        </w:rPr>
      </w:pPr>
      <w:r w:rsidRPr="00085331">
        <w:rPr>
          <w:rFonts w:ascii="Arial" w:hAnsi="Arial" w:cs="Arial"/>
          <w:sz w:val="22"/>
        </w:rPr>
        <w:t>Team members working on the project cannot expect to succeed without first acquiring the necessary information, skills, and tactics for engaging the community. Teams, like volunteers, working on this project need specific expertise, skills, and methods based on the project's goals and activities to provide the best possible assistance to those in need. Below are examples of some of the skills and competencies that all members of the chosen project team must possess:</w:t>
      </w:r>
    </w:p>
    <w:p w14:paraId="47744F6D" w14:textId="77777777" w:rsidR="00085331" w:rsidRPr="00085331" w:rsidRDefault="00085331" w:rsidP="00085331">
      <w:pPr>
        <w:pStyle w:val="ListParagraph"/>
        <w:numPr>
          <w:ilvl w:val="0"/>
          <w:numId w:val="1"/>
        </w:numPr>
        <w:rPr>
          <w:rFonts w:ascii="Arial" w:hAnsi="Arial" w:cs="Arial"/>
          <w:sz w:val="22"/>
        </w:rPr>
      </w:pPr>
      <w:r w:rsidRPr="00085331">
        <w:rPr>
          <w:rFonts w:ascii="Arial" w:hAnsi="Arial" w:cs="Arial"/>
          <w:sz w:val="22"/>
        </w:rPr>
        <w:t>One of the most important talents to succeed to achieve the project's goal was the ability to effectively communicate with others. Volunteers on this project ought to have strong verbal and written communication skills (</w:t>
      </w:r>
      <w:proofErr w:type="spellStart"/>
      <w:r w:rsidRPr="00085331">
        <w:rPr>
          <w:rFonts w:ascii="Arial" w:hAnsi="Arial" w:cs="Arial"/>
          <w:sz w:val="22"/>
        </w:rPr>
        <w:t>Mtawa</w:t>
      </w:r>
      <w:proofErr w:type="spellEnd"/>
      <w:r w:rsidRPr="00085331">
        <w:rPr>
          <w:rFonts w:ascii="Arial" w:hAnsi="Arial" w:cs="Arial"/>
          <w:sz w:val="22"/>
        </w:rPr>
        <w:t>, 2021). Volunteers needed not only strong communication abilities (listening, speaking, etc.), but also the ability to connect with people through nonverbal cues including body language, facial expressions, and enthusiasm.</w:t>
      </w:r>
    </w:p>
    <w:p w14:paraId="5417D5C6" w14:textId="77777777" w:rsidR="00085331" w:rsidRPr="00085331" w:rsidRDefault="00085331" w:rsidP="00085331">
      <w:pPr>
        <w:pStyle w:val="ListParagraph"/>
        <w:numPr>
          <w:ilvl w:val="0"/>
          <w:numId w:val="1"/>
        </w:numPr>
        <w:rPr>
          <w:rFonts w:ascii="Arial" w:hAnsi="Arial" w:cs="Arial"/>
          <w:sz w:val="22"/>
        </w:rPr>
      </w:pPr>
      <w:r w:rsidRPr="00085331">
        <w:rPr>
          <w:rFonts w:ascii="Arial" w:hAnsi="Arial" w:cs="Arial"/>
          <w:sz w:val="22"/>
        </w:rPr>
        <w:t>The members of the team working on this project needed to have a thorough understanding of, and exposure to, relevant social concerns to do their jobs effectively. It was essential given that educating the public about the past to better prepare them for the future and deepen their cultural understanding was one of the project's primary goals (Sachs and Clark, 2018).</w:t>
      </w:r>
    </w:p>
    <w:p w14:paraId="3170EA37" w14:textId="77777777" w:rsidR="00085331" w:rsidRPr="00085331" w:rsidRDefault="00085331" w:rsidP="00085331">
      <w:pPr>
        <w:pStyle w:val="ListParagraph"/>
        <w:numPr>
          <w:ilvl w:val="0"/>
          <w:numId w:val="1"/>
        </w:numPr>
        <w:rPr>
          <w:rFonts w:ascii="Arial" w:hAnsi="Arial" w:cs="Arial"/>
          <w:sz w:val="22"/>
        </w:rPr>
      </w:pPr>
      <w:r w:rsidRPr="00085331">
        <w:rPr>
          <w:rFonts w:ascii="Arial" w:hAnsi="Arial" w:cs="Arial"/>
          <w:sz w:val="22"/>
        </w:rPr>
        <w:t>Raising money is crucial to keeping the initiative running and providing young people with the opportunity to grow and develop. Volunteers needed fundraising experience for this project so that they could approach various institutions and individuals for financial support, solicit donations, and form strategic alliances that would allow them to provide transformative opportunities to youth who are otherwise unable to access them (</w:t>
      </w:r>
      <w:proofErr w:type="spellStart"/>
      <w:r w:rsidRPr="00085331">
        <w:rPr>
          <w:rFonts w:ascii="Arial" w:hAnsi="Arial" w:cs="Arial"/>
          <w:sz w:val="22"/>
        </w:rPr>
        <w:t>Mtawa</w:t>
      </w:r>
      <w:proofErr w:type="spellEnd"/>
      <w:r w:rsidRPr="00085331">
        <w:rPr>
          <w:rFonts w:ascii="Arial" w:hAnsi="Arial" w:cs="Arial"/>
          <w:sz w:val="22"/>
        </w:rPr>
        <w:t>, 2021).</w:t>
      </w:r>
    </w:p>
    <w:p w14:paraId="53D61F4A" w14:textId="39A8B0DF" w:rsidR="00085331" w:rsidRDefault="00085331" w:rsidP="00085331">
      <w:pPr>
        <w:pStyle w:val="ListParagraph"/>
        <w:numPr>
          <w:ilvl w:val="0"/>
          <w:numId w:val="1"/>
        </w:numPr>
        <w:rPr>
          <w:rFonts w:ascii="Arial" w:hAnsi="Arial" w:cs="Arial"/>
          <w:sz w:val="22"/>
        </w:rPr>
      </w:pPr>
      <w:r w:rsidRPr="00085331">
        <w:rPr>
          <w:rFonts w:ascii="Arial" w:hAnsi="Arial" w:cs="Arial"/>
          <w:sz w:val="22"/>
        </w:rPr>
        <w:t>The volunteers working on the project were doing a variety of activities to ensure that young people can gain the cultural exposure and life-altering experiences they need to develop the critical thinking, problem-solving, and decision-making abilities they will need in the future. Finding opportunities and determining which skills to acquire can be particularly tricky for young people</w:t>
      </w:r>
      <w:r w:rsidRPr="00085331">
        <w:rPr>
          <w:rFonts w:ascii="Arial" w:hAnsi="Arial" w:cs="Arial"/>
          <w:color w:val="000000"/>
          <w:sz w:val="22"/>
        </w:rPr>
        <w:t xml:space="preserve"> </w:t>
      </w:r>
      <w:r w:rsidRPr="00085331">
        <w:rPr>
          <w:rFonts w:ascii="Arial" w:hAnsi="Arial" w:cs="Arial"/>
          <w:sz w:val="22"/>
        </w:rPr>
        <w:t>(</w:t>
      </w:r>
      <w:proofErr w:type="spellStart"/>
      <w:r w:rsidRPr="00085331">
        <w:rPr>
          <w:rFonts w:ascii="Arial" w:hAnsi="Arial" w:cs="Arial"/>
          <w:sz w:val="22"/>
        </w:rPr>
        <w:t>Tinglin</w:t>
      </w:r>
      <w:proofErr w:type="spellEnd"/>
      <w:r w:rsidRPr="00085331">
        <w:rPr>
          <w:rFonts w:ascii="Arial" w:hAnsi="Arial" w:cs="Arial"/>
          <w:sz w:val="22"/>
        </w:rPr>
        <w:t xml:space="preserve"> and </w:t>
      </w:r>
      <w:proofErr w:type="spellStart"/>
      <w:r w:rsidRPr="00085331">
        <w:rPr>
          <w:rFonts w:ascii="Arial" w:hAnsi="Arial" w:cs="Arial"/>
          <w:sz w:val="22"/>
        </w:rPr>
        <w:t>Joyette</w:t>
      </w:r>
      <w:proofErr w:type="spellEnd"/>
      <w:r w:rsidRPr="00085331">
        <w:rPr>
          <w:rFonts w:ascii="Arial" w:hAnsi="Arial" w:cs="Arial"/>
          <w:sz w:val="22"/>
        </w:rPr>
        <w:t>, 2020). These issues are being presented at social for an edition who can take responsibility for their action because the community engagement team had to make swift judgments to remedy them on an immediate basis based on the circumstances.</w:t>
      </w:r>
    </w:p>
    <w:p w14:paraId="587B3585" w14:textId="77777777" w:rsidR="00085331" w:rsidRPr="00085331" w:rsidRDefault="00085331" w:rsidP="00085331">
      <w:pPr>
        <w:pStyle w:val="Heading1"/>
        <w:rPr>
          <w:rFonts w:ascii="Arial" w:hAnsi="Arial" w:cs="Arial"/>
          <w:sz w:val="22"/>
          <w:szCs w:val="22"/>
        </w:rPr>
      </w:pPr>
      <w:bookmarkStart w:id="6" w:name="_Toc120290970"/>
      <w:r w:rsidRPr="00085331">
        <w:rPr>
          <w:rFonts w:ascii="Arial" w:hAnsi="Arial" w:cs="Arial"/>
          <w:sz w:val="22"/>
          <w:szCs w:val="22"/>
        </w:rPr>
        <w:lastRenderedPageBreak/>
        <w:t>The Approach of the Community Engagement Practitioner</w:t>
      </w:r>
      <w:bookmarkEnd w:id="6"/>
    </w:p>
    <w:p w14:paraId="09C10EC7" w14:textId="198B87A4" w:rsidR="00085331" w:rsidRDefault="00085331" w:rsidP="00085331">
      <w:pPr>
        <w:rPr>
          <w:rFonts w:ascii="Arial" w:hAnsi="Arial" w:cs="Arial"/>
          <w:sz w:val="22"/>
        </w:rPr>
      </w:pPr>
      <w:r w:rsidRPr="00085331">
        <w:rPr>
          <w:rFonts w:ascii="Arial" w:hAnsi="Arial" w:cs="Arial"/>
          <w:sz w:val="22"/>
        </w:rPr>
        <w:t>Many factors have acted as catalysts for change in communities. The community development process may be affected just as much by these elements as the community itself. The impact these elements have on a community's potential for community development success or failure can be substantial. Both internal and external factors, such as the human aspect and the socioeconomic environment, can play a role (Waterton and Watson, 2020). The practitioner of community engagement must take a prospective stance to inform community members of the internal and external elements that affect community growth. Ultimately, the success of any community development effort will depend on the actions and skills of a community engagement practitioner (</w:t>
      </w:r>
      <w:proofErr w:type="spellStart"/>
      <w:r w:rsidRPr="00085331">
        <w:rPr>
          <w:rFonts w:ascii="Arial" w:hAnsi="Arial" w:cs="Arial"/>
          <w:sz w:val="22"/>
        </w:rPr>
        <w:t>Tinglin</w:t>
      </w:r>
      <w:proofErr w:type="spellEnd"/>
      <w:r w:rsidRPr="00085331">
        <w:rPr>
          <w:rFonts w:ascii="Arial" w:hAnsi="Arial" w:cs="Arial"/>
          <w:sz w:val="22"/>
        </w:rPr>
        <w:t xml:space="preserve"> and </w:t>
      </w:r>
      <w:proofErr w:type="spellStart"/>
      <w:r w:rsidRPr="00085331">
        <w:rPr>
          <w:rFonts w:ascii="Arial" w:hAnsi="Arial" w:cs="Arial"/>
          <w:sz w:val="22"/>
        </w:rPr>
        <w:t>Joyette</w:t>
      </w:r>
      <w:proofErr w:type="spellEnd"/>
      <w:r w:rsidRPr="00085331">
        <w:rPr>
          <w:rFonts w:ascii="Arial" w:hAnsi="Arial" w:cs="Arial"/>
          <w:sz w:val="22"/>
        </w:rPr>
        <w:t>, 2020). Lack of communication between decision-makers can have a disastrous effect on a community, undermining its legitimacy and confidence. On the other side, unified communal effort and strong, constructive leadership can lead to improvement.</w:t>
      </w:r>
    </w:p>
    <w:p w14:paraId="18DF4E16" w14:textId="77777777" w:rsidR="00085331" w:rsidRPr="00085331" w:rsidRDefault="00085331" w:rsidP="00085331">
      <w:pPr>
        <w:rPr>
          <w:rFonts w:ascii="Arial" w:hAnsi="Arial" w:cs="Arial"/>
          <w:sz w:val="22"/>
        </w:rPr>
      </w:pPr>
    </w:p>
    <w:p w14:paraId="4E60AB81" w14:textId="7520A746" w:rsidR="00085331" w:rsidRDefault="00085331" w:rsidP="00085331">
      <w:pPr>
        <w:pStyle w:val="Heading1"/>
        <w:rPr>
          <w:rFonts w:ascii="Arial" w:hAnsi="Arial" w:cs="Arial"/>
          <w:sz w:val="22"/>
          <w:szCs w:val="22"/>
        </w:rPr>
      </w:pPr>
      <w:bookmarkStart w:id="7" w:name="_Toc120290971"/>
      <w:r w:rsidRPr="00085331">
        <w:rPr>
          <w:rFonts w:ascii="Arial" w:hAnsi="Arial" w:cs="Arial"/>
          <w:sz w:val="22"/>
          <w:szCs w:val="22"/>
        </w:rPr>
        <w:t>Conclusion and Recommendation</w:t>
      </w:r>
      <w:bookmarkEnd w:id="7"/>
    </w:p>
    <w:p w14:paraId="00BE2484" w14:textId="77777777" w:rsidR="00085331" w:rsidRPr="00085331" w:rsidRDefault="00085331" w:rsidP="00085331"/>
    <w:p w14:paraId="6DA04B14" w14:textId="77777777" w:rsidR="00085331" w:rsidRPr="00085331" w:rsidRDefault="00085331" w:rsidP="00085331">
      <w:pPr>
        <w:rPr>
          <w:rFonts w:ascii="Arial" w:hAnsi="Arial" w:cs="Arial"/>
          <w:sz w:val="22"/>
        </w:rPr>
      </w:pPr>
      <w:r w:rsidRPr="00085331">
        <w:rPr>
          <w:rFonts w:ascii="Arial" w:hAnsi="Arial" w:cs="Arial"/>
          <w:sz w:val="22"/>
        </w:rPr>
        <w:t>The report features a community engagement initiative that was implemented in Birmingham for the 2022 Commonwealth Games. According to the study, the project's primary goal was to increase young people's access to vital historical information, as well as to raise money to provide them with the opportunity to develop life-changing athletic and cultural abilities. The study has also covered the essential approach of the community engagement practitioner and includes some of the tactics and skills that volunteers would need to complete the project successfully.</w:t>
      </w:r>
    </w:p>
    <w:p w14:paraId="396D2897" w14:textId="77777777" w:rsidR="00085331" w:rsidRPr="00085331" w:rsidRDefault="00085331" w:rsidP="00085331">
      <w:pPr>
        <w:rPr>
          <w:rFonts w:ascii="Arial" w:hAnsi="Arial" w:cs="Arial"/>
          <w:sz w:val="22"/>
        </w:rPr>
      </w:pPr>
      <w:r w:rsidRPr="00085331">
        <w:rPr>
          <w:rFonts w:ascii="Arial" w:hAnsi="Arial" w:cs="Arial"/>
          <w:sz w:val="22"/>
        </w:rPr>
        <w:t>This section of the report will offer some recommendations for how the project may have been run more efficiently and effectively based on the information presented therein. The project's charitable goal was to gather money to educate young people about the past and prepare them for the future by giving them the tools they need to succeed. Therefore, the project may have been able to raise more money to assist the needy if more attention had been paid to various potential funding sources. In addition, a good team captain may foster an atmosphere that inspires members of the community engagement team to do their best as volunteers while also being genuinely caring people. The community engagement group might facilitate participation by others, which in turn would enable them to form alliances with various nonprofits to better serve the underserved members of their local community.</w:t>
      </w:r>
    </w:p>
    <w:p w14:paraId="2BBAF91B" w14:textId="77777777" w:rsidR="00085331" w:rsidRPr="00085331" w:rsidRDefault="00085331" w:rsidP="00085331">
      <w:pPr>
        <w:rPr>
          <w:rFonts w:ascii="Arial" w:hAnsi="Arial" w:cs="Arial"/>
          <w:sz w:val="22"/>
        </w:rPr>
      </w:pPr>
      <w:r w:rsidRPr="00085331">
        <w:rPr>
          <w:rFonts w:ascii="Arial" w:hAnsi="Arial" w:cs="Arial"/>
          <w:sz w:val="22"/>
        </w:rPr>
        <w:lastRenderedPageBreak/>
        <w:t>Conversations with locals about the problems they're experiencing and potential solutions could be an available alternative. With the right kind of use of social media sites like Facebook, Twitter, Google, etc., community participation could be increased and others may be made aware of the community's difficulties, hence encouraging them to join and donate to save the community in need.</w:t>
      </w:r>
    </w:p>
    <w:p w14:paraId="3EF348E4" w14:textId="77777777" w:rsidR="00085331" w:rsidRPr="00085331" w:rsidRDefault="00085331" w:rsidP="00085331">
      <w:pPr>
        <w:rPr>
          <w:rFonts w:ascii="Arial" w:hAnsi="Arial" w:cs="Arial"/>
          <w:sz w:val="22"/>
        </w:rPr>
      </w:pPr>
    </w:p>
    <w:p w14:paraId="164022A1" w14:textId="77777777" w:rsidR="00085331" w:rsidRPr="00085331" w:rsidRDefault="00085331" w:rsidP="00085331">
      <w:pPr>
        <w:rPr>
          <w:rFonts w:ascii="Arial" w:hAnsi="Arial" w:cs="Arial"/>
          <w:sz w:val="22"/>
        </w:rPr>
      </w:pPr>
    </w:p>
    <w:p w14:paraId="357D3F20" w14:textId="77777777" w:rsidR="00085331" w:rsidRPr="00085331" w:rsidRDefault="00085331" w:rsidP="00085331">
      <w:pPr>
        <w:rPr>
          <w:rFonts w:ascii="Arial" w:hAnsi="Arial" w:cs="Arial"/>
          <w:sz w:val="22"/>
        </w:rPr>
      </w:pPr>
    </w:p>
    <w:p w14:paraId="20EB70CA" w14:textId="77777777" w:rsidR="00085331" w:rsidRPr="00085331" w:rsidRDefault="00085331" w:rsidP="00085331">
      <w:pPr>
        <w:rPr>
          <w:rFonts w:ascii="Arial" w:hAnsi="Arial" w:cs="Arial"/>
          <w:sz w:val="22"/>
        </w:rPr>
      </w:pPr>
    </w:p>
    <w:p w14:paraId="0352B7C6" w14:textId="77777777" w:rsidR="00085331" w:rsidRPr="00085331" w:rsidRDefault="00085331" w:rsidP="00085331">
      <w:pPr>
        <w:rPr>
          <w:rFonts w:ascii="Arial" w:hAnsi="Arial" w:cs="Arial"/>
          <w:sz w:val="22"/>
        </w:rPr>
      </w:pPr>
    </w:p>
    <w:p w14:paraId="1760D7DC" w14:textId="77777777" w:rsidR="00085331" w:rsidRPr="00085331" w:rsidRDefault="00085331" w:rsidP="00085331">
      <w:pPr>
        <w:rPr>
          <w:rFonts w:ascii="Arial" w:hAnsi="Arial" w:cs="Arial"/>
          <w:sz w:val="22"/>
        </w:rPr>
      </w:pPr>
    </w:p>
    <w:p w14:paraId="7945DDD9" w14:textId="77777777" w:rsidR="00085331" w:rsidRPr="00085331" w:rsidRDefault="00085331" w:rsidP="00085331">
      <w:pPr>
        <w:rPr>
          <w:rFonts w:ascii="Arial" w:hAnsi="Arial" w:cs="Arial"/>
          <w:sz w:val="22"/>
        </w:rPr>
      </w:pPr>
    </w:p>
    <w:p w14:paraId="085CD741" w14:textId="77777777" w:rsidR="00085331" w:rsidRPr="00085331" w:rsidRDefault="00085331" w:rsidP="00085331">
      <w:pPr>
        <w:rPr>
          <w:rFonts w:ascii="Arial" w:hAnsi="Arial" w:cs="Arial"/>
          <w:sz w:val="22"/>
        </w:rPr>
      </w:pPr>
    </w:p>
    <w:p w14:paraId="6CBA912F" w14:textId="77777777" w:rsidR="00085331" w:rsidRPr="00085331" w:rsidRDefault="00085331" w:rsidP="00085331">
      <w:pPr>
        <w:rPr>
          <w:rFonts w:ascii="Arial" w:hAnsi="Arial" w:cs="Arial"/>
          <w:sz w:val="22"/>
        </w:rPr>
      </w:pPr>
    </w:p>
    <w:p w14:paraId="4C60973C" w14:textId="77777777" w:rsidR="00085331" w:rsidRPr="00085331" w:rsidRDefault="00085331" w:rsidP="00085331">
      <w:pPr>
        <w:rPr>
          <w:rFonts w:ascii="Arial" w:hAnsi="Arial" w:cs="Arial"/>
          <w:sz w:val="22"/>
        </w:rPr>
      </w:pPr>
    </w:p>
    <w:p w14:paraId="3096A6A6" w14:textId="77777777" w:rsidR="00085331" w:rsidRPr="00085331" w:rsidRDefault="00085331" w:rsidP="00085331">
      <w:pPr>
        <w:rPr>
          <w:rFonts w:ascii="Arial" w:hAnsi="Arial" w:cs="Arial"/>
          <w:sz w:val="22"/>
        </w:rPr>
      </w:pPr>
    </w:p>
    <w:p w14:paraId="1E83FD95" w14:textId="77777777" w:rsidR="00085331" w:rsidRPr="00085331" w:rsidRDefault="00085331" w:rsidP="00085331">
      <w:pPr>
        <w:rPr>
          <w:rFonts w:ascii="Arial" w:hAnsi="Arial" w:cs="Arial"/>
          <w:sz w:val="22"/>
        </w:rPr>
      </w:pPr>
    </w:p>
    <w:p w14:paraId="48A3F759" w14:textId="77777777" w:rsidR="00085331" w:rsidRPr="00085331" w:rsidRDefault="00085331" w:rsidP="00085331">
      <w:pPr>
        <w:jc w:val="left"/>
        <w:rPr>
          <w:rFonts w:ascii="Arial" w:eastAsiaTheme="majorEastAsia" w:hAnsi="Arial" w:cs="Arial"/>
          <w:b/>
          <w:color w:val="2F5496" w:themeColor="accent1" w:themeShade="BF"/>
          <w:sz w:val="22"/>
        </w:rPr>
      </w:pPr>
      <w:r w:rsidRPr="00085331">
        <w:rPr>
          <w:rFonts w:ascii="Arial" w:hAnsi="Arial" w:cs="Arial"/>
          <w:sz w:val="22"/>
        </w:rPr>
        <w:br w:type="page"/>
      </w:r>
    </w:p>
    <w:p w14:paraId="5554F057" w14:textId="77777777" w:rsidR="00085331" w:rsidRPr="00085331" w:rsidRDefault="00085331" w:rsidP="00085331">
      <w:pPr>
        <w:pStyle w:val="Heading1"/>
        <w:rPr>
          <w:rFonts w:ascii="Arial" w:hAnsi="Arial" w:cs="Arial"/>
          <w:sz w:val="22"/>
          <w:szCs w:val="22"/>
        </w:rPr>
      </w:pPr>
      <w:bookmarkStart w:id="8" w:name="_Toc120290972"/>
      <w:r w:rsidRPr="00085331">
        <w:rPr>
          <w:rFonts w:ascii="Arial" w:hAnsi="Arial" w:cs="Arial"/>
          <w:sz w:val="22"/>
          <w:szCs w:val="22"/>
        </w:rPr>
        <w:lastRenderedPageBreak/>
        <w:t>References</w:t>
      </w:r>
      <w:bookmarkEnd w:id="8"/>
    </w:p>
    <w:p w14:paraId="36951FBC" w14:textId="77777777" w:rsidR="00085331" w:rsidRPr="00085331" w:rsidRDefault="00085331" w:rsidP="00085331">
      <w:pPr>
        <w:spacing w:before="240"/>
        <w:rPr>
          <w:rFonts w:ascii="Arial" w:hAnsi="Arial" w:cs="Arial"/>
          <w:sz w:val="22"/>
        </w:rPr>
      </w:pPr>
      <w:r w:rsidRPr="00085331">
        <w:rPr>
          <w:rFonts w:ascii="Arial" w:hAnsi="Arial" w:cs="Arial"/>
          <w:sz w:val="22"/>
        </w:rPr>
        <w:t>Birmingham Commonwealth Games (2022) Commonwealth Games - Birmingham 2022. Available at: https://www.birmingham2022.com/ (Accessed: November 25, 2022).</w:t>
      </w:r>
    </w:p>
    <w:p w14:paraId="11EF38E1" w14:textId="77777777" w:rsidR="00085331" w:rsidRPr="00085331" w:rsidRDefault="00085331" w:rsidP="00085331">
      <w:pPr>
        <w:spacing w:before="240"/>
        <w:rPr>
          <w:rFonts w:ascii="Arial" w:hAnsi="Arial" w:cs="Arial"/>
          <w:sz w:val="22"/>
        </w:rPr>
      </w:pPr>
      <w:proofErr w:type="spellStart"/>
      <w:r w:rsidRPr="00085331">
        <w:rPr>
          <w:rFonts w:ascii="Arial" w:hAnsi="Arial" w:cs="Arial"/>
          <w:sz w:val="22"/>
        </w:rPr>
        <w:t>Dostilio</w:t>
      </w:r>
      <w:proofErr w:type="spellEnd"/>
      <w:r w:rsidRPr="00085331">
        <w:rPr>
          <w:rFonts w:ascii="Arial" w:hAnsi="Arial" w:cs="Arial"/>
          <w:sz w:val="22"/>
        </w:rPr>
        <w:t>, L. D. and Welch, M. (2019) The community engagement professional’s guidebook the community engagement professional’s guidebook: A companion to the community engagement professional in higher education. Boston, MA: Campus Compact.</w:t>
      </w:r>
    </w:p>
    <w:p w14:paraId="2165D174" w14:textId="77777777" w:rsidR="00085331" w:rsidRPr="00085331" w:rsidRDefault="00085331" w:rsidP="00085331">
      <w:pPr>
        <w:spacing w:before="240"/>
        <w:rPr>
          <w:rFonts w:ascii="Arial" w:hAnsi="Arial" w:cs="Arial"/>
          <w:sz w:val="22"/>
        </w:rPr>
      </w:pPr>
      <w:proofErr w:type="spellStart"/>
      <w:r w:rsidRPr="00085331">
        <w:rPr>
          <w:rFonts w:ascii="Arial" w:hAnsi="Arial" w:cs="Arial"/>
          <w:sz w:val="22"/>
        </w:rPr>
        <w:t>Kronick</w:t>
      </w:r>
      <w:proofErr w:type="spellEnd"/>
      <w:r w:rsidRPr="00085331">
        <w:rPr>
          <w:rFonts w:ascii="Arial" w:hAnsi="Arial" w:cs="Arial"/>
          <w:sz w:val="22"/>
        </w:rPr>
        <w:t>, R. F. (ed.) (2018) Community engagement: Principles, strategies and practices. Hauppauge, NY: Nova Science.</w:t>
      </w:r>
    </w:p>
    <w:p w14:paraId="5A210E14" w14:textId="77777777" w:rsidR="00085331" w:rsidRPr="00085331" w:rsidRDefault="00085331" w:rsidP="00085331">
      <w:pPr>
        <w:spacing w:before="240"/>
        <w:rPr>
          <w:rFonts w:ascii="Arial" w:hAnsi="Arial" w:cs="Arial"/>
          <w:sz w:val="22"/>
        </w:rPr>
      </w:pPr>
      <w:proofErr w:type="spellStart"/>
      <w:r w:rsidRPr="00085331">
        <w:rPr>
          <w:rFonts w:ascii="Arial" w:hAnsi="Arial" w:cs="Arial"/>
          <w:sz w:val="22"/>
        </w:rPr>
        <w:t>Mtawa</w:t>
      </w:r>
      <w:proofErr w:type="spellEnd"/>
      <w:r w:rsidRPr="00085331">
        <w:rPr>
          <w:rFonts w:ascii="Arial" w:hAnsi="Arial" w:cs="Arial"/>
          <w:sz w:val="22"/>
        </w:rPr>
        <w:t>, N. N. (2021) Human development and community engagement through service-learning: The capability approach and public good in education. 1st ed. Cham, Switzerland: Springer Nature.</w:t>
      </w:r>
    </w:p>
    <w:p w14:paraId="41260549" w14:textId="77777777" w:rsidR="00085331" w:rsidRPr="00085331" w:rsidRDefault="00085331" w:rsidP="00085331">
      <w:pPr>
        <w:spacing w:before="240"/>
        <w:rPr>
          <w:rFonts w:ascii="Arial" w:hAnsi="Arial" w:cs="Arial"/>
          <w:sz w:val="22"/>
        </w:rPr>
      </w:pPr>
      <w:r w:rsidRPr="00085331">
        <w:rPr>
          <w:rFonts w:ascii="Arial" w:hAnsi="Arial" w:cs="Arial"/>
          <w:sz w:val="22"/>
        </w:rPr>
        <w:t>Sachs, J. and Clark, L. (eds.) (2018) Learning through community engagement: Vision and practice in higher education. Singapore, Singapore: Springer.</w:t>
      </w:r>
    </w:p>
    <w:p w14:paraId="6AA58A33" w14:textId="77777777" w:rsidR="00085331" w:rsidRPr="00085331" w:rsidRDefault="00085331" w:rsidP="00085331">
      <w:pPr>
        <w:spacing w:before="240"/>
        <w:rPr>
          <w:rFonts w:ascii="Arial" w:hAnsi="Arial" w:cs="Arial"/>
          <w:sz w:val="22"/>
        </w:rPr>
      </w:pPr>
      <w:proofErr w:type="spellStart"/>
      <w:r w:rsidRPr="00085331">
        <w:rPr>
          <w:rFonts w:ascii="Arial" w:hAnsi="Arial" w:cs="Arial"/>
          <w:sz w:val="22"/>
        </w:rPr>
        <w:t>Tinglin</w:t>
      </w:r>
      <w:proofErr w:type="spellEnd"/>
      <w:r w:rsidRPr="00085331">
        <w:rPr>
          <w:rFonts w:ascii="Arial" w:hAnsi="Arial" w:cs="Arial"/>
          <w:sz w:val="22"/>
        </w:rPr>
        <w:t xml:space="preserve">, W. and </w:t>
      </w:r>
      <w:proofErr w:type="spellStart"/>
      <w:r w:rsidRPr="00085331">
        <w:rPr>
          <w:rFonts w:ascii="Arial" w:hAnsi="Arial" w:cs="Arial"/>
          <w:sz w:val="22"/>
        </w:rPr>
        <w:t>Joyette</w:t>
      </w:r>
      <w:proofErr w:type="spellEnd"/>
      <w:r w:rsidRPr="00085331">
        <w:rPr>
          <w:rFonts w:ascii="Arial" w:hAnsi="Arial" w:cs="Arial"/>
          <w:sz w:val="22"/>
        </w:rPr>
        <w:t xml:space="preserve">, D. (2020) Community engagement in a changing social landscape. Victoria, BC, Canada: </w:t>
      </w:r>
      <w:proofErr w:type="spellStart"/>
      <w:r w:rsidRPr="00085331">
        <w:rPr>
          <w:rFonts w:ascii="Arial" w:hAnsi="Arial" w:cs="Arial"/>
          <w:sz w:val="22"/>
        </w:rPr>
        <w:t>FriesenPress</w:t>
      </w:r>
      <w:proofErr w:type="spellEnd"/>
      <w:r w:rsidRPr="00085331">
        <w:rPr>
          <w:rFonts w:ascii="Arial" w:hAnsi="Arial" w:cs="Arial"/>
          <w:sz w:val="22"/>
        </w:rPr>
        <w:t>.</w:t>
      </w:r>
    </w:p>
    <w:p w14:paraId="6BB3A7B5" w14:textId="77777777" w:rsidR="00085331" w:rsidRPr="00085331" w:rsidRDefault="00085331" w:rsidP="00085331">
      <w:pPr>
        <w:spacing w:before="240"/>
        <w:rPr>
          <w:rFonts w:ascii="Arial" w:hAnsi="Arial" w:cs="Arial"/>
          <w:sz w:val="22"/>
        </w:rPr>
      </w:pPr>
      <w:r w:rsidRPr="00085331">
        <w:rPr>
          <w:rFonts w:ascii="Arial" w:hAnsi="Arial" w:cs="Arial"/>
          <w:sz w:val="22"/>
        </w:rPr>
        <w:t>Waterton, E. and Watson, S. (eds.) (2020) Heritage and Community Engagement: Collaboration or Contestation? London, England: Routledge.</w:t>
      </w:r>
    </w:p>
    <w:p w14:paraId="6635BB25" w14:textId="77777777" w:rsidR="00085331" w:rsidRPr="00085331" w:rsidRDefault="00085331" w:rsidP="00085331">
      <w:pPr>
        <w:spacing w:before="240"/>
        <w:rPr>
          <w:rFonts w:ascii="Arial" w:hAnsi="Arial" w:cs="Arial"/>
          <w:sz w:val="22"/>
        </w:rPr>
      </w:pPr>
      <w:r w:rsidRPr="00085331">
        <w:rPr>
          <w:rFonts w:ascii="Arial" w:hAnsi="Arial" w:cs="Arial"/>
          <w:sz w:val="22"/>
        </w:rPr>
        <w:t>Wilson, P. A. (2019) The heart of community engagement: Practitioner stories from across the globe. Abingdon, Oxon ; New York, NY : Routledge, 2019. | Series: The community development research and practice series ; Volume 9: Routledge.</w:t>
      </w:r>
    </w:p>
    <w:p w14:paraId="365965F7" w14:textId="77777777" w:rsidR="00085331" w:rsidRPr="00085331" w:rsidRDefault="00085331" w:rsidP="00085331">
      <w:pPr>
        <w:rPr>
          <w:rFonts w:ascii="Arial" w:hAnsi="Arial" w:cs="Arial"/>
          <w:sz w:val="22"/>
        </w:rPr>
      </w:pPr>
    </w:p>
    <w:p w14:paraId="1EA9814F" w14:textId="77777777" w:rsidR="00085331" w:rsidRPr="00085331" w:rsidRDefault="00085331" w:rsidP="00085331">
      <w:pPr>
        <w:rPr>
          <w:rFonts w:ascii="Arial" w:hAnsi="Arial" w:cs="Arial"/>
          <w:sz w:val="22"/>
        </w:rPr>
      </w:pPr>
    </w:p>
    <w:p w14:paraId="6B48D0B1" w14:textId="77777777" w:rsidR="00A37BF1" w:rsidRPr="00085331" w:rsidRDefault="00A37BF1" w:rsidP="00085331">
      <w:pPr>
        <w:rPr>
          <w:rFonts w:ascii="Arial" w:hAnsi="Arial" w:cs="Arial"/>
          <w:sz w:val="22"/>
        </w:rPr>
      </w:pPr>
    </w:p>
    <w:sectPr w:rsidR="00A37BF1" w:rsidRPr="00085331" w:rsidSect="00237B68">
      <w:footerReference w:type="default" r:id="rId8"/>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37BF4" w14:textId="77777777" w:rsidR="002761FC" w:rsidRDefault="002761FC">
      <w:pPr>
        <w:spacing w:after="0" w:line="240" w:lineRule="auto"/>
      </w:pPr>
      <w:r>
        <w:separator/>
      </w:r>
    </w:p>
  </w:endnote>
  <w:endnote w:type="continuationSeparator" w:id="0">
    <w:p w14:paraId="3E91C535" w14:textId="77777777" w:rsidR="002761FC" w:rsidRDefault="00276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825221"/>
      <w:docPartObj>
        <w:docPartGallery w:val="Page Numbers (Bottom of Page)"/>
        <w:docPartUnique/>
      </w:docPartObj>
    </w:sdtPr>
    <w:sdtEndPr>
      <w:rPr>
        <w:noProof/>
      </w:rPr>
    </w:sdtEndPr>
    <w:sdtContent>
      <w:p w14:paraId="67D27F99" w14:textId="77777777" w:rsidR="00237B68"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610DD" w14:textId="77777777" w:rsidR="00237B68"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E879A" w14:textId="77777777" w:rsidR="002761FC" w:rsidRDefault="002761FC">
      <w:pPr>
        <w:spacing w:after="0" w:line="240" w:lineRule="auto"/>
      </w:pPr>
      <w:r>
        <w:separator/>
      </w:r>
    </w:p>
  </w:footnote>
  <w:footnote w:type="continuationSeparator" w:id="0">
    <w:p w14:paraId="6661A226" w14:textId="77777777" w:rsidR="002761FC" w:rsidRDefault="00276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74D7B"/>
    <w:multiLevelType w:val="hybridMultilevel"/>
    <w:tmpl w:val="4BBE4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EEF370F"/>
    <w:multiLevelType w:val="hybridMultilevel"/>
    <w:tmpl w:val="176ABA88"/>
    <w:lvl w:ilvl="0" w:tplc="9CFE2680">
      <w:start w:val="1"/>
      <w:numFmt w:val="bullet"/>
      <w:lvlText w:val="•"/>
      <w:lvlJc w:val="left"/>
      <w:pPr>
        <w:tabs>
          <w:tab w:val="num" w:pos="720"/>
        </w:tabs>
        <w:ind w:left="720" w:hanging="360"/>
      </w:pPr>
      <w:rPr>
        <w:rFonts w:ascii="Arial" w:hAnsi="Arial" w:hint="default"/>
      </w:rPr>
    </w:lvl>
    <w:lvl w:ilvl="1" w:tplc="64A8E8B0" w:tentative="1">
      <w:start w:val="1"/>
      <w:numFmt w:val="bullet"/>
      <w:lvlText w:val="•"/>
      <w:lvlJc w:val="left"/>
      <w:pPr>
        <w:tabs>
          <w:tab w:val="num" w:pos="1440"/>
        </w:tabs>
        <w:ind w:left="1440" w:hanging="360"/>
      </w:pPr>
      <w:rPr>
        <w:rFonts w:ascii="Arial" w:hAnsi="Arial" w:hint="default"/>
      </w:rPr>
    </w:lvl>
    <w:lvl w:ilvl="2" w:tplc="5E3C7F8A" w:tentative="1">
      <w:start w:val="1"/>
      <w:numFmt w:val="bullet"/>
      <w:lvlText w:val="•"/>
      <w:lvlJc w:val="left"/>
      <w:pPr>
        <w:tabs>
          <w:tab w:val="num" w:pos="2160"/>
        </w:tabs>
        <w:ind w:left="2160" w:hanging="360"/>
      </w:pPr>
      <w:rPr>
        <w:rFonts w:ascii="Arial" w:hAnsi="Arial" w:hint="default"/>
      </w:rPr>
    </w:lvl>
    <w:lvl w:ilvl="3" w:tplc="69BA8B5A" w:tentative="1">
      <w:start w:val="1"/>
      <w:numFmt w:val="bullet"/>
      <w:lvlText w:val="•"/>
      <w:lvlJc w:val="left"/>
      <w:pPr>
        <w:tabs>
          <w:tab w:val="num" w:pos="2880"/>
        </w:tabs>
        <w:ind w:left="2880" w:hanging="360"/>
      </w:pPr>
      <w:rPr>
        <w:rFonts w:ascii="Arial" w:hAnsi="Arial" w:hint="default"/>
      </w:rPr>
    </w:lvl>
    <w:lvl w:ilvl="4" w:tplc="9584802C" w:tentative="1">
      <w:start w:val="1"/>
      <w:numFmt w:val="bullet"/>
      <w:lvlText w:val="•"/>
      <w:lvlJc w:val="left"/>
      <w:pPr>
        <w:tabs>
          <w:tab w:val="num" w:pos="3600"/>
        </w:tabs>
        <w:ind w:left="3600" w:hanging="360"/>
      </w:pPr>
      <w:rPr>
        <w:rFonts w:ascii="Arial" w:hAnsi="Arial" w:hint="default"/>
      </w:rPr>
    </w:lvl>
    <w:lvl w:ilvl="5" w:tplc="83B4F15C" w:tentative="1">
      <w:start w:val="1"/>
      <w:numFmt w:val="bullet"/>
      <w:lvlText w:val="•"/>
      <w:lvlJc w:val="left"/>
      <w:pPr>
        <w:tabs>
          <w:tab w:val="num" w:pos="4320"/>
        </w:tabs>
        <w:ind w:left="4320" w:hanging="360"/>
      </w:pPr>
      <w:rPr>
        <w:rFonts w:ascii="Arial" w:hAnsi="Arial" w:hint="default"/>
      </w:rPr>
    </w:lvl>
    <w:lvl w:ilvl="6" w:tplc="14208144" w:tentative="1">
      <w:start w:val="1"/>
      <w:numFmt w:val="bullet"/>
      <w:lvlText w:val="•"/>
      <w:lvlJc w:val="left"/>
      <w:pPr>
        <w:tabs>
          <w:tab w:val="num" w:pos="5040"/>
        </w:tabs>
        <w:ind w:left="5040" w:hanging="360"/>
      </w:pPr>
      <w:rPr>
        <w:rFonts w:ascii="Arial" w:hAnsi="Arial" w:hint="default"/>
      </w:rPr>
    </w:lvl>
    <w:lvl w:ilvl="7" w:tplc="6DD2AF84" w:tentative="1">
      <w:start w:val="1"/>
      <w:numFmt w:val="bullet"/>
      <w:lvlText w:val="•"/>
      <w:lvlJc w:val="left"/>
      <w:pPr>
        <w:tabs>
          <w:tab w:val="num" w:pos="5760"/>
        </w:tabs>
        <w:ind w:left="5760" w:hanging="360"/>
      </w:pPr>
      <w:rPr>
        <w:rFonts w:ascii="Arial" w:hAnsi="Arial" w:hint="default"/>
      </w:rPr>
    </w:lvl>
    <w:lvl w:ilvl="8" w:tplc="DD349D2A" w:tentative="1">
      <w:start w:val="1"/>
      <w:numFmt w:val="bullet"/>
      <w:lvlText w:val="•"/>
      <w:lvlJc w:val="left"/>
      <w:pPr>
        <w:tabs>
          <w:tab w:val="num" w:pos="6480"/>
        </w:tabs>
        <w:ind w:left="6480" w:hanging="360"/>
      </w:pPr>
      <w:rPr>
        <w:rFonts w:ascii="Arial" w:hAnsi="Arial" w:hint="default"/>
      </w:rPr>
    </w:lvl>
  </w:abstractNum>
  <w:num w:numId="1" w16cid:durableId="388575119">
    <w:abstractNumId w:val="0"/>
  </w:num>
  <w:num w:numId="2" w16cid:durableId="1486313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180"/>
    <w:rsid w:val="00085331"/>
    <w:rsid w:val="002761FC"/>
    <w:rsid w:val="002F5A53"/>
    <w:rsid w:val="003E5130"/>
    <w:rsid w:val="007A0180"/>
    <w:rsid w:val="00914D60"/>
    <w:rsid w:val="00A37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4E24"/>
  <w15:chartTrackingRefBased/>
  <w15:docId w15:val="{709E9672-58A1-426C-8D5E-7E9FD62A1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331"/>
    <w:pPr>
      <w:spacing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085331"/>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331"/>
    <w:rPr>
      <w:rFonts w:ascii="Times New Roman" w:eastAsiaTheme="majorEastAsia" w:hAnsi="Times New Roman" w:cstheme="majorBidi"/>
      <w:b/>
      <w:color w:val="2F5496" w:themeColor="accent1" w:themeShade="BF"/>
      <w:sz w:val="32"/>
      <w:szCs w:val="32"/>
      <w:lang w:val="en-US"/>
    </w:rPr>
  </w:style>
  <w:style w:type="paragraph" w:styleId="TOCHeading">
    <w:name w:val="TOC Heading"/>
    <w:basedOn w:val="Heading1"/>
    <w:next w:val="Normal"/>
    <w:uiPriority w:val="39"/>
    <w:unhideWhenUsed/>
    <w:qFormat/>
    <w:rsid w:val="00085331"/>
    <w:pPr>
      <w:spacing w:line="259" w:lineRule="auto"/>
      <w:jc w:val="left"/>
      <w:outlineLvl w:val="9"/>
    </w:pPr>
    <w:rPr>
      <w:rFonts w:asciiTheme="majorHAnsi" w:hAnsiTheme="majorHAnsi"/>
      <w:b w:val="0"/>
    </w:rPr>
  </w:style>
  <w:style w:type="paragraph" w:styleId="ListParagraph">
    <w:name w:val="List Paragraph"/>
    <w:basedOn w:val="Normal"/>
    <w:uiPriority w:val="34"/>
    <w:qFormat/>
    <w:rsid w:val="00085331"/>
    <w:pPr>
      <w:ind w:left="720"/>
      <w:contextualSpacing/>
    </w:pPr>
  </w:style>
  <w:style w:type="paragraph" w:styleId="Footer">
    <w:name w:val="footer"/>
    <w:basedOn w:val="Normal"/>
    <w:link w:val="FooterChar"/>
    <w:uiPriority w:val="99"/>
    <w:unhideWhenUsed/>
    <w:rsid w:val="00085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331"/>
    <w:rPr>
      <w:rFonts w:ascii="Times New Roman" w:hAnsi="Times New Roman"/>
      <w:color w:val="000000" w:themeColor="text1"/>
      <w:sz w:val="24"/>
      <w:lang w:val="en-US"/>
    </w:rPr>
  </w:style>
  <w:style w:type="paragraph" w:styleId="TOC1">
    <w:name w:val="toc 1"/>
    <w:basedOn w:val="Normal"/>
    <w:next w:val="Normal"/>
    <w:autoRedefine/>
    <w:uiPriority w:val="39"/>
    <w:unhideWhenUsed/>
    <w:rsid w:val="00085331"/>
    <w:pPr>
      <w:spacing w:after="100"/>
    </w:pPr>
  </w:style>
  <w:style w:type="character" w:styleId="Hyperlink">
    <w:name w:val="Hyperlink"/>
    <w:basedOn w:val="DefaultParagraphFont"/>
    <w:uiPriority w:val="99"/>
    <w:unhideWhenUsed/>
    <w:rsid w:val="00085331"/>
    <w:rPr>
      <w:color w:val="0563C1" w:themeColor="hyperlink"/>
      <w:u w:val="single"/>
    </w:rPr>
  </w:style>
  <w:style w:type="paragraph" w:styleId="NoSpacing">
    <w:name w:val="No Spacing"/>
    <w:link w:val="NoSpacingChar"/>
    <w:uiPriority w:val="1"/>
    <w:qFormat/>
    <w:rsid w:val="00914D60"/>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914D60"/>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2417</Words>
  <Characters>13778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Adzhemova</dc:creator>
  <cp:keywords/>
  <dc:description/>
  <cp:lastModifiedBy>Milena Adzhemova</cp:lastModifiedBy>
  <cp:revision>4</cp:revision>
  <dcterms:created xsi:type="dcterms:W3CDTF">2022-12-01T21:08:00Z</dcterms:created>
  <dcterms:modified xsi:type="dcterms:W3CDTF">2022-12-01T21:49:00Z</dcterms:modified>
</cp:coreProperties>
</file>