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em700ffbiyt6" w:colFirst="0" w:colLast="0" w:displacedByCustomXml="next"/>
    <w:bookmarkEnd w:id="0" w:displacedByCustomXml="next"/>
    <w:sdt>
      <w:sdtPr>
        <w:id w:val="-1621674121"/>
        <w:docPartObj>
          <w:docPartGallery w:val="Cover Pages"/>
          <w:docPartUnique/>
        </w:docPartObj>
      </w:sdtPr>
      <w:sdtEndPr>
        <w:rPr>
          <w:rFonts w:ascii="Arial" w:eastAsia="Arial" w:hAnsi="Arial" w:cs="Arial"/>
          <w:lang w:eastAsia="en-US"/>
        </w:rPr>
      </w:sdtEndPr>
      <w:sdtContent>
        <w:p w14:paraId="22E6A26C" w14:textId="13D43970" w:rsidR="00ED4D75" w:rsidRDefault="00ED4D75">
          <w:pPr>
            <w:pStyle w:val="NoSpacing"/>
          </w:pPr>
          <w:r>
            <w:rPr>
              <w:noProof/>
            </w:rPr>
            <mc:AlternateContent>
              <mc:Choice Requires="wpg">
                <w:drawing>
                  <wp:anchor distT="0" distB="0" distL="114300" distR="114300" simplePos="0" relativeHeight="251659264" behindDoc="1" locked="0" layoutInCell="1" allowOverlap="1" wp14:anchorId="04F1C9AD" wp14:editId="4AD2AD6A">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450145C4" w14:textId="77777777" w:rsidR="00ED4D75" w:rsidRDefault="00ED4D75">
                                      <w:pPr>
                                        <w:pStyle w:val="NoSpacing"/>
                                        <w:jc w:val="right"/>
                                        <w:rPr>
                                          <w:color w:val="FFFFFF" w:themeColor="background1"/>
                                          <w:sz w:val="28"/>
                                          <w:szCs w:val="28"/>
                                        </w:rPr>
                                      </w:pPr>
                                      <w:r>
                                        <w:rPr>
                                          <w:color w:val="FFFFFF" w:themeColor="background1"/>
                                          <w:sz w:val="28"/>
                                          <w:szCs w:val="28"/>
                                        </w:rPr>
                                        <w:t>[Date]</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04F1C9AD"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Y7XEwgAAANoAAAAPAAAAZHJzL2Rvd25yZXYueG1sRI9BawIx&#10;FITvBf9DeIK3mrVCWVejLEJB6UkrgrfH5rm7uHlZk+im/74pFHocZuYbZrWJphNPcr61rGA2zUAQ&#10;V1a3XCs4fX285iB8QNbYWSYF3+Rhsx69rLDQduADPY+hFgnCvkAFTQh9IaWvGjLop7YnTt7VOoMh&#10;SVdL7XBIcNPJtyx7lwZbTgsN9rRtqLodH0bBdj+cyy7fX+rcLMrPKA+uvEelJuNYLkEEiuE//Nfe&#10;aQVz+L2SboBc/wAAAP//AwBQSwECLQAUAAYACAAAACEA2+H2y+4AAACFAQAAEwAAAAAAAAAAAAAA&#10;AAAAAAAAW0NvbnRlbnRfVHlwZXNdLnhtbFBLAQItABQABgAIAAAAIQBa9CxbvwAAABUBAAALAAAA&#10;AAAAAAAAAAAAAB8BAABfcmVscy8ucmVsc1BLAQItABQABgAIAAAAIQBEY7XEwgAAANoAAAAPAAAA&#10;AAAAAAAAAAAAAAcCAABkcnMvZG93bnJldi54bWxQSwUGAAAAAAMAAwC3AAAA9gIAAAAA&#10;" fillcolor="#1f497d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nxT4wwAAANoAAAAPAAAAZHJzL2Rvd25yZXYueG1sRI9PawIx&#10;FMTvhX6H8Aq91WxFpKxmFy3aWnryLx4fm+dmcfOyJFG3374pFDwOM/MbZlr2thVX8qFxrOB1kIEg&#10;rpxuuFaw2y5f3kCEiKyxdUwKfihAWTw+TDHX7sZrum5iLRKEQ44KTIxdLmWoDFkMA9cRJ+/kvMWY&#10;pK+l9nhLcNvKYZaNpcWG04LBjt4NVefNxSr4vtTmsKXx3h0/P+Q8+tFi+LVS6vmpn01AROrjPfzf&#10;XmkFI/i7km6ALH4BAAD//wMAUEsBAi0AFAAGAAgAAAAhANvh9svuAAAAhQEAABMAAAAAAAAAAAAA&#10;AAAAAAAAAFtDb250ZW50X1R5cGVzXS54bWxQSwECLQAUAAYACAAAACEAWvQsW78AAAAVAQAACwAA&#10;AAAAAAAAAAAAAAAfAQAAX3JlbHMvLnJlbHNQSwECLQAUAAYACAAAACEAhp8U+MMAAADaAAAADwAA&#10;AAAAAAAAAAAAAAAHAgAAZHJzL2Rvd25yZXYueG1sUEsFBgAAAAADAAMAtwAAAPcCAAAAAA==&#10;" adj="18883" fillcolor="#4f81bd [3204]" stroked="f" strokeweight="2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450145C4" w14:textId="77777777" w:rsidR="00ED4D75" w:rsidRDefault="00ED4D75">
                                <w:pPr>
                                  <w:pStyle w:val="NoSpacing"/>
                                  <w:jc w:val="right"/>
                                  <w:rPr>
                                    <w:color w:val="FFFFFF" w:themeColor="background1"/>
                                    <w:sz w:val="28"/>
                                    <w:szCs w:val="28"/>
                                  </w:rPr>
                                </w:pPr>
                                <w:r>
                                  <w:rPr>
                                    <w:color w:val="FFFFFF" w:themeColor="background1"/>
                                    <w:sz w:val="28"/>
                                    <w:szCs w:val="28"/>
                                  </w:rPr>
                                  <w:t>[Date]</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1f497d [3215]" strokecolor="#1f497d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1f497d [3215]" strokecolor="#1f497d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1f497d [3215]" strokecolor="#1f497d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1f497d [3215]" strokecolor="#1f497d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1f497d [3215]" strokecolor="#1f497d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1f497d [3215]" strokecolor="#1f497d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1f497d [3215]" strokecolor="#1f497d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1f497d [3215]" strokecolor="#1f497d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1f497d [3215]" strokecolor="#1f497d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1f497d [3215]" strokecolor="#1f497d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1f497d [3215]" strokecolor="#1f497d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1f497d [3215]" strokecolor="#1f497d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1f497d [3215]" strokecolor="#1f497d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1f497d [3215]" strokecolor="#1f497d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1f497d [3215]" strokecolor="#1f497d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1f497d [3215]" strokecolor="#1f497d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1f497d [3215]" strokecolor="#1f497d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1f497d [3215]" strokecolor="#1f497d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1f497d [3215]" strokecolor="#1f497d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1f497d [3215]" strokecolor="#1f497d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1f497d [3215]" strokecolor="#1f497d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1f497d [3215]" strokecolor="#1f497d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1f497d [3215]" strokecolor="#1f497d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F53A4DC" wp14:editId="16E84E3C">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BD5155" w14:textId="6A0E422E" w:rsidR="00ED4D75" w:rsidRDefault="00ED4D75">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B4029">
                                      <w:rPr>
                                        <w:color w:val="4F81BD" w:themeColor="accent1"/>
                                        <w:sz w:val="26"/>
                                        <w:szCs w:val="26"/>
                                      </w:rPr>
                                      <w:t>Nikita Nana Angelina Wilson</w:t>
                                    </w:r>
                                  </w:sdtContent>
                                </w:sdt>
                              </w:p>
                              <w:p w14:paraId="7DE61C84" w14:textId="77777777" w:rsidR="00ED4D75" w:rsidRDefault="00ED4D75">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[company name]</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F53A4DC"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4BD5155" w14:textId="6A0E422E" w:rsidR="00ED4D75" w:rsidRDefault="00ED4D75">
                          <w:pPr>
                            <w:pStyle w:val="NoSpacing"/>
                            <w:rPr>
                              <w:color w:val="4F81BD" w:themeColor="accent1"/>
                              <w:sz w:val="26"/>
                              <w:szCs w:val="26"/>
                            </w:rPr>
                          </w:pPr>
                          <w:sdt>
                            <w:sdtPr>
                              <w:rPr>
                                <w:color w:val="4F81BD"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B4029">
                                <w:rPr>
                                  <w:color w:val="4F81BD" w:themeColor="accent1"/>
                                  <w:sz w:val="26"/>
                                  <w:szCs w:val="26"/>
                                </w:rPr>
                                <w:t>Nikita Nana Angelina Wilson</w:t>
                              </w:r>
                            </w:sdtContent>
                          </w:sdt>
                        </w:p>
                        <w:p w14:paraId="7DE61C84" w14:textId="77777777" w:rsidR="00ED4D75" w:rsidRDefault="00ED4D75">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[company name]</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90E241E" wp14:editId="5E8C884F">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210077316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7F3A39" w14:textId="64B68791" w:rsidR="00ED4D75" w:rsidRDefault="00ED4D7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     </w:t>
                                    </w:r>
                                  </w:sdtContent>
                                </w:sdt>
                              </w:p>
                              <w:p w14:paraId="72E9A141" w14:textId="289D45DE" w:rsidR="00ED4D75" w:rsidRDefault="00ED4D75">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90E241E"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737F3A39" w14:textId="64B68791" w:rsidR="00ED4D75" w:rsidRDefault="00ED4D75">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showingPlcHdr/>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 xml:space="preserve">     </w:t>
                              </w:r>
                            </w:sdtContent>
                          </w:sdt>
                        </w:p>
                        <w:p w14:paraId="72E9A141" w14:textId="289D45DE" w:rsidR="00ED4D75" w:rsidRDefault="00ED4D75">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 xml:space="preserve">     </w:t>
                              </w:r>
                            </w:sdtContent>
                          </w:sdt>
                        </w:p>
                      </w:txbxContent>
                    </v:textbox>
                    <w10:wrap anchorx="page" anchory="page"/>
                  </v:shape>
                </w:pict>
              </mc:Fallback>
            </mc:AlternateContent>
          </w:r>
        </w:p>
        <w:p w14:paraId="37D64CAA" w14:textId="3A83B974" w:rsidR="006D7807" w:rsidRPr="00775A0C" w:rsidRDefault="00ED4D75" w:rsidP="00ED4D75">
          <w:pPr>
            <w:rPr>
              <w:lang w:val="en-GB"/>
            </w:rPr>
          </w:pPr>
        </w:p>
      </w:sdtContent>
    </w:sdt>
    <w:p w14:paraId="5B98A957" w14:textId="77777777" w:rsidR="00856F9E" w:rsidRPr="00775A0C" w:rsidRDefault="00856F9E" w:rsidP="00CE661D">
      <w:pPr>
        <w:spacing w:before="240" w:after="240"/>
        <w:ind w:left="360"/>
        <w:jc w:val="center"/>
        <w:rPr>
          <w:rFonts w:eastAsia="Aptos"/>
          <w:b/>
          <w:bCs/>
          <w:sz w:val="28"/>
          <w:szCs w:val="28"/>
          <w:lang w:val="en-GB"/>
        </w:rPr>
      </w:pPr>
    </w:p>
    <w:p w14:paraId="1CCF86FE" w14:textId="77777777" w:rsidR="00ED4D75" w:rsidRDefault="00ED4D75" w:rsidP="00CE661D">
      <w:pPr>
        <w:spacing w:before="240" w:after="240"/>
        <w:ind w:left="360"/>
        <w:jc w:val="center"/>
        <w:rPr>
          <w:rFonts w:eastAsia="Aptos"/>
          <w:b/>
          <w:bCs/>
          <w:sz w:val="28"/>
          <w:szCs w:val="28"/>
          <w:lang w:val="en-GB"/>
        </w:rPr>
      </w:pPr>
    </w:p>
    <w:p w14:paraId="59390412" w14:textId="77777777" w:rsidR="00ED4D75" w:rsidRDefault="00ED4D75" w:rsidP="00ED4D75">
      <w:pPr>
        <w:pStyle w:val="Heading1"/>
        <w:rPr>
          <w:lang w:val="en-GB"/>
        </w:rPr>
      </w:pPr>
    </w:p>
    <w:p w14:paraId="67DC1BF8" w14:textId="7C83B667" w:rsidR="00ED4D75" w:rsidRPr="00ED4D75" w:rsidRDefault="00CE661D" w:rsidP="00ED4D75">
      <w:pPr>
        <w:spacing w:before="240" w:after="240"/>
        <w:ind w:left="360"/>
        <w:jc w:val="center"/>
        <w:rPr>
          <w:rFonts w:eastAsia="Aptos"/>
          <w:b/>
          <w:bCs/>
          <w:sz w:val="36"/>
          <w:szCs w:val="36"/>
          <w:lang w:val="en-GB"/>
        </w:rPr>
      </w:pPr>
      <w:r w:rsidRPr="00ED4D75">
        <w:rPr>
          <w:rFonts w:eastAsia="Aptos"/>
          <w:b/>
          <w:bCs/>
          <w:sz w:val="36"/>
          <w:szCs w:val="36"/>
          <w:lang w:val="en-GB"/>
        </w:rPr>
        <w:t>Student Name</w:t>
      </w:r>
      <w:r w:rsidR="005765F1" w:rsidRPr="00ED4D75">
        <w:rPr>
          <w:rFonts w:eastAsia="Aptos"/>
          <w:b/>
          <w:bCs/>
          <w:sz w:val="36"/>
          <w:szCs w:val="36"/>
          <w:lang w:val="en-GB"/>
        </w:rPr>
        <w:t>: Nikita Nana Angelina Wilson</w:t>
      </w:r>
    </w:p>
    <w:p w14:paraId="69CEEB76" w14:textId="4F79C9C5" w:rsidR="00856F9E" w:rsidRPr="00ED4D75" w:rsidRDefault="00CE661D" w:rsidP="00ED4D75">
      <w:pPr>
        <w:spacing w:before="240" w:after="240"/>
        <w:ind w:left="360"/>
        <w:jc w:val="center"/>
        <w:rPr>
          <w:rFonts w:eastAsia="Aptos"/>
          <w:b/>
          <w:bCs/>
          <w:sz w:val="36"/>
          <w:szCs w:val="36"/>
          <w:lang w:val="en-GB"/>
        </w:rPr>
      </w:pPr>
      <w:r w:rsidRPr="00ED4D75">
        <w:rPr>
          <w:rFonts w:eastAsia="Aptos"/>
          <w:b/>
          <w:bCs/>
          <w:sz w:val="36"/>
          <w:szCs w:val="36"/>
          <w:lang w:val="en-GB"/>
        </w:rPr>
        <w:t>Student Number</w:t>
      </w:r>
      <w:r w:rsidR="005765F1" w:rsidRPr="00ED4D75">
        <w:rPr>
          <w:rFonts w:eastAsia="Aptos"/>
          <w:b/>
          <w:bCs/>
          <w:sz w:val="36"/>
          <w:szCs w:val="36"/>
          <w:lang w:val="en-GB"/>
        </w:rPr>
        <w:t xml:space="preserve">: </w:t>
      </w:r>
      <w:r w:rsidR="00ED4D75" w:rsidRPr="00ED4D75">
        <w:rPr>
          <w:rFonts w:eastAsia="Aptos"/>
          <w:b/>
          <w:bCs/>
          <w:sz w:val="36"/>
          <w:szCs w:val="36"/>
          <w:lang w:val="en-GB"/>
        </w:rPr>
        <w:t xml:space="preserve"> 2506894</w:t>
      </w:r>
    </w:p>
    <w:p w14:paraId="5F361520" w14:textId="7858F778" w:rsidR="00856F9E" w:rsidRPr="00ED4D75" w:rsidRDefault="00CE661D" w:rsidP="00ED4D75">
      <w:pPr>
        <w:spacing w:before="240" w:after="240"/>
        <w:ind w:left="360"/>
        <w:jc w:val="center"/>
        <w:rPr>
          <w:rFonts w:eastAsia="Aptos"/>
          <w:b/>
          <w:bCs/>
          <w:sz w:val="36"/>
          <w:szCs w:val="36"/>
          <w:lang w:val="en-GB"/>
        </w:rPr>
      </w:pPr>
      <w:r w:rsidRPr="00ED4D75">
        <w:rPr>
          <w:rFonts w:eastAsia="Aptos"/>
          <w:b/>
          <w:bCs/>
          <w:sz w:val="36"/>
          <w:szCs w:val="36"/>
          <w:lang w:val="en-GB"/>
        </w:rPr>
        <w:t>Module code</w:t>
      </w:r>
      <w:r w:rsidR="005765F1" w:rsidRPr="00ED4D75">
        <w:rPr>
          <w:rFonts w:eastAsia="Aptos"/>
          <w:b/>
          <w:bCs/>
          <w:sz w:val="36"/>
          <w:szCs w:val="36"/>
          <w:lang w:val="en-GB"/>
        </w:rPr>
        <w:t>: BMHP5023</w:t>
      </w:r>
    </w:p>
    <w:p w14:paraId="27DE638E" w14:textId="081AA172" w:rsidR="00856F9E" w:rsidRPr="00ED4D75" w:rsidRDefault="005765F1" w:rsidP="00ED4D75">
      <w:pPr>
        <w:spacing w:before="240" w:after="240"/>
        <w:ind w:left="360"/>
        <w:jc w:val="center"/>
        <w:rPr>
          <w:rFonts w:eastAsia="Aptos"/>
          <w:b/>
          <w:bCs/>
          <w:sz w:val="36"/>
          <w:szCs w:val="36"/>
          <w:lang w:val="en-GB"/>
        </w:rPr>
      </w:pPr>
      <w:r w:rsidRPr="00ED4D75">
        <w:rPr>
          <w:rFonts w:eastAsia="Aptos"/>
          <w:b/>
          <w:bCs/>
          <w:sz w:val="36"/>
          <w:szCs w:val="36"/>
          <w:lang w:val="en-GB"/>
        </w:rPr>
        <w:t>T</w:t>
      </w:r>
      <w:r w:rsidR="00CE661D" w:rsidRPr="00ED4D75">
        <w:rPr>
          <w:rFonts w:eastAsia="Aptos"/>
          <w:b/>
          <w:bCs/>
          <w:sz w:val="36"/>
          <w:szCs w:val="36"/>
          <w:lang w:val="en-GB"/>
        </w:rPr>
        <w:t>itle</w:t>
      </w:r>
      <w:r w:rsidRPr="00ED4D75">
        <w:rPr>
          <w:rFonts w:eastAsia="Aptos"/>
          <w:b/>
          <w:bCs/>
          <w:sz w:val="36"/>
          <w:szCs w:val="36"/>
          <w:lang w:val="en-GB"/>
        </w:rPr>
        <w:t>: Introduction to Physiology</w:t>
      </w:r>
    </w:p>
    <w:p w14:paraId="7D41B6B5" w14:textId="496E4F20" w:rsidR="00CE661D" w:rsidRPr="00ED4D75" w:rsidRDefault="00CE661D" w:rsidP="00CE661D">
      <w:pPr>
        <w:spacing w:before="240" w:after="240"/>
        <w:ind w:left="360"/>
        <w:jc w:val="center"/>
        <w:rPr>
          <w:rFonts w:eastAsia="Aptos"/>
          <w:b/>
          <w:bCs/>
          <w:sz w:val="36"/>
          <w:szCs w:val="36"/>
          <w:lang w:val="en-GB"/>
        </w:rPr>
      </w:pPr>
      <w:r w:rsidRPr="00ED4D75">
        <w:rPr>
          <w:rFonts w:eastAsia="Aptos"/>
          <w:b/>
          <w:bCs/>
          <w:sz w:val="36"/>
          <w:szCs w:val="36"/>
          <w:lang w:val="en-GB"/>
        </w:rPr>
        <w:t xml:space="preserve">Assignment </w:t>
      </w:r>
      <w:r w:rsidR="00E76C1C" w:rsidRPr="00ED4D75">
        <w:rPr>
          <w:rFonts w:eastAsia="Aptos"/>
          <w:b/>
          <w:bCs/>
          <w:sz w:val="36"/>
          <w:szCs w:val="36"/>
          <w:lang w:val="en-GB"/>
        </w:rPr>
        <w:t>T</w:t>
      </w:r>
      <w:r w:rsidRPr="00ED4D75">
        <w:rPr>
          <w:rFonts w:eastAsia="Aptos"/>
          <w:b/>
          <w:bCs/>
          <w:sz w:val="36"/>
          <w:szCs w:val="36"/>
          <w:lang w:val="en-GB"/>
        </w:rPr>
        <w:t>itle</w:t>
      </w:r>
      <w:r w:rsidR="00E76C1C" w:rsidRPr="00ED4D75">
        <w:rPr>
          <w:rFonts w:eastAsia="Aptos"/>
          <w:b/>
          <w:bCs/>
          <w:sz w:val="36"/>
          <w:szCs w:val="36"/>
          <w:lang w:val="en-GB"/>
        </w:rPr>
        <w:t>: Component 1: Written Assignment (</w:t>
      </w:r>
      <w:r w:rsidRPr="00ED4D75">
        <w:rPr>
          <w:rFonts w:eastAsia="Aptos"/>
          <w:b/>
          <w:bCs/>
          <w:sz w:val="36"/>
          <w:szCs w:val="36"/>
          <w:lang w:val="en-GB"/>
        </w:rPr>
        <w:t>Case Study Report: Type 2 Diabetes)</w:t>
      </w:r>
    </w:p>
    <w:p w14:paraId="0C2B5AED" w14:textId="72AD86A5" w:rsidR="00ED4D75" w:rsidRPr="00ED4D75" w:rsidRDefault="00ED4D75" w:rsidP="00CE661D">
      <w:pPr>
        <w:spacing w:before="240" w:after="240"/>
        <w:ind w:left="360"/>
        <w:jc w:val="center"/>
        <w:rPr>
          <w:rFonts w:eastAsia="Aptos"/>
          <w:b/>
          <w:bCs/>
          <w:sz w:val="36"/>
          <w:szCs w:val="36"/>
          <w:lang w:val="en-GB"/>
        </w:rPr>
      </w:pPr>
      <w:r w:rsidRPr="00ED4D75">
        <w:rPr>
          <w:rFonts w:eastAsia="Aptos"/>
          <w:b/>
          <w:bCs/>
          <w:sz w:val="36"/>
          <w:szCs w:val="36"/>
          <w:lang w:val="en-GB"/>
        </w:rPr>
        <w:t>Lecturer Name: Gillian Weaver</w:t>
      </w:r>
    </w:p>
    <w:p w14:paraId="095CC9F1" w14:textId="77777777" w:rsidR="00ED4D75" w:rsidRPr="00ED4D75" w:rsidRDefault="00ED4D75" w:rsidP="00CE661D">
      <w:pPr>
        <w:spacing w:before="240" w:after="240"/>
        <w:ind w:left="360"/>
        <w:jc w:val="center"/>
        <w:rPr>
          <w:rFonts w:eastAsia="Aptos"/>
          <w:b/>
          <w:bCs/>
          <w:sz w:val="36"/>
          <w:szCs w:val="36"/>
          <w:lang w:val="en-GB"/>
        </w:rPr>
      </w:pPr>
    </w:p>
    <w:p w14:paraId="62D449C1" w14:textId="051E6C60" w:rsidR="00425DB8" w:rsidRPr="00775A0C" w:rsidRDefault="00425DB8">
      <w:pPr>
        <w:rPr>
          <w:rFonts w:eastAsia="Aptos"/>
          <w:b/>
          <w:bCs/>
          <w:sz w:val="28"/>
          <w:szCs w:val="28"/>
          <w:lang w:val="en-GB"/>
        </w:rPr>
      </w:pPr>
      <w:r w:rsidRPr="00775A0C">
        <w:rPr>
          <w:rFonts w:eastAsia="Aptos"/>
          <w:b/>
          <w:bCs/>
          <w:sz w:val="28"/>
          <w:szCs w:val="28"/>
          <w:lang w:val="en-GB"/>
        </w:rPr>
        <w:br w:type="page"/>
      </w:r>
    </w:p>
    <w:sdt>
      <w:sdtPr>
        <w:rPr>
          <w:rFonts w:ascii="Arial" w:eastAsia="Arial" w:hAnsi="Arial" w:cs="Arial"/>
          <w:color w:val="auto"/>
          <w:sz w:val="22"/>
          <w:szCs w:val="22"/>
          <w:lang w:val="en-GB"/>
        </w:rPr>
        <w:id w:val="-1601256102"/>
        <w:docPartObj>
          <w:docPartGallery w:val="Table of Contents"/>
          <w:docPartUnique/>
        </w:docPartObj>
      </w:sdtPr>
      <w:sdtEndPr>
        <w:rPr>
          <w:b/>
          <w:bCs/>
          <w:noProof/>
        </w:rPr>
      </w:sdtEndPr>
      <w:sdtContent>
        <w:p w14:paraId="06AC05B1" w14:textId="06ADB00D" w:rsidR="00425DB8" w:rsidRPr="00775A0C" w:rsidRDefault="00425DB8" w:rsidP="00425DB8">
          <w:pPr>
            <w:pStyle w:val="TOCHeading"/>
            <w:spacing w:line="360" w:lineRule="auto"/>
            <w:jc w:val="center"/>
            <w:rPr>
              <w:rFonts w:ascii="Arial" w:hAnsi="Arial" w:cs="Arial"/>
              <w:b/>
              <w:bCs/>
              <w:color w:val="auto"/>
              <w:sz w:val="24"/>
              <w:szCs w:val="24"/>
              <w:lang w:val="en-GB"/>
            </w:rPr>
          </w:pPr>
          <w:r w:rsidRPr="00775A0C">
            <w:rPr>
              <w:rFonts w:ascii="Arial" w:hAnsi="Arial" w:cs="Arial"/>
              <w:b/>
              <w:bCs/>
              <w:color w:val="auto"/>
              <w:sz w:val="24"/>
              <w:szCs w:val="24"/>
              <w:lang w:val="en-GB"/>
            </w:rPr>
            <w:t>Table of Contents</w:t>
          </w:r>
        </w:p>
        <w:p w14:paraId="298AF0F0" w14:textId="7D9687A0" w:rsidR="00182933" w:rsidRDefault="00425DB8">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r w:rsidRPr="00775A0C">
            <w:rPr>
              <w:lang w:val="en-GB"/>
            </w:rPr>
            <w:fldChar w:fldCharType="begin"/>
          </w:r>
          <w:r w:rsidRPr="00775A0C">
            <w:rPr>
              <w:lang w:val="en-GB"/>
            </w:rPr>
            <w:instrText xml:space="preserve"> TOC \o "1-3" \h \z \u </w:instrText>
          </w:r>
          <w:r w:rsidRPr="00775A0C">
            <w:rPr>
              <w:lang w:val="en-GB"/>
            </w:rPr>
            <w:fldChar w:fldCharType="separate"/>
          </w:r>
          <w:hyperlink w:anchor="_Toc242437554" w:history="1">
            <w:r w:rsidR="00182933" w:rsidRPr="000C4588">
              <w:rPr>
                <w:rStyle w:val="Hyperlink"/>
                <w:noProof/>
                <w:lang w:val="en-GB"/>
              </w:rPr>
              <w:t>Introduction</w:t>
            </w:r>
            <w:r w:rsidR="00182933">
              <w:rPr>
                <w:noProof/>
                <w:webHidden/>
              </w:rPr>
              <w:tab/>
            </w:r>
            <w:r w:rsidR="00182933">
              <w:rPr>
                <w:noProof/>
                <w:webHidden/>
              </w:rPr>
              <w:fldChar w:fldCharType="begin"/>
            </w:r>
            <w:r w:rsidR="00182933">
              <w:rPr>
                <w:noProof/>
                <w:webHidden/>
              </w:rPr>
              <w:instrText xml:space="preserve"> PAGEREF _Toc242437554 \h </w:instrText>
            </w:r>
            <w:r w:rsidR="00182933">
              <w:rPr>
                <w:noProof/>
                <w:webHidden/>
              </w:rPr>
            </w:r>
            <w:r w:rsidR="00182933">
              <w:rPr>
                <w:noProof/>
                <w:webHidden/>
              </w:rPr>
              <w:fldChar w:fldCharType="separate"/>
            </w:r>
            <w:r w:rsidR="00182933">
              <w:rPr>
                <w:noProof/>
                <w:webHidden/>
              </w:rPr>
              <w:t>3</w:t>
            </w:r>
            <w:r w:rsidR="00182933">
              <w:rPr>
                <w:noProof/>
                <w:webHidden/>
              </w:rPr>
              <w:fldChar w:fldCharType="end"/>
            </w:r>
          </w:hyperlink>
        </w:p>
        <w:p w14:paraId="5249FA16" w14:textId="6B4E2FF3" w:rsidR="00182933" w:rsidRDefault="00182933">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42437555" w:history="1">
            <w:r w:rsidRPr="000C4588">
              <w:rPr>
                <w:rStyle w:val="Hyperlink"/>
                <w:noProof/>
                <w:lang w:val="en-GB"/>
              </w:rPr>
              <w:t>Section 1: Anatomy and Physiology</w:t>
            </w:r>
            <w:r>
              <w:rPr>
                <w:noProof/>
                <w:webHidden/>
              </w:rPr>
              <w:tab/>
            </w:r>
            <w:r>
              <w:rPr>
                <w:noProof/>
                <w:webHidden/>
              </w:rPr>
              <w:fldChar w:fldCharType="begin"/>
            </w:r>
            <w:r>
              <w:rPr>
                <w:noProof/>
                <w:webHidden/>
              </w:rPr>
              <w:instrText xml:space="preserve"> PAGEREF _Toc242437555 \h </w:instrText>
            </w:r>
            <w:r>
              <w:rPr>
                <w:noProof/>
                <w:webHidden/>
              </w:rPr>
            </w:r>
            <w:r>
              <w:rPr>
                <w:noProof/>
                <w:webHidden/>
              </w:rPr>
              <w:fldChar w:fldCharType="separate"/>
            </w:r>
            <w:r>
              <w:rPr>
                <w:noProof/>
                <w:webHidden/>
              </w:rPr>
              <w:t>4</w:t>
            </w:r>
            <w:r>
              <w:rPr>
                <w:noProof/>
                <w:webHidden/>
              </w:rPr>
              <w:fldChar w:fldCharType="end"/>
            </w:r>
          </w:hyperlink>
        </w:p>
        <w:p w14:paraId="7B0C098C" w14:textId="58A5EEE1" w:rsidR="00182933" w:rsidRDefault="00182933">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42437556" w:history="1">
            <w:r w:rsidRPr="000C4588">
              <w:rPr>
                <w:rStyle w:val="Hyperlink"/>
                <w:noProof/>
                <w:lang w:val="en-GB"/>
              </w:rPr>
              <w:t>1.1 Explaining how blood sugar is regulated</w:t>
            </w:r>
            <w:r>
              <w:rPr>
                <w:noProof/>
                <w:webHidden/>
              </w:rPr>
              <w:tab/>
            </w:r>
            <w:r>
              <w:rPr>
                <w:noProof/>
                <w:webHidden/>
              </w:rPr>
              <w:fldChar w:fldCharType="begin"/>
            </w:r>
            <w:r>
              <w:rPr>
                <w:noProof/>
                <w:webHidden/>
              </w:rPr>
              <w:instrText xml:space="preserve"> PAGEREF _Toc242437556 \h </w:instrText>
            </w:r>
            <w:r>
              <w:rPr>
                <w:noProof/>
                <w:webHidden/>
              </w:rPr>
            </w:r>
            <w:r>
              <w:rPr>
                <w:noProof/>
                <w:webHidden/>
              </w:rPr>
              <w:fldChar w:fldCharType="separate"/>
            </w:r>
            <w:r>
              <w:rPr>
                <w:noProof/>
                <w:webHidden/>
              </w:rPr>
              <w:t>4</w:t>
            </w:r>
            <w:r>
              <w:rPr>
                <w:noProof/>
                <w:webHidden/>
              </w:rPr>
              <w:fldChar w:fldCharType="end"/>
            </w:r>
          </w:hyperlink>
        </w:p>
        <w:p w14:paraId="17D7496E" w14:textId="13D91030" w:rsidR="00182933" w:rsidRDefault="00182933">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42437557" w:history="1">
            <w:r w:rsidRPr="000C4588">
              <w:rPr>
                <w:rStyle w:val="Hyperlink"/>
                <w:noProof/>
                <w:lang w:val="en-GB"/>
              </w:rPr>
              <w:t>1.2 Describing cell metabolism</w:t>
            </w:r>
            <w:r>
              <w:rPr>
                <w:noProof/>
                <w:webHidden/>
              </w:rPr>
              <w:tab/>
            </w:r>
            <w:r>
              <w:rPr>
                <w:noProof/>
                <w:webHidden/>
              </w:rPr>
              <w:fldChar w:fldCharType="begin"/>
            </w:r>
            <w:r>
              <w:rPr>
                <w:noProof/>
                <w:webHidden/>
              </w:rPr>
              <w:instrText xml:space="preserve"> PAGEREF _Toc242437557 \h </w:instrText>
            </w:r>
            <w:r>
              <w:rPr>
                <w:noProof/>
                <w:webHidden/>
              </w:rPr>
            </w:r>
            <w:r>
              <w:rPr>
                <w:noProof/>
                <w:webHidden/>
              </w:rPr>
              <w:fldChar w:fldCharType="separate"/>
            </w:r>
            <w:r>
              <w:rPr>
                <w:noProof/>
                <w:webHidden/>
              </w:rPr>
              <w:t>4</w:t>
            </w:r>
            <w:r>
              <w:rPr>
                <w:noProof/>
                <w:webHidden/>
              </w:rPr>
              <w:fldChar w:fldCharType="end"/>
            </w:r>
          </w:hyperlink>
        </w:p>
        <w:p w14:paraId="3928C752" w14:textId="2C8D7A86" w:rsidR="00182933" w:rsidRDefault="00182933">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42437558" w:history="1">
            <w:r w:rsidRPr="000C4588">
              <w:rPr>
                <w:rStyle w:val="Hyperlink"/>
                <w:noProof/>
                <w:lang w:val="en-GB"/>
              </w:rPr>
              <w:t>Section 2. Pathophysiology of Type 2 Diabetes Mellitus and Effect of Lifestyle Factors on It</w:t>
            </w:r>
            <w:r>
              <w:rPr>
                <w:noProof/>
                <w:webHidden/>
              </w:rPr>
              <w:tab/>
            </w:r>
            <w:r>
              <w:rPr>
                <w:noProof/>
                <w:webHidden/>
              </w:rPr>
              <w:fldChar w:fldCharType="begin"/>
            </w:r>
            <w:r>
              <w:rPr>
                <w:noProof/>
                <w:webHidden/>
              </w:rPr>
              <w:instrText xml:space="preserve"> PAGEREF _Toc242437558 \h </w:instrText>
            </w:r>
            <w:r>
              <w:rPr>
                <w:noProof/>
                <w:webHidden/>
              </w:rPr>
            </w:r>
            <w:r>
              <w:rPr>
                <w:noProof/>
                <w:webHidden/>
              </w:rPr>
              <w:fldChar w:fldCharType="separate"/>
            </w:r>
            <w:r>
              <w:rPr>
                <w:noProof/>
                <w:webHidden/>
              </w:rPr>
              <w:t>5</w:t>
            </w:r>
            <w:r>
              <w:rPr>
                <w:noProof/>
                <w:webHidden/>
              </w:rPr>
              <w:fldChar w:fldCharType="end"/>
            </w:r>
          </w:hyperlink>
        </w:p>
        <w:p w14:paraId="6C735DC4" w14:textId="4CF1073B" w:rsidR="00182933" w:rsidRDefault="00182933">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42437559" w:history="1">
            <w:r w:rsidRPr="000C4588">
              <w:rPr>
                <w:rStyle w:val="Hyperlink"/>
                <w:noProof/>
                <w:lang w:val="en-GB"/>
              </w:rPr>
              <w:t>2.1 Disruption in Blood Glucose Regulation</w:t>
            </w:r>
            <w:r>
              <w:rPr>
                <w:noProof/>
                <w:webHidden/>
              </w:rPr>
              <w:tab/>
            </w:r>
            <w:r>
              <w:rPr>
                <w:noProof/>
                <w:webHidden/>
              </w:rPr>
              <w:fldChar w:fldCharType="begin"/>
            </w:r>
            <w:r>
              <w:rPr>
                <w:noProof/>
                <w:webHidden/>
              </w:rPr>
              <w:instrText xml:space="preserve"> PAGEREF _Toc242437559 \h </w:instrText>
            </w:r>
            <w:r>
              <w:rPr>
                <w:noProof/>
                <w:webHidden/>
              </w:rPr>
            </w:r>
            <w:r>
              <w:rPr>
                <w:noProof/>
                <w:webHidden/>
              </w:rPr>
              <w:fldChar w:fldCharType="separate"/>
            </w:r>
            <w:r>
              <w:rPr>
                <w:noProof/>
                <w:webHidden/>
              </w:rPr>
              <w:t>5</w:t>
            </w:r>
            <w:r>
              <w:rPr>
                <w:noProof/>
                <w:webHidden/>
              </w:rPr>
              <w:fldChar w:fldCharType="end"/>
            </w:r>
          </w:hyperlink>
        </w:p>
        <w:p w14:paraId="20E12543" w14:textId="3EADDAD8" w:rsidR="00182933" w:rsidRDefault="00182933">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42437560" w:history="1">
            <w:r w:rsidRPr="000C4588">
              <w:rPr>
                <w:rStyle w:val="Hyperlink"/>
                <w:noProof/>
                <w:lang w:val="en-GB"/>
              </w:rPr>
              <w:t>2.2 Impact of Lifestyle Factors on Glucose Control</w:t>
            </w:r>
            <w:r>
              <w:rPr>
                <w:noProof/>
                <w:webHidden/>
              </w:rPr>
              <w:tab/>
            </w:r>
            <w:r>
              <w:rPr>
                <w:noProof/>
                <w:webHidden/>
              </w:rPr>
              <w:fldChar w:fldCharType="begin"/>
            </w:r>
            <w:r>
              <w:rPr>
                <w:noProof/>
                <w:webHidden/>
              </w:rPr>
              <w:instrText xml:space="preserve"> PAGEREF _Toc242437560 \h </w:instrText>
            </w:r>
            <w:r>
              <w:rPr>
                <w:noProof/>
                <w:webHidden/>
              </w:rPr>
            </w:r>
            <w:r>
              <w:rPr>
                <w:noProof/>
                <w:webHidden/>
              </w:rPr>
              <w:fldChar w:fldCharType="separate"/>
            </w:r>
            <w:r>
              <w:rPr>
                <w:noProof/>
                <w:webHidden/>
              </w:rPr>
              <w:t>6</w:t>
            </w:r>
            <w:r>
              <w:rPr>
                <w:noProof/>
                <w:webHidden/>
              </w:rPr>
              <w:fldChar w:fldCharType="end"/>
            </w:r>
          </w:hyperlink>
        </w:p>
        <w:p w14:paraId="785F34F5" w14:textId="65FAB95F" w:rsidR="00182933" w:rsidRDefault="00182933">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42437561" w:history="1">
            <w:r w:rsidRPr="000C4588">
              <w:rPr>
                <w:rStyle w:val="Hyperlink"/>
                <w:noProof/>
                <w:lang w:val="en-GB"/>
              </w:rPr>
              <w:t>2.3 Critical Evaluation</w:t>
            </w:r>
            <w:r>
              <w:rPr>
                <w:noProof/>
                <w:webHidden/>
              </w:rPr>
              <w:tab/>
            </w:r>
            <w:r>
              <w:rPr>
                <w:noProof/>
                <w:webHidden/>
              </w:rPr>
              <w:fldChar w:fldCharType="begin"/>
            </w:r>
            <w:r>
              <w:rPr>
                <w:noProof/>
                <w:webHidden/>
              </w:rPr>
              <w:instrText xml:space="preserve"> PAGEREF _Toc242437561 \h </w:instrText>
            </w:r>
            <w:r>
              <w:rPr>
                <w:noProof/>
                <w:webHidden/>
              </w:rPr>
            </w:r>
            <w:r>
              <w:rPr>
                <w:noProof/>
                <w:webHidden/>
              </w:rPr>
              <w:fldChar w:fldCharType="separate"/>
            </w:r>
            <w:r>
              <w:rPr>
                <w:noProof/>
                <w:webHidden/>
              </w:rPr>
              <w:t>6</w:t>
            </w:r>
            <w:r>
              <w:rPr>
                <w:noProof/>
                <w:webHidden/>
              </w:rPr>
              <w:fldChar w:fldCharType="end"/>
            </w:r>
          </w:hyperlink>
        </w:p>
        <w:p w14:paraId="777F8EFD" w14:textId="2F3AAFA0" w:rsidR="00182933" w:rsidRDefault="00182933">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42437562" w:history="1">
            <w:r w:rsidRPr="000C4588">
              <w:rPr>
                <w:rStyle w:val="Hyperlink"/>
                <w:noProof/>
                <w:lang w:val="en-GB"/>
              </w:rPr>
              <w:t>Section 3: Monitoring and Data Use</w:t>
            </w:r>
            <w:r>
              <w:rPr>
                <w:noProof/>
                <w:webHidden/>
              </w:rPr>
              <w:tab/>
            </w:r>
            <w:r>
              <w:rPr>
                <w:noProof/>
                <w:webHidden/>
              </w:rPr>
              <w:fldChar w:fldCharType="begin"/>
            </w:r>
            <w:r>
              <w:rPr>
                <w:noProof/>
                <w:webHidden/>
              </w:rPr>
              <w:instrText xml:space="preserve"> PAGEREF _Toc242437562 \h </w:instrText>
            </w:r>
            <w:r>
              <w:rPr>
                <w:noProof/>
                <w:webHidden/>
              </w:rPr>
            </w:r>
            <w:r>
              <w:rPr>
                <w:noProof/>
                <w:webHidden/>
              </w:rPr>
              <w:fldChar w:fldCharType="separate"/>
            </w:r>
            <w:r>
              <w:rPr>
                <w:noProof/>
                <w:webHidden/>
              </w:rPr>
              <w:t>7</w:t>
            </w:r>
            <w:r>
              <w:rPr>
                <w:noProof/>
                <w:webHidden/>
              </w:rPr>
              <w:fldChar w:fldCharType="end"/>
            </w:r>
          </w:hyperlink>
        </w:p>
        <w:p w14:paraId="739D8701" w14:textId="640912FE" w:rsidR="00182933" w:rsidRDefault="00182933">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42437563" w:history="1">
            <w:r w:rsidRPr="000C4588">
              <w:rPr>
                <w:rStyle w:val="Hyperlink"/>
                <w:noProof/>
                <w:lang w:val="en-GB"/>
              </w:rPr>
              <w:t>3.1 Importance of tracking health data</w:t>
            </w:r>
            <w:r>
              <w:rPr>
                <w:noProof/>
                <w:webHidden/>
              </w:rPr>
              <w:tab/>
            </w:r>
            <w:r>
              <w:rPr>
                <w:noProof/>
                <w:webHidden/>
              </w:rPr>
              <w:fldChar w:fldCharType="begin"/>
            </w:r>
            <w:r>
              <w:rPr>
                <w:noProof/>
                <w:webHidden/>
              </w:rPr>
              <w:instrText xml:space="preserve"> PAGEREF _Toc242437563 \h </w:instrText>
            </w:r>
            <w:r>
              <w:rPr>
                <w:noProof/>
                <w:webHidden/>
              </w:rPr>
            </w:r>
            <w:r>
              <w:rPr>
                <w:noProof/>
                <w:webHidden/>
              </w:rPr>
              <w:fldChar w:fldCharType="separate"/>
            </w:r>
            <w:r>
              <w:rPr>
                <w:noProof/>
                <w:webHidden/>
              </w:rPr>
              <w:t>7</w:t>
            </w:r>
            <w:r>
              <w:rPr>
                <w:noProof/>
                <w:webHidden/>
              </w:rPr>
              <w:fldChar w:fldCharType="end"/>
            </w:r>
          </w:hyperlink>
        </w:p>
        <w:p w14:paraId="7D511E61" w14:textId="39B7AB8C" w:rsidR="00182933" w:rsidRDefault="00182933">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42437564" w:history="1">
            <w:r w:rsidRPr="000C4588">
              <w:rPr>
                <w:rStyle w:val="Hyperlink"/>
                <w:noProof/>
                <w:lang w:val="en-GB"/>
              </w:rPr>
              <w:t>3.2 How Routine Data Supports Condition Management</w:t>
            </w:r>
            <w:r>
              <w:rPr>
                <w:noProof/>
                <w:webHidden/>
              </w:rPr>
              <w:tab/>
            </w:r>
            <w:r>
              <w:rPr>
                <w:noProof/>
                <w:webHidden/>
              </w:rPr>
              <w:fldChar w:fldCharType="begin"/>
            </w:r>
            <w:r>
              <w:rPr>
                <w:noProof/>
                <w:webHidden/>
              </w:rPr>
              <w:instrText xml:space="preserve"> PAGEREF _Toc242437564 \h </w:instrText>
            </w:r>
            <w:r>
              <w:rPr>
                <w:noProof/>
                <w:webHidden/>
              </w:rPr>
            </w:r>
            <w:r>
              <w:rPr>
                <w:noProof/>
                <w:webHidden/>
              </w:rPr>
              <w:fldChar w:fldCharType="separate"/>
            </w:r>
            <w:r>
              <w:rPr>
                <w:noProof/>
                <w:webHidden/>
              </w:rPr>
              <w:t>7</w:t>
            </w:r>
            <w:r>
              <w:rPr>
                <w:noProof/>
                <w:webHidden/>
              </w:rPr>
              <w:fldChar w:fldCharType="end"/>
            </w:r>
          </w:hyperlink>
        </w:p>
        <w:p w14:paraId="2C077A88" w14:textId="7C831E81" w:rsidR="00182933" w:rsidRDefault="00182933">
          <w:pPr>
            <w:pStyle w:val="TOC2"/>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42437565" w:history="1">
            <w:r w:rsidRPr="000C4588">
              <w:rPr>
                <w:rStyle w:val="Hyperlink"/>
                <w:noProof/>
                <w:lang w:val="en-GB"/>
              </w:rPr>
              <w:t>3.3 Critical evaluation of Blood Glucose Monitoring</w:t>
            </w:r>
            <w:r>
              <w:rPr>
                <w:noProof/>
                <w:webHidden/>
              </w:rPr>
              <w:tab/>
            </w:r>
            <w:r>
              <w:rPr>
                <w:noProof/>
                <w:webHidden/>
              </w:rPr>
              <w:fldChar w:fldCharType="begin"/>
            </w:r>
            <w:r>
              <w:rPr>
                <w:noProof/>
                <w:webHidden/>
              </w:rPr>
              <w:instrText xml:space="preserve"> PAGEREF _Toc242437565 \h </w:instrText>
            </w:r>
            <w:r>
              <w:rPr>
                <w:noProof/>
                <w:webHidden/>
              </w:rPr>
            </w:r>
            <w:r>
              <w:rPr>
                <w:noProof/>
                <w:webHidden/>
              </w:rPr>
              <w:fldChar w:fldCharType="separate"/>
            </w:r>
            <w:r>
              <w:rPr>
                <w:noProof/>
                <w:webHidden/>
              </w:rPr>
              <w:t>7</w:t>
            </w:r>
            <w:r>
              <w:rPr>
                <w:noProof/>
                <w:webHidden/>
              </w:rPr>
              <w:fldChar w:fldCharType="end"/>
            </w:r>
          </w:hyperlink>
        </w:p>
        <w:p w14:paraId="35F480A9" w14:textId="34B2CADB" w:rsidR="00182933" w:rsidRDefault="00182933">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42437566" w:history="1">
            <w:r w:rsidRPr="000C4588">
              <w:rPr>
                <w:rStyle w:val="Hyperlink"/>
                <w:noProof/>
                <w:lang w:val="en-GB"/>
              </w:rPr>
              <w:t>Section 4: Evidence-Based Lifestyle Recommendations</w:t>
            </w:r>
            <w:r>
              <w:rPr>
                <w:noProof/>
                <w:webHidden/>
              </w:rPr>
              <w:tab/>
            </w:r>
            <w:r>
              <w:rPr>
                <w:noProof/>
                <w:webHidden/>
              </w:rPr>
              <w:fldChar w:fldCharType="begin"/>
            </w:r>
            <w:r>
              <w:rPr>
                <w:noProof/>
                <w:webHidden/>
              </w:rPr>
              <w:instrText xml:space="preserve"> PAGEREF _Toc242437566 \h </w:instrText>
            </w:r>
            <w:r>
              <w:rPr>
                <w:noProof/>
                <w:webHidden/>
              </w:rPr>
            </w:r>
            <w:r>
              <w:rPr>
                <w:noProof/>
                <w:webHidden/>
              </w:rPr>
              <w:fldChar w:fldCharType="separate"/>
            </w:r>
            <w:r>
              <w:rPr>
                <w:noProof/>
                <w:webHidden/>
              </w:rPr>
              <w:t>8</w:t>
            </w:r>
            <w:r>
              <w:rPr>
                <w:noProof/>
                <w:webHidden/>
              </w:rPr>
              <w:fldChar w:fldCharType="end"/>
            </w:r>
          </w:hyperlink>
        </w:p>
        <w:p w14:paraId="7FF89148" w14:textId="54701811" w:rsidR="00182933" w:rsidRDefault="00182933">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42437567" w:history="1">
            <w:r w:rsidRPr="000C4588">
              <w:rPr>
                <w:rStyle w:val="Hyperlink"/>
                <w:noProof/>
                <w:lang w:val="en-GB"/>
              </w:rPr>
              <w:t>Conclusion</w:t>
            </w:r>
            <w:r>
              <w:rPr>
                <w:noProof/>
                <w:webHidden/>
              </w:rPr>
              <w:tab/>
            </w:r>
            <w:r>
              <w:rPr>
                <w:noProof/>
                <w:webHidden/>
              </w:rPr>
              <w:fldChar w:fldCharType="begin"/>
            </w:r>
            <w:r>
              <w:rPr>
                <w:noProof/>
                <w:webHidden/>
              </w:rPr>
              <w:instrText xml:space="preserve"> PAGEREF _Toc242437567 \h </w:instrText>
            </w:r>
            <w:r>
              <w:rPr>
                <w:noProof/>
                <w:webHidden/>
              </w:rPr>
            </w:r>
            <w:r>
              <w:rPr>
                <w:noProof/>
                <w:webHidden/>
              </w:rPr>
              <w:fldChar w:fldCharType="separate"/>
            </w:r>
            <w:r>
              <w:rPr>
                <w:noProof/>
                <w:webHidden/>
              </w:rPr>
              <w:t>10</w:t>
            </w:r>
            <w:r>
              <w:rPr>
                <w:noProof/>
                <w:webHidden/>
              </w:rPr>
              <w:fldChar w:fldCharType="end"/>
            </w:r>
          </w:hyperlink>
        </w:p>
        <w:p w14:paraId="7DEA78B4" w14:textId="2F84259E" w:rsidR="00182933" w:rsidRDefault="00182933">
          <w:pPr>
            <w:pStyle w:val="TOC1"/>
            <w:tabs>
              <w:tab w:val="right" w:leader="dot" w:pos="9350"/>
            </w:tabs>
            <w:rPr>
              <w:rFonts w:asciiTheme="minorHAnsi" w:eastAsiaTheme="minorEastAsia" w:hAnsiTheme="minorHAnsi" w:cstheme="minorBidi"/>
              <w:noProof/>
              <w:kern w:val="2"/>
              <w:sz w:val="24"/>
              <w:szCs w:val="24"/>
              <w:lang w:val="en-US"/>
              <w14:ligatures w14:val="standardContextual"/>
            </w:rPr>
          </w:pPr>
          <w:hyperlink w:anchor="_Toc242437568" w:history="1">
            <w:r w:rsidRPr="000C4588">
              <w:rPr>
                <w:rStyle w:val="Hyperlink"/>
                <w:noProof/>
                <w:lang w:val="en-GB"/>
              </w:rPr>
              <w:t>Reference List</w:t>
            </w:r>
            <w:r>
              <w:rPr>
                <w:noProof/>
                <w:webHidden/>
              </w:rPr>
              <w:tab/>
            </w:r>
            <w:r>
              <w:rPr>
                <w:noProof/>
                <w:webHidden/>
              </w:rPr>
              <w:fldChar w:fldCharType="begin"/>
            </w:r>
            <w:r>
              <w:rPr>
                <w:noProof/>
                <w:webHidden/>
              </w:rPr>
              <w:instrText xml:space="preserve"> PAGEREF _Toc242437568 \h </w:instrText>
            </w:r>
            <w:r>
              <w:rPr>
                <w:noProof/>
                <w:webHidden/>
              </w:rPr>
            </w:r>
            <w:r>
              <w:rPr>
                <w:noProof/>
                <w:webHidden/>
              </w:rPr>
              <w:fldChar w:fldCharType="separate"/>
            </w:r>
            <w:r>
              <w:rPr>
                <w:noProof/>
                <w:webHidden/>
              </w:rPr>
              <w:t>11</w:t>
            </w:r>
            <w:r>
              <w:rPr>
                <w:noProof/>
                <w:webHidden/>
              </w:rPr>
              <w:fldChar w:fldCharType="end"/>
            </w:r>
          </w:hyperlink>
        </w:p>
        <w:p w14:paraId="10630CE1" w14:textId="272593D8" w:rsidR="00425DB8" w:rsidRPr="00775A0C" w:rsidRDefault="00425DB8" w:rsidP="00425DB8">
          <w:pPr>
            <w:rPr>
              <w:lang w:val="en-GB"/>
            </w:rPr>
          </w:pPr>
          <w:r w:rsidRPr="00775A0C">
            <w:rPr>
              <w:b/>
              <w:bCs/>
              <w:noProof/>
              <w:lang w:val="en-GB"/>
            </w:rPr>
            <w:fldChar w:fldCharType="end"/>
          </w:r>
        </w:p>
      </w:sdtContent>
    </w:sdt>
    <w:p w14:paraId="7B304AA1" w14:textId="77777777" w:rsidR="00425DB8" w:rsidRPr="00775A0C" w:rsidRDefault="00425DB8" w:rsidP="00CE661D">
      <w:pPr>
        <w:spacing w:before="240" w:after="240"/>
        <w:ind w:left="360"/>
        <w:jc w:val="center"/>
        <w:rPr>
          <w:rFonts w:eastAsia="Aptos"/>
          <w:b/>
          <w:bCs/>
          <w:sz w:val="28"/>
          <w:szCs w:val="28"/>
          <w:lang w:val="en-GB"/>
        </w:rPr>
      </w:pPr>
    </w:p>
    <w:p w14:paraId="1A775CAD" w14:textId="6605BE21" w:rsidR="00CE661D" w:rsidRPr="00775A0C" w:rsidRDefault="00182933" w:rsidP="00182933">
      <w:pPr>
        <w:tabs>
          <w:tab w:val="left" w:pos="4128"/>
        </w:tabs>
        <w:rPr>
          <w:lang w:val="en-GB"/>
        </w:rPr>
      </w:pPr>
      <w:r>
        <w:rPr>
          <w:lang w:val="en-GB"/>
        </w:rPr>
        <w:tab/>
      </w:r>
    </w:p>
    <w:p w14:paraId="3A50AA6D" w14:textId="77777777" w:rsidR="006D7807" w:rsidRPr="00775A0C" w:rsidRDefault="006D7807">
      <w:pPr>
        <w:rPr>
          <w:b/>
          <w:bCs/>
          <w:sz w:val="28"/>
          <w:szCs w:val="28"/>
          <w:lang w:val="en-GB"/>
        </w:rPr>
      </w:pPr>
      <w:r w:rsidRPr="00775A0C">
        <w:rPr>
          <w:lang w:val="en-GB"/>
        </w:rPr>
        <w:br w:type="page"/>
      </w:r>
    </w:p>
    <w:p w14:paraId="50B95036" w14:textId="5D41A480" w:rsidR="00A34B8E" w:rsidRPr="00775A0C" w:rsidRDefault="00182933">
      <w:pPr>
        <w:pStyle w:val="Heading1"/>
        <w:spacing w:after="200"/>
        <w:rPr>
          <w:lang w:val="en-GB"/>
        </w:rPr>
      </w:pPr>
      <w:bookmarkStart w:id="1" w:name="_Toc242437554"/>
      <w:r w:rsidRPr="00775A0C">
        <w:rPr>
          <w:lang w:val="en-GB"/>
        </w:rPr>
        <w:lastRenderedPageBreak/>
        <w:t>Introduction</w:t>
      </w:r>
      <w:bookmarkEnd w:id="1"/>
      <w:r w:rsidRPr="00775A0C">
        <w:rPr>
          <w:lang w:val="en-GB"/>
        </w:rPr>
        <w:t xml:space="preserve"> </w:t>
      </w:r>
    </w:p>
    <w:p w14:paraId="50B95037" w14:textId="77777777" w:rsidR="00A34B8E" w:rsidRPr="00775A0C" w:rsidRDefault="00182933">
      <w:pPr>
        <w:spacing w:after="200"/>
        <w:rPr>
          <w:lang w:val="en-GB"/>
        </w:rPr>
      </w:pPr>
      <w:r w:rsidRPr="00775A0C">
        <w:rPr>
          <w:lang w:val="en-GB"/>
        </w:rPr>
        <w:t xml:space="preserve">Type 2 diabetes mellitus can be defined as a condition in which a person has high blood sugar due to insulin resistance. The hormone insulin is manufactured by the pancreas and facilitates the transfer of glucose to the body cells for energy production (Davies </w:t>
      </w:r>
      <w:r w:rsidRPr="00775A0C">
        <w:rPr>
          <w:i/>
          <w:iCs/>
          <w:lang w:val="en-GB"/>
        </w:rPr>
        <w:t xml:space="preserve">et al., </w:t>
      </w:r>
      <w:r w:rsidRPr="00775A0C">
        <w:rPr>
          <w:lang w:val="en-GB"/>
        </w:rPr>
        <w:t>2026). Normally, there is control of blood glucose levels are controlled through the homeostatic process in which insulin and glucagon act together.  In the case of T2DM patients, these processes fail, leading to high blood glucose and causing complications such as microvascular and macrovascular problems. Type 2 diabetes mellitus is the most common chronic illness around the world.</w:t>
      </w:r>
    </w:p>
    <w:p w14:paraId="50B95038" w14:textId="292387FE" w:rsidR="00A34B8E" w:rsidRPr="00775A0C" w:rsidRDefault="00182933">
      <w:pPr>
        <w:spacing w:after="200"/>
        <w:rPr>
          <w:lang w:val="en-GB"/>
        </w:rPr>
      </w:pPr>
      <w:r w:rsidRPr="00775A0C">
        <w:rPr>
          <w:lang w:val="en-GB"/>
        </w:rPr>
        <w:t>There are various risk factors responsible for the development of T2DM. Modifiable risk factors include obesity, sedentary lifestyle, smoking and consumption of a diet with high amounts of saturated fat, refined carbohydrates, and added sugar</w:t>
      </w:r>
      <w:r w:rsidR="00A26531" w:rsidRPr="00775A0C">
        <w:rPr>
          <w:lang w:val="en-GB"/>
        </w:rPr>
        <w:t xml:space="preserve"> </w:t>
      </w:r>
      <w:r w:rsidR="000A1C9F" w:rsidRPr="00775A0C">
        <w:rPr>
          <w:lang w:val="en-GB"/>
        </w:rPr>
        <w:t xml:space="preserve">(Gherasim </w:t>
      </w:r>
      <w:r w:rsidR="000A1C9F" w:rsidRPr="00775A0C">
        <w:rPr>
          <w:i/>
          <w:iCs/>
          <w:lang w:val="en-GB"/>
        </w:rPr>
        <w:t>et al.</w:t>
      </w:r>
      <w:r w:rsidR="000A1C9F" w:rsidRPr="00775A0C">
        <w:rPr>
          <w:lang w:val="en-GB"/>
        </w:rPr>
        <w:t>, 2023)</w:t>
      </w:r>
      <w:r w:rsidRPr="00775A0C">
        <w:rPr>
          <w:lang w:val="en-GB"/>
        </w:rPr>
        <w:t>. The non-modifiable risk factors are older age, family history, genetics and ethnicity. However, while genetic factors affect the risk of developing the disease, there is evidence to suggest that lifestyle factors play an important role in the increased prevalence of T2DM.</w:t>
      </w:r>
    </w:p>
    <w:p w14:paraId="50B95039" w14:textId="77777777" w:rsidR="00A34B8E" w:rsidRPr="00775A0C" w:rsidRDefault="00182933">
      <w:pPr>
        <w:spacing w:after="200"/>
        <w:rPr>
          <w:lang w:val="en-GB"/>
        </w:rPr>
      </w:pPr>
      <w:r w:rsidRPr="00775A0C">
        <w:rPr>
          <w:lang w:val="en-GB"/>
        </w:rPr>
        <w:t>This report aims to study the anatomical and physiological processes responsible for blood glucose regulation, to illustrate how glucose and oxygen are used in cellular metabolism to generate energy, to emphasise the significance of measuring blood glucose levels, and to critically analyse the available lifestyle interventions that can help manage Type 2 Diabetes Mellitus.</w:t>
      </w:r>
    </w:p>
    <w:p w14:paraId="123EFC61" w14:textId="77777777" w:rsidR="00AE5BC2" w:rsidRPr="00775A0C" w:rsidRDefault="00AE5BC2">
      <w:pPr>
        <w:rPr>
          <w:b/>
          <w:bCs/>
          <w:sz w:val="28"/>
          <w:szCs w:val="28"/>
          <w:lang w:val="en-GB"/>
        </w:rPr>
      </w:pPr>
      <w:bookmarkStart w:id="2" w:name="_aug0ebeqs999" w:colFirst="0" w:colLast="0"/>
      <w:bookmarkEnd w:id="2"/>
      <w:r w:rsidRPr="00775A0C">
        <w:rPr>
          <w:lang w:val="en-GB"/>
        </w:rPr>
        <w:br w:type="page"/>
      </w:r>
    </w:p>
    <w:p w14:paraId="50B9503A" w14:textId="0B01E897" w:rsidR="00A34B8E" w:rsidRPr="00775A0C" w:rsidRDefault="003B7610">
      <w:pPr>
        <w:pStyle w:val="Heading1"/>
        <w:spacing w:after="200"/>
        <w:rPr>
          <w:lang w:val="en-GB"/>
        </w:rPr>
      </w:pPr>
      <w:bookmarkStart w:id="3" w:name="_Toc242437555"/>
      <w:r w:rsidRPr="00775A0C">
        <w:rPr>
          <w:lang w:val="en-GB"/>
        </w:rPr>
        <w:lastRenderedPageBreak/>
        <w:t xml:space="preserve">Section </w:t>
      </w:r>
      <w:r w:rsidR="00182933" w:rsidRPr="00775A0C">
        <w:rPr>
          <w:lang w:val="en-GB"/>
        </w:rPr>
        <w:t>1: Anatomy and Physiology</w:t>
      </w:r>
      <w:bookmarkEnd w:id="3"/>
    </w:p>
    <w:p w14:paraId="50B9503B" w14:textId="77777777" w:rsidR="00A34B8E" w:rsidRPr="00775A0C" w:rsidRDefault="00182933">
      <w:pPr>
        <w:pStyle w:val="Heading2"/>
        <w:spacing w:after="200"/>
        <w:rPr>
          <w:lang w:val="en-GB"/>
        </w:rPr>
      </w:pPr>
      <w:bookmarkStart w:id="4" w:name="_5yxlrxgklj97" w:colFirst="0" w:colLast="0"/>
      <w:bookmarkStart w:id="5" w:name="_Toc242437556"/>
      <w:bookmarkEnd w:id="4"/>
      <w:r w:rsidRPr="00775A0C">
        <w:rPr>
          <w:lang w:val="en-GB"/>
        </w:rPr>
        <w:t>1.1 Explaining how blood sugar is regulated</w:t>
      </w:r>
      <w:bookmarkEnd w:id="5"/>
    </w:p>
    <w:p w14:paraId="50B9503C" w14:textId="1C9FF07C" w:rsidR="00A34B8E" w:rsidRPr="00775A0C" w:rsidRDefault="00182933">
      <w:pPr>
        <w:spacing w:after="200"/>
        <w:rPr>
          <w:color w:val="0E101A"/>
          <w:lang w:val="en-GB"/>
        </w:rPr>
      </w:pPr>
      <w:r w:rsidRPr="00775A0C">
        <w:rPr>
          <w:color w:val="0E101A"/>
          <w:lang w:val="en-GB"/>
        </w:rPr>
        <w:t xml:space="preserve">It is vital to maintain glucose levels in the blood to ensure proper physiological functions, and the regulation of glucose levels in the blood can be described using </w:t>
      </w:r>
      <w:r w:rsidRPr="00775A0C">
        <w:rPr>
          <w:b/>
          <w:bCs/>
          <w:color w:val="0E101A"/>
          <w:lang w:val="en-GB"/>
        </w:rPr>
        <w:t>the concept of Homeostasis</w:t>
      </w:r>
      <w:r w:rsidRPr="00775A0C">
        <w:rPr>
          <w:color w:val="0E101A"/>
          <w:lang w:val="en-GB"/>
        </w:rPr>
        <w:t xml:space="preserve">. </w:t>
      </w:r>
      <w:r w:rsidR="00565277" w:rsidRPr="00775A0C">
        <w:rPr>
          <w:color w:val="0E101A"/>
          <w:lang w:val="en-GB"/>
        </w:rPr>
        <w:t>The negative feedback process of regulating the glucose level in the blood through insulin happens in the pancreas through the use of hormones like insulin and glucagon (Bich and Menatti, 2025). The pancreas has groups of endocrine cells known as the Islets of Langerhans and contains the beta and alpha cells.</w:t>
      </w:r>
    </w:p>
    <w:p w14:paraId="50B9503D" w14:textId="77777777" w:rsidR="00A34B8E" w:rsidRPr="00775A0C" w:rsidRDefault="00182933">
      <w:pPr>
        <w:spacing w:after="200"/>
        <w:rPr>
          <w:color w:val="0E101A"/>
          <w:lang w:val="en-GB"/>
        </w:rPr>
      </w:pPr>
      <w:r w:rsidRPr="00775A0C">
        <w:rPr>
          <w:color w:val="0E101A"/>
          <w:lang w:val="en-GB"/>
        </w:rPr>
        <w:t>After taking foods rich in carbohydrates, blood sugar concentration increases beyond the physiological range. This leads to the secretion of insulin from beta cells of the pancreas into the bloodstream. As a result, there is a reduced concentration of blood glucose, and homeostasis is re-established (Balasubaramaniam and Pouwels, 2023). On the other hand, a reduction in blood glucose leads to the conversion of glycogen into glucose by the hormone glucagon.</w:t>
      </w:r>
    </w:p>
    <w:p w14:paraId="50B9503E" w14:textId="77777777" w:rsidR="00A34B8E" w:rsidRPr="00775A0C" w:rsidRDefault="00182933">
      <w:pPr>
        <w:spacing w:after="200"/>
        <w:rPr>
          <w:color w:val="0E101A"/>
          <w:lang w:val="en-GB"/>
        </w:rPr>
      </w:pPr>
      <w:r w:rsidRPr="00775A0C">
        <w:rPr>
          <w:color w:val="0E101A"/>
          <w:lang w:val="en-GB"/>
        </w:rPr>
        <w:t xml:space="preserve">As far as Case Study 1 is concerned, this regulatory process becomes compromised in those individuals suffering from Type 2 Diabetes Mellitus as a result of insulin resistance. Although insulin will be present in the body, there will be ineffective body cells that cannot respond well, thus not allowing for effective glucose uptake and causing high blood sugar (Shen </w:t>
      </w:r>
      <w:r w:rsidRPr="00775A0C">
        <w:rPr>
          <w:i/>
          <w:iCs/>
          <w:color w:val="0E101A"/>
          <w:lang w:val="en-GB"/>
        </w:rPr>
        <w:t>et al.</w:t>
      </w:r>
      <w:r w:rsidRPr="00775A0C">
        <w:rPr>
          <w:color w:val="0E101A"/>
          <w:lang w:val="en-GB"/>
        </w:rPr>
        <w:t>, 2023). Importantly, this means that although the homeostatic system works perfectly fine in a healthy state, external factors, like obesity, laziness, and improper nutrition, can lead to disturbances in the physiological processes.</w:t>
      </w:r>
    </w:p>
    <w:p w14:paraId="50B9503F" w14:textId="77777777" w:rsidR="00A34B8E" w:rsidRPr="00775A0C" w:rsidRDefault="00182933">
      <w:pPr>
        <w:pStyle w:val="Heading2"/>
        <w:spacing w:after="200"/>
        <w:rPr>
          <w:lang w:val="en-GB"/>
        </w:rPr>
      </w:pPr>
      <w:bookmarkStart w:id="6" w:name="_e8dhpr344hrj" w:colFirst="0" w:colLast="0"/>
      <w:bookmarkStart w:id="7" w:name="_Toc242437557"/>
      <w:bookmarkEnd w:id="6"/>
      <w:r w:rsidRPr="00775A0C">
        <w:rPr>
          <w:lang w:val="en-GB"/>
        </w:rPr>
        <w:t>1.2 Describing cell metabolism</w:t>
      </w:r>
      <w:bookmarkEnd w:id="7"/>
    </w:p>
    <w:p w14:paraId="50B95040" w14:textId="77777777" w:rsidR="00A34B8E" w:rsidRPr="00775A0C" w:rsidRDefault="00182933">
      <w:pPr>
        <w:spacing w:after="200"/>
        <w:rPr>
          <w:lang w:val="en-GB"/>
        </w:rPr>
      </w:pPr>
      <w:r w:rsidRPr="00775A0C">
        <w:rPr>
          <w:lang w:val="en-GB"/>
        </w:rPr>
        <w:t xml:space="preserve">Control of the glucose concentration is important because glucose provides energy for cells. In cellular respiration, glucose reacts with oxygen to form ATP, carbon dioxide, and water in the mitochondria (Muñoz </w:t>
      </w:r>
      <w:r w:rsidRPr="00775A0C">
        <w:rPr>
          <w:i/>
          <w:iCs/>
          <w:lang w:val="en-GB"/>
        </w:rPr>
        <w:t>et al.</w:t>
      </w:r>
      <w:r w:rsidRPr="00775A0C">
        <w:rPr>
          <w:lang w:val="en-GB"/>
        </w:rPr>
        <w:t>, 2024). ATP provides energy for the body to carry out different functions.</w:t>
      </w:r>
    </w:p>
    <w:p w14:paraId="50B95041" w14:textId="77777777" w:rsidR="00A34B8E" w:rsidRPr="00775A0C" w:rsidRDefault="00182933">
      <w:pPr>
        <w:spacing w:after="200"/>
        <w:jc w:val="center"/>
        <w:rPr>
          <w:lang w:val="en-GB"/>
        </w:rPr>
      </w:pPr>
      <w:r w:rsidRPr="00775A0C">
        <w:rPr>
          <w:noProof/>
          <w:lang w:val="en-GB"/>
        </w:rPr>
        <w:lastRenderedPageBreak/>
        <w:drawing>
          <wp:inline distT="114300" distB="114300" distL="114300" distR="114300" wp14:anchorId="50B95074" wp14:editId="50B95075">
            <wp:extent cx="5743575" cy="16764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5743575" cy="1676400"/>
                    </a:xfrm>
                    <a:prstGeom prst="rect">
                      <a:avLst/>
                    </a:prstGeom>
                    <a:ln w="12700">
                      <a:solidFill>
                        <a:srgbClr val="000000"/>
                      </a:solidFill>
                      <a:prstDash val="solid"/>
                    </a:ln>
                  </pic:spPr>
                </pic:pic>
              </a:graphicData>
            </a:graphic>
          </wp:inline>
        </w:drawing>
      </w:r>
    </w:p>
    <w:p w14:paraId="50B95042" w14:textId="77777777" w:rsidR="00A34B8E" w:rsidRPr="00775A0C" w:rsidRDefault="00182933">
      <w:pPr>
        <w:spacing w:after="200"/>
        <w:jc w:val="center"/>
        <w:rPr>
          <w:b/>
          <w:bCs/>
          <w:lang w:val="en-GB"/>
        </w:rPr>
      </w:pPr>
      <w:r w:rsidRPr="00775A0C">
        <w:rPr>
          <w:b/>
          <w:bCs/>
          <w:lang w:val="en-GB"/>
        </w:rPr>
        <w:t>Figure 1: Cell metabolism</w:t>
      </w:r>
    </w:p>
    <w:p w14:paraId="50B95043" w14:textId="77777777" w:rsidR="00A34B8E" w:rsidRPr="00775A0C" w:rsidRDefault="00182933">
      <w:pPr>
        <w:spacing w:after="200"/>
        <w:jc w:val="center"/>
        <w:rPr>
          <w:lang w:val="en-GB"/>
        </w:rPr>
      </w:pPr>
      <w:r w:rsidRPr="00775A0C">
        <w:rPr>
          <w:lang w:val="en-GB"/>
        </w:rPr>
        <w:t xml:space="preserve">(Source: Muñoz </w:t>
      </w:r>
      <w:r w:rsidRPr="00775A0C">
        <w:rPr>
          <w:i/>
          <w:iCs/>
          <w:lang w:val="en-GB"/>
        </w:rPr>
        <w:t>et al.</w:t>
      </w:r>
      <w:r w:rsidRPr="00775A0C">
        <w:rPr>
          <w:lang w:val="en-GB"/>
        </w:rPr>
        <w:t xml:space="preserve">, 2024) </w:t>
      </w:r>
    </w:p>
    <w:p w14:paraId="14001C41" w14:textId="4597F945" w:rsidR="00514CB3" w:rsidRPr="00775A0C" w:rsidRDefault="00182933" w:rsidP="00514CB3">
      <w:pPr>
        <w:spacing w:after="200"/>
        <w:rPr>
          <w:lang w:val="en-GB"/>
        </w:rPr>
      </w:pPr>
      <w:r w:rsidRPr="00775A0C">
        <w:rPr>
          <w:lang w:val="en-GB"/>
        </w:rPr>
        <w:t xml:space="preserve">The relationship between the regulation of blood glucose levels and cell metabolism is highly significant in the case of Type 2 Diabetes Mellitus. </w:t>
      </w:r>
      <w:r w:rsidRPr="00775A0C">
        <w:rPr>
          <w:color w:val="0E101A"/>
          <w:lang w:val="en-GB"/>
        </w:rPr>
        <w:t xml:space="preserve">The reason behind elevated blood glucose levels is that the body is resistant to insulin, hence failing to transfer glucose into the body's cells for effective use in the production of ATP (Rubio-Navarro </w:t>
      </w:r>
      <w:r w:rsidRPr="00775A0C">
        <w:rPr>
          <w:i/>
          <w:iCs/>
          <w:color w:val="0E101A"/>
          <w:lang w:val="en-GB"/>
        </w:rPr>
        <w:t>et al.,</w:t>
      </w:r>
      <w:r w:rsidRPr="00775A0C">
        <w:rPr>
          <w:color w:val="0E101A"/>
          <w:lang w:val="en-GB"/>
        </w:rPr>
        <w:t xml:space="preserve"> 2023). </w:t>
      </w:r>
      <w:r w:rsidRPr="00775A0C">
        <w:rPr>
          <w:lang w:val="en-GB"/>
        </w:rPr>
        <w:t xml:space="preserve"> </w:t>
      </w:r>
      <w:r w:rsidR="00514CB3" w:rsidRPr="00775A0C">
        <w:rPr>
          <w:lang w:val="en-GB"/>
        </w:rPr>
        <w:t>It is essential to note that this means that the term hyperglycaemia is not only associated with the presence of high levels of blood glucose, but also with an inability of the cells to use energy.</w:t>
      </w:r>
    </w:p>
    <w:p w14:paraId="634895E5" w14:textId="77777777" w:rsidR="00514CB3" w:rsidRPr="00775A0C" w:rsidRDefault="00514CB3" w:rsidP="00514CB3">
      <w:pPr>
        <w:pStyle w:val="Heading1"/>
        <w:spacing w:after="240"/>
        <w:rPr>
          <w:lang w:val="en-GB"/>
        </w:rPr>
      </w:pPr>
      <w:bookmarkStart w:id="8" w:name="_Toc242437558"/>
      <w:r w:rsidRPr="00775A0C">
        <w:rPr>
          <w:lang w:val="en-GB"/>
        </w:rPr>
        <w:t>Section 2. Pathophysiology of Type 2 Diabetes Mellitus and Effect of Lifestyle Factors on It</w:t>
      </w:r>
      <w:bookmarkEnd w:id="8"/>
    </w:p>
    <w:p w14:paraId="72AB5971" w14:textId="77777777" w:rsidR="00514CB3" w:rsidRPr="00775A0C" w:rsidRDefault="00514CB3" w:rsidP="00514CB3">
      <w:pPr>
        <w:pStyle w:val="Heading2"/>
        <w:spacing w:after="240"/>
        <w:rPr>
          <w:lang w:val="en-GB"/>
        </w:rPr>
      </w:pPr>
      <w:bookmarkStart w:id="9" w:name="_Toc242437559"/>
      <w:r w:rsidRPr="00775A0C">
        <w:rPr>
          <w:lang w:val="en-GB"/>
        </w:rPr>
        <w:t>2.1 Disruption in Blood Glucose Regulation</w:t>
      </w:r>
      <w:bookmarkEnd w:id="9"/>
    </w:p>
    <w:p w14:paraId="50B95047" w14:textId="3293296E" w:rsidR="00A34B8E" w:rsidRPr="00775A0C" w:rsidRDefault="00514CB3" w:rsidP="00514CB3">
      <w:pPr>
        <w:spacing w:after="240"/>
        <w:rPr>
          <w:color w:val="0E101A"/>
          <w:lang w:val="en-GB"/>
        </w:rPr>
      </w:pPr>
      <w:r w:rsidRPr="00775A0C">
        <w:rPr>
          <w:lang w:val="en-GB"/>
        </w:rPr>
        <w:t xml:space="preserve">From the point of view of Mirzadeh </w:t>
      </w:r>
      <w:r w:rsidRPr="00775A0C">
        <w:rPr>
          <w:i/>
          <w:iCs/>
          <w:lang w:val="en-GB"/>
        </w:rPr>
        <w:t>et al.,</w:t>
      </w:r>
      <w:r w:rsidRPr="00775A0C">
        <w:rPr>
          <w:lang w:val="en-GB"/>
        </w:rPr>
        <w:t xml:space="preserve"> (2022) the physiology of T2DM can be described through the concept of Homeostasis, where physiological activities take place in order to keep stability within the internal environment.</w:t>
      </w:r>
      <w:r w:rsidR="00C05380" w:rsidRPr="00775A0C">
        <w:rPr>
          <w:color w:val="0E101A"/>
          <w:lang w:val="en-GB"/>
        </w:rPr>
        <w:t xml:space="preserve"> </w:t>
      </w:r>
      <w:r w:rsidR="00182933" w:rsidRPr="00775A0C">
        <w:rPr>
          <w:color w:val="0E101A"/>
          <w:lang w:val="en-GB"/>
        </w:rPr>
        <w:t xml:space="preserve">In a normal situation, blood glucose is controlled using a negative feedback loop in which the mechanism involves the pancreas, insulin, and glucose transfer. The insulin hormone is produced by beta cells of the pancreas and helps in glucose transfer into cells. However, in the case of T2DM, the above-mentioned mechanism fails because of the occurrence of insulin resistance when the cells become resistant to the action of insulin (Yoshida </w:t>
      </w:r>
      <w:r w:rsidR="00182933" w:rsidRPr="00775A0C">
        <w:rPr>
          <w:i/>
          <w:iCs/>
          <w:color w:val="0E101A"/>
          <w:lang w:val="en-GB"/>
        </w:rPr>
        <w:t>et al.,</w:t>
      </w:r>
      <w:r w:rsidR="00182933" w:rsidRPr="00775A0C">
        <w:rPr>
          <w:color w:val="0E101A"/>
          <w:lang w:val="en-GB"/>
        </w:rPr>
        <w:t xml:space="preserve"> 2025). Hence, the glucose level is elevated in the bloodstream, resulting in hyperglycaemia. The pancreas, in response to hyperglycaemia, releases more insulin, which, if it persists, can cause beta-cell dysfunction. In Case Study 1, this inability of the body to regulate blood glucose levels poses a threat to homeostasis, leading to complications like cardiovascular diseases, renal disease, and neuropathy.</w:t>
      </w:r>
      <w:r w:rsidR="00182933" w:rsidRPr="00775A0C">
        <w:rPr>
          <w:lang w:val="en-GB"/>
        </w:rPr>
        <w:t xml:space="preserve"> </w:t>
      </w:r>
    </w:p>
    <w:p w14:paraId="50B95048" w14:textId="77777777" w:rsidR="00A34B8E" w:rsidRPr="00775A0C" w:rsidRDefault="00182933">
      <w:pPr>
        <w:pStyle w:val="Heading2"/>
        <w:spacing w:after="200"/>
        <w:rPr>
          <w:lang w:val="en-GB"/>
        </w:rPr>
      </w:pPr>
      <w:bookmarkStart w:id="10" w:name="_ds241vt1q9um" w:colFirst="0" w:colLast="0"/>
      <w:bookmarkStart w:id="11" w:name="_Toc242437560"/>
      <w:bookmarkEnd w:id="10"/>
      <w:r w:rsidRPr="00775A0C">
        <w:rPr>
          <w:lang w:val="en-GB"/>
        </w:rPr>
        <w:lastRenderedPageBreak/>
        <w:t>2.2 Impact of Lifestyle Factors on Glucose Control</w:t>
      </w:r>
      <w:bookmarkEnd w:id="11"/>
    </w:p>
    <w:p w14:paraId="50B95049" w14:textId="6246942C" w:rsidR="00A34B8E" w:rsidRPr="00775A0C" w:rsidRDefault="00743A0E">
      <w:pPr>
        <w:spacing w:after="200"/>
        <w:rPr>
          <w:lang w:val="en-GB"/>
        </w:rPr>
      </w:pPr>
      <w:r w:rsidRPr="00775A0C">
        <w:rPr>
          <w:lang w:val="en-GB"/>
        </w:rPr>
        <w:t xml:space="preserve">According to </w:t>
      </w:r>
      <w:r w:rsidR="006579FA" w:rsidRPr="00775A0C">
        <w:rPr>
          <w:lang w:val="en-GB"/>
        </w:rPr>
        <w:t>NHS</w:t>
      </w:r>
      <w:r w:rsidRPr="00775A0C">
        <w:rPr>
          <w:lang w:val="en-GB"/>
        </w:rPr>
        <w:t xml:space="preserve"> the</w:t>
      </w:r>
      <w:r w:rsidR="00182933" w:rsidRPr="00775A0C">
        <w:rPr>
          <w:lang w:val="en-GB"/>
        </w:rPr>
        <w:t xml:space="preserve"> lifestyle of a patient plays a vital role in the development of T2DM</w:t>
      </w:r>
      <w:r w:rsidR="006579FA" w:rsidRPr="00775A0C">
        <w:rPr>
          <w:lang w:val="en-GB"/>
        </w:rPr>
        <w:t xml:space="preserve"> </w:t>
      </w:r>
      <w:r w:rsidR="00621164" w:rsidRPr="00775A0C">
        <w:rPr>
          <w:lang w:val="en-GB"/>
        </w:rPr>
        <w:t>(NHS , 2025)</w:t>
      </w:r>
      <w:r w:rsidR="00182933" w:rsidRPr="00775A0C">
        <w:rPr>
          <w:lang w:val="en-GB"/>
        </w:rPr>
        <w:t xml:space="preserve">. Poor lifestyles with poor dietary habits, which include diets consisting of refined carbohydrates, saturated fat, and high sugar content, cause obesity and insulin resistance. Lack of physical activity causes poor use of glucose by muscle cells, while smoking causes oxidative stress and inflammation. According to the </w:t>
      </w:r>
      <w:r w:rsidR="00182933" w:rsidRPr="00775A0C">
        <w:rPr>
          <w:b/>
          <w:bCs/>
          <w:lang w:val="en-GB"/>
        </w:rPr>
        <w:t>Behaviour Change Risk Factor Model</w:t>
      </w:r>
      <w:r w:rsidR="00182933" w:rsidRPr="00775A0C">
        <w:rPr>
          <w:lang w:val="en-GB"/>
        </w:rPr>
        <w:t xml:space="preserve">, it is possible to explore the behaviours mentioned above as modifiable determinants affecting the progression of the disease (Albarracín </w:t>
      </w:r>
      <w:r w:rsidR="00182933" w:rsidRPr="00775A0C">
        <w:rPr>
          <w:i/>
          <w:iCs/>
          <w:lang w:val="en-GB"/>
        </w:rPr>
        <w:t>et al.,</w:t>
      </w:r>
      <w:r w:rsidR="00182933" w:rsidRPr="00775A0C">
        <w:rPr>
          <w:lang w:val="en-GB"/>
        </w:rPr>
        <w:t xml:space="preserve"> 2024). Therefore, it is possible for the patients in Case Study 1 to control the risk factors in question in order to regulate their blood sugar levels. </w:t>
      </w:r>
    </w:p>
    <w:p w14:paraId="50B9504A" w14:textId="77777777" w:rsidR="00A34B8E" w:rsidRPr="00775A0C" w:rsidRDefault="00182933">
      <w:pPr>
        <w:pStyle w:val="Heading2"/>
        <w:spacing w:after="200" w:line="342" w:lineRule="auto"/>
        <w:rPr>
          <w:lang w:val="en-GB"/>
        </w:rPr>
      </w:pPr>
      <w:bookmarkStart w:id="12" w:name="_9vo19r7wh7gk" w:colFirst="0" w:colLast="0"/>
      <w:bookmarkStart w:id="13" w:name="_Toc242437561"/>
      <w:bookmarkEnd w:id="12"/>
      <w:r w:rsidRPr="00775A0C">
        <w:rPr>
          <w:lang w:val="en-GB"/>
        </w:rPr>
        <w:t>2.3 Critical Evaluation</w:t>
      </w:r>
      <w:bookmarkEnd w:id="13"/>
    </w:p>
    <w:p w14:paraId="50B9504B" w14:textId="77777777" w:rsidR="00A34B8E" w:rsidRPr="00775A0C" w:rsidRDefault="00182933">
      <w:pPr>
        <w:spacing w:after="200"/>
        <w:rPr>
          <w:lang w:val="en-GB"/>
        </w:rPr>
      </w:pPr>
      <w:r w:rsidRPr="00775A0C">
        <w:rPr>
          <w:lang w:val="en-GB"/>
        </w:rPr>
        <w:t xml:space="preserve">One of the major benefits of lifestyle modification is the fact that it addresses the root cause of insulin resistance as opposed to just managing the symptoms. Ccami-Bernal </w:t>
      </w:r>
      <w:r w:rsidRPr="00775A0C">
        <w:rPr>
          <w:i/>
          <w:iCs/>
          <w:lang w:val="en-GB"/>
        </w:rPr>
        <w:t>et al.,</w:t>
      </w:r>
      <w:r w:rsidRPr="00775A0C">
        <w:rPr>
          <w:lang w:val="en-GB"/>
        </w:rPr>
        <w:t xml:space="preserve"> (2023) have indicated that healthy diets, exercise and quitting smoking can help in achieving better insulin sensitivity and consequently effective glycaemic control. Nonetheless, long-term changes in behaviour prove difficult for many people on account of socioeconomic issues, lack of knowledge on how to manage diabetes, as well as non-adherence. </w:t>
      </w:r>
    </w:p>
    <w:p w14:paraId="08D57B59" w14:textId="77777777" w:rsidR="00AE5BC2" w:rsidRPr="00775A0C" w:rsidRDefault="00AE5BC2">
      <w:pPr>
        <w:rPr>
          <w:b/>
          <w:bCs/>
          <w:sz w:val="28"/>
          <w:szCs w:val="28"/>
          <w:lang w:val="en-GB"/>
        </w:rPr>
      </w:pPr>
      <w:bookmarkStart w:id="14" w:name="_lamliam0e62b" w:colFirst="0" w:colLast="0"/>
      <w:bookmarkEnd w:id="14"/>
      <w:r w:rsidRPr="00775A0C">
        <w:rPr>
          <w:lang w:val="en-GB"/>
        </w:rPr>
        <w:br w:type="page"/>
      </w:r>
    </w:p>
    <w:p w14:paraId="50B9504C" w14:textId="5BC60375" w:rsidR="00A34B8E" w:rsidRPr="00775A0C" w:rsidRDefault="003B7610">
      <w:pPr>
        <w:pStyle w:val="Heading1"/>
        <w:spacing w:after="200"/>
        <w:rPr>
          <w:lang w:val="en-GB"/>
        </w:rPr>
      </w:pPr>
      <w:bookmarkStart w:id="15" w:name="_Toc242437562"/>
      <w:r w:rsidRPr="00775A0C">
        <w:rPr>
          <w:lang w:val="en-GB"/>
        </w:rPr>
        <w:lastRenderedPageBreak/>
        <w:t xml:space="preserve">Section </w:t>
      </w:r>
      <w:r w:rsidR="00182933" w:rsidRPr="00775A0C">
        <w:rPr>
          <w:lang w:val="en-GB"/>
        </w:rPr>
        <w:t>3: Monitoring and Data Use</w:t>
      </w:r>
      <w:bookmarkEnd w:id="15"/>
    </w:p>
    <w:p w14:paraId="50B9504D" w14:textId="77777777" w:rsidR="00A34B8E" w:rsidRPr="00775A0C" w:rsidRDefault="00182933">
      <w:pPr>
        <w:pStyle w:val="Heading2"/>
        <w:spacing w:after="200"/>
        <w:rPr>
          <w:lang w:val="en-GB"/>
        </w:rPr>
      </w:pPr>
      <w:bookmarkStart w:id="16" w:name="_mc09aukwq0db" w:colFirst="0" w:colLast="0"/>
      <w:bookmarkStart w:id="17" w:name="_Toc242437563"/>
      <w:bookmarkEnd w:id="16"/>
      <w:r w:rsidRPr="00775A0C">
        <w:rPr>
          <w:lang w:val="en-GB"/>
        </w:rPr>
        <w:t>3.1 Importance of tracking health data</w:t>
      </w:r>
      <w:bookmarkEnd w:id="17"/>
    </w:p>
    <w:p w14:paraId="50B9504E" w14:textId="77777777" w:rsidR="00A34B8E" w:rsidRPr="00775A0C" w:rsidRDefault="00182933">
      <w:pPr>
        <w:spacing w:after="200"/>
        <w:rPr>
          <w:lang w:val="en-GB"/>
        </w:rPr>
      </w:pPr>
      <w:r w:rsidRPr="00775A0C">
        <w:rPr>
          <w:lang w:val="en-GB"/>
        </w:rPr>
        <w:t xml:space="preserve">Based on Case Study 1, patients who visit the GP surgery need to have more knowledge about their own disease in order to control their blood glucose in an efficient manner. Tracking health data helps them to detect any patterns and trends rather than just focusing on one reading (Ajjan </w:t>
      </w:r>
      <w:r w:rsidRPr="00775A0C">
        <w:rPr>
          <w:i/>
          <w:iCs/>
          <w:lang w:val="en-GB"/>
        </w:rPr>
        <w:t>et al.</w:t>
      </w:r>
      <w:r w:rsidRPr="00775A0C">
        <w:rPr>
          <w:lang w:val="en-GB"/>
        </w:rPr>
        <w:t>, 2024). This process is described using the principle of homeostasis, whereby the body maintains the proper amount of glucose in the bloodstream. As far as negative feedback is concerned, if the concentration of glucose in the blood rises, the amount of insulin produced by the pancreas will also increase to facilitate the uptake of glucose into the body cells.</w:t>
      </w:r>
    </w:p>
    <w:p w14:paraId="50B9504F" w14:textId="77777777" w:rsidR="00A34B8E" w:rsidRPr="00775A0C" w:rsidRDefault="00182933">
      <w:pPr>
        <w:pStyle w:val="Heading2"/>
        <w:spacing w:after="200"/>
        <w:rPr>
          <w:lang w:val="en-GB"/>
        </w:rPr>
      </w:pPr>
      <w:bookmarkStart w:id="18" w:name="_f6rtq4dj25b9" w:colFirst="0" w:colLast="0"/>
      <w:bookmarkStart w:id="19" w:name="_Toc242437564"/>
      <w:bookmarkEnd w:id="18"/>
      <w:r w:rsidRPr="00775A0C">
        <w:rPr>
          <w:lang w:val="en-GB"/>
        </w:rPr>
        <w:t>3.2 How Routine Data Supports Condition Management</w:t>
      </w:r>
      <w:bookmarkEnd w:id="19"/>
    </w:p>
    <w:p w14:paraId="50B95050" w14:textId="4C29C20C" w:rsidR="00A34B8E" w:rsidRPr="00775A0C" w:rsidRDefault="00182933">
      <w:pPr>
        <w:spacing w:after="200"/>
        <w:rPr>
          <w:lang w:val="en-GB"/>
        </w:rPr>
      </w:pPr>
      <w:r w:rsidRPr="00775A0C">
        <w:rPr>
          <w:lang w:val="en-GB"/>
        </w:rPr>
        <w:t>Regular data on blood glucose enable health practitioners to detect trends instead of focusing on one-off data points</w:t>
      </w:r>
      <w:r w:rsidR="00247401" w:rsidRPr="00775A0C">
        <w:rPr>
          <w:lang w:val="en-GB"/>
        </w:rPr>
        <w:t xml:space="preserve"> </w:t>
      </w:r>
      <w:r w:rsidR="009A660D" w:rsidRPr="00775A0C">
        <w:rPr>
          <w:lang w:val="en-GB"/>
        </w:rPr>
        <w:t>(Diabetes.co.uk, 2022)</w:t>
      </w:r>
      <w:r w:rsidRPr="00775A0C">
        <w:rPr>
          <w:lang w:val="en-GB"/>
        </w:rPr>
        <w:t xml:space="preserve">. In the GP clinic case study, reviewing blood glucose readings along with drug prescriptions and lifestyle factors will help make treatment decisions. Regular monitoring is necessary in determining if changes in diet, exercise programs or medication will help in managing the glucose levels (Barchiesi </w:t>
      </w:r>
      <w:r w:rsidRPr="00775A0C">
        <w:rPr>
          <w:i/>
          <w:iCs/>
          <w:lang w:val="en-GB"/>
        </w:rPr>
        <w:t>et al.</w:t>
      </w:r>
      <w:r w:rsidRPr="00775A0C">
        <w:rPr>
          <w:lang w:val="en-GB"/>
        </w:rPr>
        <w:t>, 2025). Moreover, it will facilitate preventative care, as individuals who are at a higher risk of developing complications like cardiovascular disease, nephropathy and neuropathy can be identified.</w:t>
      </w:r>
    </w:p>
    <w:p w14:paraId="50B95051" w14:textId="77777777" w:rsidR="00A34B8E" w:rsidRPr="00775A0C" w:rsidRDefault="00182933">
      <w:pPr>
        <w:pStyle w:val="Heading2"/>
        <w:spacing w:after="200"/>
        <w:rPr>
          <w:lang w:val="en-GB"/>
        </w:rPr>
      </w:pPr>
      <w:bookmarkStart w:id="20" w:name="_q9vgbmhwuei4" w:colFirst="0" w:colLast="0"/>
      <w:bookmarkStart w:id="21" w:name="_Toc242437565"/>
      <w:bookmarkEnd w:id="20"/>
      <w:r w:rsidRPr="00775A0C">
        <w:rPr>
          <w:lang w:val="en-GB"/>
        </w:rPr>
        <w:t>3.3 Critical evaluation of Blood Glucose Monitoring</w:t>
      </w:r>
      <w:bookmarkEnd w:id="21"/>
    </w:p>
    <w:p w14:paraId="50B95052" w14:textId="4A4DC0BD" w:rsidR="00A34B8E" w:rsidRPr="00775A0C" w:rsidRDefault="00182933">
      <w:pPr>
        <w:rPr>
          <w:lang w:val="en-GB"/>
        </w:rPr>
      </w:pPr>
      <w:r w:rsidRPr="00775A0C">
        <w:rPr>
          <w:color w:val="0E101A"/>
          <w:lang w:val="en-GB"/>
        </w:rPr>
        <w:t xml:space="preserve">Despite the advantages associated with it, blood glucose monitoring is not always effective for everyone. As stated in the </w:t>
      </w:r>
      <w:r w:rsidRPr="00775A0C">
        <w:rPr>
          <w:b/>
          <w:bCs/>
          <w:color w:val="0E101A"/>
          <w:lang w:val="en-GB"/>
        </w:rPr>
        <w:t xml:space="preserve">theory of self-efficacy </w:t>
      </w:r>
      <w:r w:rsidRPr="00775A0C">
        <w:rPr>
          <w:color w:val="0E101A"/>
          <w:lang w:val="en-GB"/>
        </w:rPr>
        <w:t xml:space="preserve">developed by Bandura, the process of monitoring can help people gain confidence and motivation in observing the benefits of their changed behaviour (Ong-Artborirak </w:t>
      </w:r>
      <w:r w:rsidRPr="00775A0C">
        <w:rPr>
          <w:i/>
          <w:iCs/>
          <w:color w:val="0E101A"/>
          <w:lang w:val="en-GB"/>
        </w:rPr>
        <w:t>et al.</w:t>
      </w:r>
      <w:r w:rsidRPr="00775A0C">
        <w:rPr>
          <w:color w:val="0E101A"/>
          <w:lang w:val="en-GB"/>
        </w:rPr>
        <w:t xml:space="preserve">, 2023). However, the data indicate that monitoring itself does not guarantee better </w:t>
      </w:r>
      <w:r w:rsidR="00E71175" w:rsidRPr="00775A0C">
        <w:rPr>
          <w:color w:val="0E101A"/>
          <w:lang w:val="en-GB"/>
        </w:rPr>
        <w:t>glycaemic</w:t>
      </w:r>
      <w:r w:rsidRPr="00775A0C">
        <w:rPr>
          <w:color w:val="0E101A"/>
          <w:lang w:val="en-GB"/>
        </w:rPr>
        <w:t xml:space="preserve"> control. Indeed, there have been cases of monitoring fatigue, anxiety, or lack of understanding of how to interpret the results of monitoring, thereby decreasing the significance of the obtained data. Moreover, incorrect monitoring and poor health literacy can affect the process of decision-making.</w:t>
      </w:r>
      <w:r w:rsidRPr="00775A0C">
        <w:rPr>
          <w:lang w:val="en-GB"/>
        </w:rPr>
        <w:t xml:space="preserve"> </w:t>
      </w:r>
    </w:p>
    <w:p w14:paraId="22C53EF7" w14:textId="77777777" w:rsidR="00AE5BC2" w:rsidRPr="00775A0C" w:rsidRDefault="00AE5BC2">
      <w:pPr>
        <w:rPr>
          <w:b/>
          <w:bCs/>
          <w:sz w:val="28"/>
          <w:szCs w:val="28"/>
          <w:lang w:val="en-GB"/>
        </w:rPr>
      </w:pPr>
      <w:bookmarkStart w:id="22" w:name="_zcp8j8ybel0s" w:colFirst="0" w:colLast="0"/>
      <w:bookmarkEnd w:id="22"/>
      <w:r w:rsidRPr="00775A0C">
        <w:rPr>
          <w:lang w:val="en-GB"/>
        </w:rPr>
        <w:br w:type="page"/>
      </w:r>
    </w:p>
    <w:p w14:paraId="50B95053" w14:textId="3B579DFE" w:rsidR="00A34B8E" w:rsidRPr="00775A0C" w:rsidRDefault="003B7610">
      <w:pPr>
        <w:pStyle w:val="Heading1"/>
        <w:spacing w:after="200"/>
        <w:rPr>
          <w:lang w:val="en-GB"/>
        </w:rPr>
      </w:pPr>
      <w:bookmarkStart w:id="23" w:name="_Toc242437566"/>
      <w:r w:rsidRPr="00775A0C">
        <w:rPr>
          <w:lang w:val="en-GB"/>
        </w:rPr>
        <w:lastRenderedPageBreak/>
        <w:t xml:space="preserve">Section </w:t>
      </w:r>
      <w:r w:rsidR="00182933" w:rsidRPr="00775A0C">
        <w:rPr>
          <w:lang w:val="en-GB"/>
        </w:rPr>
        <w:t>4: Evidence-Based Lifestyle Recommendations</w:t>
      </w:r>
      <w:bookmarkEnd w:id="23"/>
    </w:p>
    <w:p w14:paraId="50B95054" w14:textId="77777777" w:rsidR="00A34B8E" w:rsidRPr="00775A0C" w:rsidRDefault="00182933">
      <w:pPr>
        <w:numPr>
          <w:ilvl w:val="0"/>
          <w:numId w:val="1"/>
        </w:numPr>
        <w:spacing w:after="200"/>
        <w:rPr>
          <w:b/>
          <w:bCs/>
          <w:lang w:val="en-GB"/>
        </w:rPr>
      </w:pPr>
      <w:r w:rsidRPr="00775A0C">
        <w:rPr>
          <w:b/>
          <w:bCs/>
          <w:lang w:val="en-GB"/>
        </w:rPr>
        <w:t xml:space="preserve">Dietary Modification and Weight Management: </w:t>
      </w:r>
      <w:r w:rsidRPr="00775A0C">
        <w:rPr>
          <w:lang w:val="en-GB"/>
        </w:rPr>
        <w:t xml:space="preserve">Improving their eating patterns and attaining weight loss in a sustainable manner can be seen as essential evidence-based interventions to be used in the management of Type 2 diabetes among patients. The </w:t>
      </w:r>
      <w:r w:rsidRPr="00775A0C">
        <w:rPr>
          <w:b/>
          <w:bCs/>
          <w:lang w:val="en-GB"/>
        </w:rPr>
        <w:t>NICE guideline</w:t>
      </w:r>
      <w:r w:rsidRPr="00775A0C">
        <w:rPr>
          <w:lang w:val="en-GB"/>
        </w:rPr>
        <w:t xml:space="preserve"> suggests that patients are supposed to maintain a balanced diet by reducing the excess number of calories in their body, especially in the form of refined carbohydrates and saturated fat foods (NICE, 2022). This helps in decreasing the amount of insulin resistance and allows the cells in the body to respond to insulin in order to facilitate the uptake of glucose from blood. Physiologically, this helps in decreasing hyperglycaemia levels and reduces the stress on β-cells that produce insulin.  However, the long-term success is dependent on sustained behavioural changes and not short-term diets.</w:t>
      </w:r>
    </w:p>
    <w:p w14:paraId="50B95055" w14:textId="77777777" w:rsidR="00A34B8E" w:rsidRPr="00775A0C" w:rsidRDefault="00182933">
      <w:pPr>
        <w:numPr>
          <w:ilvl w:val="0"/>
          <w:numId w:val="1"/>
        </w:numPr>
        <w:spacing w:after="200"/>
        <w:rPr>
          <w:b/>
          <w:bCs/>
          <w:lang w:val="en-GB"/>
        </w:rPr>
      </w:pPr>
      <w:r w:rsidRPr="00775A0C">
        <w:rPr>
          <w:b/>
          <w:bCs/>
          <w:lang w:val="en-GB"/>
        </w:rPr>
        <w:t xml:space="preserve">Increasing Physical Activity: </w:t>
      </w:r>
      <w:r w:rsidRPr="00775A0C">
        <w:rPr>
          <w:lang w:val="en-GB"/>
        </w:rPr>
        <w:t xml:space="preserve">Physical activities should be performed regularly, as they benefit patients with Type 2 diabetes due to their influence on glucose and cardiovascular system functioning. According to the </w:t>
      </w:r>
      <w:r w:rsidRPr="00775A0C">
        <w:rPr>
          <w:b/>
          <w:bCs/>
          <w:lang w:val="en-GB"/>
        </w:rPr>
        <w:t>Health Belief Model</w:t>
      </w:r>
      <w:r w:rsidRPr="00775A0C">
        <w:rPr>
          <w:lang w:val="en-GB"/>
        </w:rPr>
        <w:t xml:space="preserve">, people will be motivated to perform some healthy behaviours if they realise the advantages of decreasing the risk of developing some complications of the disease (Mohammad </w:t>
      </w:r>
      <w:r w:rsidRPr="00775A0C">
        <w:rPr>
          <w:i/>
          <w:iCs/>
          <w:lang w:val="en-GB"/>
        </w:rPr>
        <w:t>et al.,</w:t>
      </w:r>
      <w:r w:rsidRPr="00775A0C">
        <w:rPr>
          <w:lang w:val="en-GB"/>
        </w:rPr>
        <w:t xml:space="preserve"> 2024). Physical activity helps glucose utilisation by skeletal muscles, thus decreasing the amount of glucose present in the blood. In addition, the increase in physical activity level contributes to maintaining healthy body weight, lowering blood pressure and decreasing cardiovascular risks. This aspect is especially important as people with Type 2 diabetes are prone to heart diseases and strokes.</w:t>
      </w:r>
    </w:p>
    <w:p w14:paraId="50B95056" w14:textId="7CA3CDA3" w:rsidR="00A34B8E" w:rsidRPr="00775A0C" w:rsidRDefault="00182933" w:rsidP="00231816">
      <w:pPr>
        <w:numPr>
          <w:ilvl w:val="0"/>
          <w:numId w:val="1"/>
        </w:numPr>
        <w:spacing w:after="200"/>
        <w:rPr>
          <w:color w:val="0E101A"/>
          <w:lang w:val="en-GB"/>
        </w:rPr>
      </w:pPr>
      <w:r w:rsidRPr="00775A0C">
        <w:rPr>
          <w:b/>
          <w:bCs/>
          <w:lang w:val="en-GB"/>
        </w:rPr>
        <w:t xml:space="preserve">Cessation of Smoking: </w:t>
      </w:r>
      <w:r w:rsidRPr="00775A0C">
        <w:rPr>
          <w:lang w:val="en-GB"/>
        </w:rPr>
        <w:t>One must encourage smoking cessation among patients with type 2 diabetes as it contributes to insulin resistance, vessel complications, and inflammation.</w:t>
      </w:r>
      <w:r w:rsidRPr="00775A0C">
        <w:rPr>
          <w:color w:val="0E101A"/>
          <w:lang w:val="en-GB"/>
        </w:rPr>
        <w:t xml:space="preserve"> All those physiological processes exacerbate glycaemia and the chances of macrovascular and microvascular complications in the future. Driva </w:t>
      </w:r>
      <w:r w:rsidRPr="00775A0C">
        <w:rPr>
          <w:i/>
          <w:iCs/>
          <w:color w:val="0E101A"/>
          <w:lang w:val="en-GB"/>
        </w:rPr>
        <w:t>et al.,</w:t>
      </w:r>
      <w:r w:rsidRPr="00775A0C">
        <w:rPr>
          <w:color w:val="0E101A"/>
          <w:lang w:val="en-GB"/>
        </w:rPr>
        <w:t xml:space="preserve"> (2022) have proved that people who give up smoking have improved cardiovascular and diabetes prognosis. However, smoking cessation may be difficult because of nicotine addiction and some behavioural aspects. Thus, the best strategy to quit smoking is a combination of professional help, counselling, and pharmacotherapy if necessary. Importantly, there is no single strategy that is enough on its own. According to the Biopsychosocial Model, it is crucial to pay attention to the influence of biological, psychological and social aspects on </w:t>
      </w:r>
      <w:r w:rsidRPr="00775A0C">
        <w:rPr>
          <w:color w:val="0E101A"/>
          <w:lang w:val="en-GB"/>
        </w:rPr>
        <w:lastRenderedPageBreak/>
        <w:t>behaviour when treating diabetes</w:t>
      </w:r>
      <w:r w:rsidR="00650C63" w:rsidRPr="00775A0C">
        <w:rPr>
          <w:color w:val="0E101A"/>
          <w:lang w:val="en-GB"/>
        </w:rPr>
        <w:t xml:space="preserve"> </w:t>
      </w:r>
      <w:r w:rsidR="00231816" w:rsidRPr="00775A0C">
        <w:rPr>
          <w:color w:val="0E101A"/>
          <w:lang w:val="en-GB"/>
        </w:rPr>
        <w:t xml:space="preserve">(Amsah </w:t>
      </w:r>
      <w:r w:rsidR="00231816" w:rsidRPr="00775A0C">
        <w:rPr>
          <w:i/>
          <w:iCs/>
          <w:color w:val="0E101A"/>
          <w:lang w:val="en-GB"/>
        </w:rPr>
        <w:t>et al.,</w:t>
      </w:r>
      <w:r w:rsidR="00231816" w:rsidRPr="00775A0C">
        <w:rPr>
          <w:color w:val="0E101A"/>
          <w:lang w:val="en-GB"/>
        </w:rPr>
        <w:t xml:space="preserve"> 2022)</w:t>
      </w:r>
      <w:r w:rsidRPr="00775A0C">
        <w:rPr>
          <w:color w:val="0E101A"/>
          <w:lang w:val="en-GB"/>
        </w:rPr>
        <w:t>. Thus, it is necessary to take into account all those aspects of life to achieve positive results in blood glucose regulation.</w:t>
      </w:r>
      <w:r w:rsidRPr="00775A0C">
        <w:rPr>
          <w:lang w:val="en-GB"/>
        </w:rPr>
        <w:t xml:space="preserve"> </w:t>
      </w:r>
    </w:p>
    <w:p w14:paraId="0F672417" w14:textId="77777777" w:rsidR="00AE5BC2" w:rsidRPr="00775A0C" w:rsidRDefault="00AE5BC2">
      <w:pPr>
        <w:rPr>
          <w:b/>
          <w:bCs/>
          <w:sz w:val="28"/>
          <w:szCs w:val="28"/>
          <w:lang w:val="en-GB"/>
        </w:rPr>
      </w:pPr>
      <w:bookmarkStart w:id="24" w:name="_qyts8vahv8xw" w:colFirst="0" w:colLast="0"/>
      <w:bookmarkEnd w:id="24"/>
      <w:r w:rsidRPr="00775A0C">
        <w:rPr>
          <w:lang w:val="en-GB"/>
        </w:rPr>
        <w:br w:type="page"/>
      </w:r>
    </w:p>
    <w:p w14:paraId="50B95057" w14:textId="040D5AF5" w:rsidR="00A34B8E" w:rsidRPr="00775A0C" w:rsidRDefault="00E71175">
      <w:pPr>
        <w:pStyle w:val="Heading1"/>
        <w:spacing w:after="200"/>
        <w:rPr>
          <w:lang w:val="en-GB"/>
        </w:rPr>
      </w:pPr>
      <w:bookmarkStart w:id="25" w:name="_Toc242437567"/>
      <w:r w:rsidRPr="00775A0C">
        <w:rPr>
          <w:lang w:val="en-GB"/>
        </w:rPr>
        <w:lastRenderedPageBreak/>
        <w:t>Conclusion</w:t>
      </w:r>
      <w:bookmarkEnd w:id="25"/>
      <w:r w:rsidRPr="00775A0C">
        <w:rPr>
          <w:lang w:val="en-GB"/>
        </w:rPr>
        <w:t xml:space="preserve"> </w:t>
      </w:r>
    </w:p>
    <w:p w14:paraId="50B95058" w14:textId="77777777" w:rsidR="00A34B8E" w:rsidRPr="00775A0C" w:rsidRDefault="00182933">
      <w:pPr>
        <w:spacing w:after="200"/>
        <w:rPr>
          <w:lang w:val="en-GB"/>
        </w:rPr>
      </w:pPr>
      <w:r w:rsidRPr="00775A0C">
        <w:rPr>
          <w:lang w:val="en-GB"/>
        </w:rPr>
        <w:t>Diabetes Mellitus Type 2 is a multifaceted chronic metabolic disorder which is associated with dysregulation of blood glucose levels due to the development of insulin resistance and β-cells' malfunction. According to the current report, it has been noted that the process of glucose regulation through blood vessels is dependent on the concept of homeostasis, which involves the coordination of insulin and glucagon to ensure proper regulation of the glucose level. In addition, the importance of cellular metabolism has also been pointed out, where glucose and oxygen are needed for ATP production.</w:t>
      </w:r>
    </w:p>
    <w:p w14:paraId="50B95059" w14:textId="242BB628" w:rsidR="00A34B8E" w:rsidRPr="00775A0C" w:rsidRDefault="00182933">
      <w:pPr>
        <w:spacing w:after="200"/>
        <w:rPr>
          <w:lang w:val="en-GB"/>
        </w:rPr>
      </w:pPr>
      <w:r w:rsidRPr="00775A0C">
        <w:rPr>
          <w:lang w:val="en-GB"/>
        </w:rPr>
        <w:t xml:space="preserve">Moreover, the study has explored how the development and worsening of the disease can be attributed to unhealthy lifestyles that increase insulin resistance and decrease </w:t>
      </w:r>
      <w:r w:rsidR="00E71175" w:rsidRPr="00775A0C">
        <w:rPr>
          <w:lang w:val="en-GB"/>
        </w:rPr>
        <w:t>glycaemic</w:t>
      </w:r>
      <w:r w:rsidRPr="00775A0C">
        <w:rPr>
          <w:lang w:val="en-GB"/>
        </w:rPr>
        <w:t xml:space="preserve"> control through poor nutrition, inactivity, and smoking. In line with Case Study 1, the importance of monitoring blood glucose levels in the management of the disease has been emphasised once again. The recording of blood glucose readings helps in the identification of trends and assessment of the effectiveness of treatments. Nevertheless, critical evaluation revealed that this step would not suffice without proper health literacy and motivation.</w:t>
      </w:r>
    </w:p>
    <w:p w14:paraId="50B9505A" w14:textId="77777777" w:rsidR="00A34B8E" w:rsidRPr="00775A0C" w:rsidRDefault="00182933">
      <w:pPr>
        <w:spacing w:after="200"/>
        <w:rPr>
          <w:lang w:val="en-GB"/>
        </w:rPr>
      </w:pPr>
      <w:r w:rsidRPr="00775A0C">
        <w:rPr>
          <w:lang w:val="en-GB"/>
        </w:rPr>
        <w:t xml:space="preserve">The recommendations made were based on evidence, which showed that insulin sensitivity could be improved through diet modifications, exercise and stopping smoking. The management of this condition needs a blend of self-management behaviour and proper medical intervention. The role played by health professionals, especially practice nurses, is crucial when it comes to educating patients about how their bodies work. </w:t>
      </w:r>
    </w:p>
    <w:p w14:paraId="50B9505B" w14:textId="77777777" w:rsidR="00A34B8E" w:rsidRPr="00775A0C" w:rsidRDefault="00182933">
      <w:pPr>
        <w:spacing w:after="200"/>
        <w:rPr>
          <w:lang w:val="en-GB"/>
        </w:rPr>
      </w:pPr>
      <w:r w:rsidRPr="00775A0C">
        <w:rPr>
          <w:lang w:val="en-GB"/>
        </w:rPr>
        <w:br w:type="page"/>
      </w:r>
    </w:p>
    <w:p w14:paraId="50B9505C" w14:textId="77777777" w:rsidR="00A34B8E" w:rsidRPr="00775A0C" w:rsidRDefault="00182933">
      <w:pPr>
        <w:pStyle w:val="Heading1"/>
        <w:spacing w:after="200"/>
        <w:rPr>
          <w:lang w:val="en-GB"/>
        </w:rPr>
      </w:pPr>
      <w:bookmarkStart w:id="26" w:name="_aj7vq8qdgyll" w:colFirst="0" w:colLast="0"/>
      <w:bookmarkStart w:id="27" w:name="_Toc242437568"/>
      <w:bookmarkEnd w:id="26"/>
      <w:r w:rsidRPr="00775A0C">
        <w:rPr>
          <w:lang w:val="en-GB"/>
        </w:rPr>
        <w:lastRenderedPageBreak/>
        <w:t>Reference List</w:t>
      </w:r>
      <w:bookmarkEnd w:id="27"/>
    </w:p>
    <w:p w14:paraId="77F02612" w14:textId="77777777" w:rsidR="00013B37" w:rsidRPr="00013B37" w:rsidRDefault="00013B37" w:rsidP="00013B37">
      <w:pPr>
        <w:spacing w:before="240"/>
        <w:rPr>
          <w:lang w:val="en-GB"/>
        </w:rPr>
      </w:pPr>
      <w:r w:rsidRPr="00013B37">
        <w:rPr>
          <w:lang w:val="en-GB"/>
        </w:rPr>
        <w:t xml:space="preserve">Ajjan, R.A., Battelino, T., Cos, X., Prato, S.D., Philips, J.-C., Meyer, L., Seufert, J. and Seidu, S. (2024) “Continuous glucose monitoring for the routine care of type 2 diabetes mellitus,” </w:t>
      </w:r>
      <w:r w:rsidRPr="00013B37">
        <w:rPr>
          <w:i/>
          <w:iCs/>
          <w:lang w:val="en-GB"/>
        </w:rPr>
        <w:t>Nature reviews. Endocrinology</w:t>
      </w:r>
      <w:r w:rsidRPr="00013B37">
        <w:rPr>
          <w:lang w:val="en-GB"/>
        </w:rPr>
        <w:t>, 13(6), pp. 19–27. Available at: https://doi.org/10.1038/s41574-024-00973-1.</w:t>
      </w:r>
    </w:p>
    <w:p w14:paraId="52F185FC" w14:textId="77777777" w:rsidR="00013B37" w:rsidRPr="00013B37" w:rsidRDefault="00013B37" w:rsidP="00013B37">
      <w:pPr>
        <w:spacing w:before="240"/>
        <w:rPr>
          <w:lang w:val="en-GB"/>
        </w:rPr>
      </w:pPr>
      <w:r w:rsidRPr="00013B37">
        <w:rPr>
          <w:lang w:val="en-GB"/>
        </w:rPr>
        <w:t xml:space="preserve">Albarracín, D., Fayaz-Farkhad, B. and Samayoa, J.A.G. (2024) “Determinants of behaviour and their efficacy as targets of behavioural change interventions,” </w:t>
      </w:r>
      <w:r w:rsidRPr="00013B37">
        <w:rPr>
          <w:i/>
          <w:iCs/>
          <w:lang w:val="en-GB"/>
        </w:rPr>
        <w:t>Nature Reviews Psychology</w:t>
      </w:r>
      <w:r w:rsidRPr="00013B37">
        <w:rPr>
          <w:lang w:val="en-GB"/>
        </w:rPr>
        <w:t>, 3(8), pp. 1–16. Available at: https://doi.org/10.1038/s44159-024-00305-0.</w:t>
      </w:r>
    </w:p>
    <w:p w14:paraId="16AE01B8" w14:textId="77777777" w:rsidR="00013B37" w:rsidRPr="00013B37" w:rsidRDefault="00013B37" w:rsidP="00013B37">
      <w:pPr>
        <w:spacing w:before="240"/>
        <w:rPr>
          <w:lang w:val="en-GB"/>
        </w:rPr>
      </w:pPr>
      <w:r w:rsidRPr="00013B37">
        <w:rPr>
          <w:lang w:val="en-GB"/>
        </w:rPr>
        <w:t xml:space="preserve">Amsah, N., Md Isa, Z. and Ahmad, N. (2022) “Biopsychosocial and nutritional factors of depression among type 2 diabetes mellitus patients: A systematic review,” </w:t>
      </w:r>
      <w:r w:rsidRPr="00013B37">
        <w:rPr>
          <w:i/>
          <w:iCs/>
          <w:lang w:val="en-GB"/>
        </w:rPr>
        <w:t>International Journal of Environmental Research and Public Health</w:t>
      </w:r>
      <w:r w:rsidRPr="00013B37">
        <w:rPr>
          <w:lang w:val="en-GB"/>
        </w:rPr>
        <w:t>, 19(8), pp. 48–88. Available at: https://doi.org/10.3390/ijerph19084888.</w:t>
      </w:r>
    </w:p>
    <w:p w14:paraId="2C84BC46" w14:textId="77777777" w:rsidR="00013B37" w:rsidRPr="00013B37" w:rsidRDefault="00013B37" w:rsidP="00013B37">
      <w:pPr>
        <w:spacing w:before="240"/>
        <w:rPr>
          <w:lang w:val="en-GB"/>
        </w:rPr>
      </w:pPr>
      <w:r w:rsidRPr="00013B37">
        <w:rPr>
          <w:lang w:val="en-GB"/>
        </w:rPr>
        <w:t xml:space="preserve">Balasubaramaniam, V. and Pouwels, S. (2023) “Remission of type 2 diabetes mellitus (T2DM) after sleeve gastrectomy (SG), one-anastomosis gastric bypass (OAGB), and </w:t>
      </w:r>
      <w:proofErr w:type="spellStart"/>
      <w:r w:rsidRPr="00013B37">
        <w:rPr>
          <w:lang w:val="en-GB"/>
        </w:rPr>
        <w:t>roux-en-Y</w:t>
      </w:r>
      <w:proofErr w:type="spellEnd"/>
      <w:r w:rsidRPr="00013B37">
        <w:rPr>
          <w:lang w:val="en-GB"/>
        </w:rPr>
        <w:t xml:space="preserve"> gastric bypass (RYGB): A systematic review,” </w:t>
      </w:r>
      <w:r w:rsidRPr="00013B37">
        <w:rPr>
          <w:i/>
          <w:iCs/>
          <w:lang w:val="en-GB"/>
        </w:rPr>
        <w:t>Medicina</w:t>
      </w:r>
      <w:r w:rsidRPr="00013B37">
        <w:rPr>
          <w:lang w:val="en-GB"/>
        </w:rPr>
        <w:t>, 59(5), pp. 485–654. Available at: https://doi.org/10.3390/medicina59050985.</w:t>
      </w:r>
    </w:p>
    <w:p w14:paraId="7B378764" w14:textId="77777777" w:rsidR="00013B37" w:rsidRPr="00013B37" w:rsidRDefault="00013B37" w:rsidP="00013B37">
      <w:pPr>
        <w:spacing w:before="240"/>
        <w:rPr>
          <w:lang w:val="en-GB"/>
        </w:rPr>
      </w:pPr>
      <w:r w:rsidRPr="00013B37">
        <w:rPr>
          <w:lang w:val="en-GB"/>
        </w:rPr>
        <w:t xml:space="preserve">Barchiesi, M.A., Calabrese, A., Costa, R., Pillo, F. Di, D’Uffizi, A., Tiburzi, L. and Zahid, E. (2025) “Continuous glucose monitoring in type 2 diabetes: A systematic review of barriers and opportunities for care improvement,” </w:t>
      </w:r>
      <w:r w:rsidRPr="00013B37">
        <w:rPr>
          <w:i/>
          <w:iCs/>
          <w:lang w:val="en-GB"/>
        </w:rPr>
        <w:t>International Journal for Quality in Health Care</w:t>
      </w:r>
      <w:r w:rsidRPr="00013B37">
        <w:rPr>
          <w:lang w:val="en-GB"/>
        </w:rPr>
        <w:t>, 37(3), pp. 712–720. Available at: https://doi.org/10.1093/intqhc/mzaf046.</w:t>
      </w:r>
    </w:p>
    <w:p w14:paraId="1C520FDA" w14:textId="77777777" w:rsidR="00013B37" w:rsidRPr="00013B37" w:rsidRDefault="00013B37" w:rsidP="00013B37">
      <w:pPr>
        <w:spacing w:before="240"/>
        <w:rPr>
          <w:lang w:val="en-GB"/>
        </w:rPr>
      </w:pPr>
      <w:r w:rsidRPr="00013B37">
        <w:rPr>
          <w:lang w:val="en-GB"/>
        </w:rPr>
        <w:t xml:space="preserve">Bich, L. and Menatti, L. (2025) “Homeostasis and health: From balance to change,” </w:t>
      </w:r>
      <w:r w:rsidRPr="00013B37">
        <w:rPr>
          <w:i/>
          <w:iCs/>
          <w:lang w:val="en-GB"/>
        </w:rPr>
        <w:t>Biological Theory</w:t>
      </w:r>
      <w:r w:rsidRPr="00013B37">
        <w:rPr>
          <w:lang w:val="en-GB"/>
        </w:rPr>
        <w:t>, 21(2), pp. 174–186. Available at: https://doi.org/10.1007/s13752-025-00510-x.</w:t>
      </w:r>
    </w:p>
    <w:p w14:paraId="1336CFE0" w14:textId="77777777" w:rsidR="00013B37" w:rsidRPr="00013B37" w:rsidRDefault="00013B37" w:rsidP="00013B37">
      <w:pPr>
        <w:spacing w:before="240"/>
        <w:rPr>
          <w:lang w:val="en-GB"/>
        </w:rPr>
      </w:pPr>
      <w:r w:rsidRPr="00013B37">
        <w:rPr>
          <w:lang w:val="en-GB"/>
        </w:rPr>
        <w:t xml:space="preserve">Ccami-Bernal, F., Soriano-Moreno, D.R., Fernandez-Guzman, D., Tuco, K.G., Castro-Díaz, S.D., Esparza-Varas, A.L., Medina-Ramirez, S.A., Caira-Chuquineyra, B., Cortez-Soto, A.G., Yovera-Aldana, M. and Rojas-Rueda, D. (2023) “Green space exposure and type 2 diabetes mellitus incidence: A systematic review,” </w:t>
      </w:r>
      <w:r w:rsidRPr="00013B37">
        <w:rPr>
          <w:i/>
          <w:iCs/>
          <w:lang w:val="en-GB"/>
        </w:rPr>
        <w:t>Health &amp; Place</w:t>
      </w:r>
      <w:r w:rsidRPr="00013B37">
        <w:rPr>
          <w:lang w:val="en-GB"/>
        </w:rPr>
        <w:t>, 82(3), pp. 103–845. Available at: https://doi.org/10.1016/j.healthplace.2023.103045.</w:t>
      </w:r>
    </w:p>
    <w:p w14:paraId="38D18843" w14:textId="77777777" w:rsidR="00013B37" w:rsidRPr="00013B37" w:rsidRDefault="00013B37" w:rsidP="00013B37">
      <w:pPr>
        <w:spacing w:before="240"/>
        <w:rPr>
          <w:lang w:val="en-GB"/>
        </w:rPr>
      </w:pPr>
      <w:r w:rsidRPr="00013B37">
        <w:rPr>
          <w:lang w:val="en-GB"/>
        </w:rPr>
        <w:lastRenderedPageBreak/>
        <w:t xml:space="preserve">Davies, M.J., Lim, S., Slater, T., Goldney, J., Philis-Tsimikas, A., Franco, D.R., Lamptey, R., Yates, T., Tankova, T. and Lingvay, I. (2026) “Type 2 diabetes mellitus,” </w:t>
      </w:r>
      <w:r w:rsidRPr="00013B37">
        <w:rPr>
          <w:i/>
          <w:iCs/>
          <w:lang w:val="en-GB"/>
        </w:rPr>
        <w:t>Nature Reviews Disease Primers</w:t>
      </w:r>
      <w:r w:rsidRPr="00013B37">
        <w:rPr>
          <w:lang w:val="en-GB"/>
        </w:rPr>
        <w:t>, 12(1), pp. 24–76. Available at: https://doi.org/10.1038/s41572-026-00687-w.</w:t>
      </w:r>
    </w:p>
    <w:p w14:paraId="59653B8B" w14:textId="77777777" w:rsidR="00013B37" w:rsidRPr="00013B37" w:rsidRDefault="00013B37" w:rsidP="00013B37">
      <w:pPr>
        <w:spacing w:before="240"/>
        <w:rPr>
          <w:lang w:val="en-GB"/>
        </w:rPr>
      </w:pPr>
      <w:r w:rsidRPr="00013B37">
        <w:rPr>
          <w:lang w:val="en-GB"/>
        </w:rPr>
        <w:t xml:space="preserve">Diabetes.co.uk (2022) </w:t>
      </w:r>
      <w:r w:rsidRPr="00013B37">
        <w:rPr>
          <w:i/>
          <w:iCs/>
          <w:lang w:val="en-GB"/>
        </w:rPr>
        <w:t>Blood glucose pattern and trend management - dealing with highs and lows</w:t>
      </w:r>
      <w:r w:rsidRPr="00013B37">
        <w:rPr>
          <w:lang w:val="en-GB"/>
        </w:rPr>
        <w:t xml:space="preserve">, </w:t>
      </w:r>
      <w:r w:rsidRPr="00013B37">
        <w:rPr>
          <w:i/>
          <w:iCs/>
          <w:lang w:val="en-GB"/>
        </w:rPr>
        <w:t>Diabetes.co.uk</w:t>
      </w:r>
      <w:r w:rsidRPr="00013B37">
        <w:rPr>
          <w:lang w:val="en-GB"/>
        </w:rPr>
        <w:t>. Available at: https://www.diabetes.co.uk/blood-glucose/pattern-management-and-trends.html (Accessed: October 9, 2026).</w:t>
      </w:r>
    </w:p>
    <w:p w14:paraId="1BAA2F18" w14:textId="77777777" w:rsidR="00013B37" w:rsidRPr="00013B37" w:rsidRDefault="00013B37" w:rsidP="00013B37">
      <w:pPr>
        <w:spacing w:before="240"/>
        <w:rPr>
          <w:lang w:val="en-GB"/>
        </w:rPr>
      </w:pPr>
      <w:r w:rsidRPr="00013B37">
        <w:rPr>
          <w:lang w:val="en-GB"/>
        </w:rPr>
        <w:t xml:space="preserve">Driva, S., Korkontzelou, A., Tonstad, S., Tentolouris, N. and Katsaounou, P. (2022) “The effect of smoking cessation on body weight and other metabolic parameters with focus on people with type 2 diabetes mellitus,” </w:t>
      </w:r>
      <w:r w:rsidRPr="00013B37">
        <w:rPr>
          <w:i/>
          <w:iCs/>
          <w:lang w:val="en-GB"/>
        </w:rPr>
        <w:t>International Journal of Environmental Research and Public Health</w:t>
      </w:r>
      <w:r w:rsidRPr="00013B37">
        <w:rPr>
          <w:lang w:val="en-GB"/>
        </w:rPr>
        <w:t>, 19(20), pp. 132–522. Available at: https://doi.org/10.3390/ijerph192013222.</w:t>
      </w:r>
    </w:p>
    <w:p w14:paraId="6ADD7F43" w14:textId="77777777" w:rsidR="00013B37" w:rsidRPr="00013B37" w:rsidRDefault="00013B37" w:rsidP="00013B37">
      <w:pPr>
        <w:spacing w:before="240"/>
        <w:rPr>
          <w:lang w:val="en-GB"/>
        </w:rPr>
      </w:pPr>
      <w:r w:rsidRPr="00013B37">
        <w:rPr>
          <w:lang w:val="en-GB"/>
        </w:rPr>
        <w:t xml:space="preserve">Gherasim, A., Oprescu, A.C., Gal, A.M., </w:t>
      </w:r>
      <w:proofErr w:type="spellStart"/>
      <w:r w:rsidRPr="00013B37">
        <w:rPr>
          <w:lang w:val="en-GB"/>
        </w:rPr>
        <w:t>Burlui</w:t>
      </w:r>
      <w:proofErr w:type="spellEnd"/>
      <w:r w:rsidRPr="00013B37">
        <w:rPr>
          <w:lang w:val="en-GB"/>
        </w:rPr>
        <w:t xml:space="preserve">, A.M. and Mihalache, L. (2023) “Lifestyle patterns in patients with type 2 diabetes,” </w:t>
      </w:r>
      <w:r w:rsidRPr="00013B37">
        <w:rPr>
          <w:i/>
          <w:iCs/>
          <w:lang w:val="en-GB"/>
        </w:rPr>
        <w:t>Metabolites</w:t>
      </w:r>
      <w:r w:rsidRPr="00013B37">
        <w:rPr>
          <w:lang w:val="en-GB"/>
        </w:rPr>
        <w:t>, 13(7), pp. 18–31. Available at: https://doi.org/10.3390/metabo13070831.</w:t>
      </w:r>
    </w:p>
    <w:p w14:paraId="4E681B7C" w14:textId="77777777" w:rsidR="00013B37" w:rsidRPr="00013B37" w:rsidRDefault="00013B37" w:rsidP="00013B37">
      <w:pPr>
        <w:spacing w:before="240"/>
        <w:rPr>
          <w:lang w:val="en-GB"/>
        </w:rPr>
      </w:pPr>
      <w:r w:rsidRPr="00013B37">
        <w:rPr>
          <w:lang w:val="en-GB"/>
        </w:rPr>
        <w:t xml:space="preserve">Mirzadeh, Z., Faber, C.L. and Schwartz, M.W. (2022) “Central nervous system control of glucose homeostasis: A therapeutic target for type 2 diabetes?,” </w:t>
      </w:r>
      <w:r w:rsidRPr="00013B37">
        <w:rPr>
          <w:i/>
          <w:iCs/>
          <w:lang w:val="en-GB"/>
        </w:rPr>
        <w:t>Annual Review of Pharmacology and Toxicology</w:t>
      </w:r>
      <w:r w:rsidRPr="00013B37">
        <w:rPr>
          <w:lang w:val="en-GB"/>
        </w:rPr>
        <w:t>, 62(8), pp. 55–84. Available at: https://doi.org/10.1146/annurev-pharmtox-052220-010446.</w:t>
      </w:r>
    </w:p>
    <w:p w14:paraId="0AF33E7D" w14:textId="77777777" w:rsidR="00013B37" w:rsidRPr="00013B37" w:rsidRDefault="00013B37" w:rsidP="00013B37">
      <w:pPr>
        <w:spacing w:before="240"/>
        <w:rPr>
          <w:lang w:val="en-GB"/>
        </w:rPr>
      </w:pPr>
      <w:r w:rsidRPr="00013B37">
        <w:rPr>
          <w:lang w:val="en-GB"/>
        </w:rPr>
        <w:t xml:space="preserve">Mohammad, A.A., Chin, O.S. and Elnaem, M. (2024) “Understanding diabetes management among patients in hail city using the health belief model,” </w:t>
      </w:r>
      <w:r w:rsidRPr="00013B37">
        <w:rPr>
          <w:i/>
          <w:iCs/>
          <w:lang w:val="en-GB"/>
        </w:rPr>
        <w:t>Journal of Advanced Pharmacy Education and Research</w:t>
      </w:r>
      <w:r w:rsidRPr="00013B37">
        <w:rPr>
          <w:lang w:val="en-GB"/>
        </w:rPr>
        <w:t>, 14(4), pp. 28–33. Available at: https://doi.org/10.51847/aqavgrxpxc.</w:t>
      </w:r>
    </w:p>
    <w:p w14:paraId="30B0FE1A" w14:textId="77777777" w:rsidR="00013B37" w:rsidRPr="00013B37" w:rsidRDefault="00013B37" w:rsidP="00013B37">
      <w:pPr>
        <w:spacing w:before="240"/>
        <w:rPr>
          <w:lang w:val="en-GB"/>
        </w:rPr>
      </w:pPr>
      <w:r w:rsidRPr="00013B37">
        <w:rPr>
          <w:lang w:val="en-GB"/>
        </w:rPr>
        <w:t>Muñoz, F., Fex, M., Moritz, T., Mulder, H. and Cataldo, L.R. (2024) “Unique features of β</w:t>
      </w:r>
      <w:r w:rsidRPr="00013B37">
        <w:rPr>
          <w:rFonts w:ascii="Cambria Math" w:hAnsi="Cambria Math" w:cs="Cambria Math"/>
          <w:lang w:val="en-GB"/>
        </w:rPr>
        <w:t>‐</w:t>
      </w:r>
      <w:r w:rsidRPr="00013B37">
        <w:rPr>
          <w:lang w:val="en-GB"/>
        </w:rPr>
        <w:t xml:space="preserve">cell metabolism are lost in type 2 diabetes,” </w:t>
      </w:r>
      <w:r w:rsidRPr="00013B37">
        <w:rPr>
          <w:i/>
          <w:iCs/>
          <w:lang w:val="en-GB"/>
        </w:rPr>
        <w:t xml:space="preserve">Acta </w:t>
      </w:r>
      <w:proofErr w:type="spellStart"/>
      <w:r w:rsidRPr="00013B37">
        <w:rPr>
          <w:i/>
          <w:iCs/>
          <w:lang w:val="en-GB"/>
        </w:rPr>
        <w:t>physiologica</w:t>
      </w:r>
      <w:proofErr w:type="spellEnd"/>
      <w:r w:rsidRPr="00013B37">
        <w:rPr>
          <w:lang w:val="en-GB"/>
        </w:rPr>
        <w:t>, 14(3), pp. 100–198. Available at: https://doi.org/10.1111/apha.14148.</w:t>
      </w:r>
    </w:p>
    <w:p w14:paraId="11110A3C" w14:textId="77777777" w:rsidR="00013B37" w:rsidRPr="00013B37" w:rsidRDefault="00013B37" w:rsidP="00013B37">
      <w:pPr>
        <w:spacing w:before="240"/>
        <w:rPr>
          <w:lang w:val="en-GB"/>
        </w:rPr>
      </w:pPr>
      <w:r w:rsidRPr="00013B37">
        <w:rPr>
          <w:lang w:val="en-GB"/>
        </w:rPr>
        <w:t xml:space="preserve">NHS (2025) </w:t>
      </w:r>
      <w:r w:rsidRPr="00013B37">
        <w:rPr>
          <w:i/>
          <w:iCs/>
          <w:lang w:val="en-GB"/>
        </w:rPr>
        <w:t>Treatment for type 2 diabetes</w:t>
      </w:r>
      <w:r w:rsidRPr="00013B37">
        <w:rPr>
          <w:lang w:val="en-GB"/>
        </w:rPr>
        <w:t xml:space="preserve">, </w:t>
      </w:r>
      <w:r w:rsidRPr="00013B37">
        <w:rPr>
          <w:i/>
          <w:iCs/>
          <w:lang w:val="en-GB"/>
        </w:rPr>
        <w:t>NHS</w:t>
      </w:r>
      <w:r w:rsidRPr="00013B37">
        <w:rPr>
          <w:lang w:val="en-GB"/>
        </w:rPr>
        <w:t>. Available at: https://www.nhs.uk/conditions/type-2-diabetes/treatment/ (Accessed: October 9, 2026).</w:t>
      </w:r>
    </w:p>
    <w:p w14:paraId="55C24AA8" w14:textId="77777777" w:rsidR="00013B37" w:rsidRPr="00013B37" w:rsidRDefault="00013B37" w:rsidP="00013B37">
      <w:pPr>
        <w:spacing w:before="240"/>
        <w:rPr>
          <w:lang w:val="en-GB"/>
        </w:rPr>
      </w:pPr>
      <w:r w:rsidRPr="00013B37">
        <w:rPr>
          <w:lang w:val="en-GB"/>
        </w:rPr>
        <w:t xml:space="preserve">NICE (2022) </w:t>
      </w:r>
      <w:r w:rsidRPr="00013B37">
        <w:rPr>
          <w:i/>
          <w:iCs/>
          <w:lang w:val="en-GB"/>
        </w:rPr>
        <w:t>Type 2 diabetes in adults: Management</w:t>
      </w:r>
      <w:r w:rsidRPr="00013B37">
        <w:rPr>
          <w:lang w:val="en-GB"/>
        </w:rPr>
        <w:t xml:space="preserve">, </w:t>
      </w:r>
      <w:r w:rsidRPr="00013B37">
        <w:rPr>
          <w:i/>
          <w:iCs/>
          <w:lang w:val="en-GB"/>
        </w:rPr>
        <w:t>Nice.org.uk</w:t>
      </w:r>
      <w:r w:rsidRPr="00013B37">
        <w:rPr>
          <w:lang w:val="en-GB"/>
        </w:rPr>
        <w:t>. NICE. Available at: https://www.nice.org.uk/guidance/ng28 (Accessed: October 9, 2026).</w:t>
      </w:r>
    </w:p>
    <w:p w14:paraId="19B6E4FA" w14:textId="77777777" w:rsidR="00013B37" w:rsidRPr="00013B37" w:rsidRDefault="00013B37" w:rsidP="00013B37">
      <w:pPr>
        <w:spacing w:before="240"/>
        <w:rPr>
          <w:lang w:val="en-GB"/>
        </w:rPr>
      </w:pPr>
      <w:r w:rsidRPr="00013B37">
        <w:rPr>
          <w:lang w:val="en-GB"/>
        </w:rPr>
        <w:lastRenderedPageBreak/>
        <w:t xml:space="preserve">Ong-Artborirak, P., Seangpraw, K., Boonyathee, S., Auttama, N. and Winaiprasert, P. (2023) “Health literacy, self-efficacy, self-care </w:t>
      </w:r>
      <w:proofErr w:type="spellStart"/>
      <w:r w:rsidRPr="00013B37">
        <w:rPr>
          <w:lang w:val="en-GB"/>
        </w:rPr>
        <w:t>behaviors</w:t>
      </w:r>
      <w:proofErr w:type="spellEnd"/>
      <w:r w:rsidRPr="00013B37">
        <w:rPr>
          <w:lang w:val="en-GB"/>
        </w:rPr>
        <w:t xml:space="preserve">, and </w:t>
      </w:r>
      <w:proofErr w:type="spellStart"/>
      <w:r w:rsidRPr="00013B37">
        <w:rPr>
          <w:lang w:val="en-GB"/>
        </w:rPr>
        <w:t>glycemic</w:t>
      </w:r>
      <w:proofErr w:type="spellEnd"/>
      <w:r w:rsidRPr="00013B37">
        <w:rPr>
          <w:lang w:val="en-GB"/>
        </w:rPr>
        <w:t xml:space="preserve"> control among older adults with type 2 diabetes mellitus: A cross-sectional study in Thai communities,” </w:t>
      </w:r>
      <w:r w:rsidRPr="00013B37">
        <w:rPr>
          <w:i/>
          <w:iCs/>
          <w:lang w:val="en-GB"/>
        </w:rPr>
        <w:t>BMC Geriatrics</w:t>
      </w:r>
      <w:r w:rsidRPr="00013B37">
        <w:rPr>
          <w:lang w:val="en-GB"/>
        </w:rPr>
        <w:t>, 23(1), pp. 24–76. Available at: https://doi.org/10.1186/s12877-023-04010-0.</w:t>
      </w:r>
    </w:p>
    <w:p w14:paraId="187B0B69" w14:textId="77777777" w:rsidR="00013B37" w:rsidRPr="00013B37" w:rsidRDefault="00013B37" w:rsidP="00013B37">
      <w:pPr>
        <w:spacing w:before="240"/>
        <w:rPr>
          <w:lang w:val="en-GB"/>
        </w:rPr>
      </w:pPr>
      <w:r w:rsidRPr="00013B37">
        <w:rPr>
          <w:lang w:val="en-GB"/>
        </w:rPr>
        <w:t xml:space="preserve">Rubio-Navarro, A., Gómez-Banoy, N., Stoll, L., Dündar, F., Mawla, A.M., Ma, L., Cortada, E., Zumbo, P., Li, A., Reiterer, M., Montoya-Oviedo, N., Homan, E.A., Imai, N., Gilani, A., Liu, C., Naji, A., Yang, B., Chong, A.C.N., Cohen, D.E., Chen, S., Cao, J., Pitt, G.S., Huising, M.O., Betel, D. and Lo, J.C. (2023) “A beta cell subset with enhanced insulin secretion and glucose metabolism is reduced in type 2 diabetes,” </w:t>
      </w:r>
      <w:r w:rsidRPr="00013B37">
        <w:rPr>
          <w:i/>
          <w:iCs/>
          <w:lang w:val="en-GB"/>
        </w:rPr>
        <w:t>Nature Cell Biology</w:t>
      </w:r>
      <w:r w:rsidRPr="00013B37">
        <w:rPr>
          <w:lang w:val="en-GB"/>
        </w:rPr>
        <w:t>, 13(4), pp. 19–27. Available at: https://doi.org/10.1038/s41556-023-01103-1.</w:t>
      </w:r>
    </w:p>
    <w:p w14:paraId="437184A6" w14:textId="77777777" w:rsidR="00013B37" w:rsidRPr="00013B37" w:rsidRDefault="00013B37" w:rsidP="00013B37">
      <w:pPr>
        <w:spacing w:before="240"/>
        <w:rPr>
          <w:lang w:val="en-GB"/>
        </w:rPr>
      </w:pPr>
      <w:r w:rsidRPr="00013B37">
        <w:rPr>
          <w:lang w:val="en-GB"/>
        </w:rPr>
        <w:t xml:space="preserve">Shen, F., Guo, C., Zhang, D., Liu, Y. and Zhang, P. (2023) “Visceral adiposity index as a predictor of type 2 diabetes mellitus risk: A systematic review and dose-response meta-analysis,” </w:t>
      </w:r>
      <w:r w:rsidRPr="00013B37">
        <w:rPr>
          <w:i/>
          <w:iCs/>
          <w:lang w:val="en-GB"/>
        </w:rPr>
        <w:t>Nutrition, Metabolism and Cardiovascular Diseases</w:t>
      </w:r>
      <w:r w:rsidRPr="00013B37">
        <w:rPr>
          <w:lang w:val="en-GB"/>
        </w:rPr>
        <w:t>, 5(2). Available at: https://doi.org/10.1016/j.numecd.2023.04.009.</w:t>
      </w:r>
    </w:p>
    <w:p w14:paraId="74FAB569" w14:textId="77777777" w:rsidR="00013B37" w:rsidRPr="00013B37" w:rsidRDefault="00013B37" w:rsidP="00013B37">
      <w:pPr>
        <w:spacing w:before="240"/>
        <w:rPr>
          <w:lang w:val="en-GB"/>
        </w:rPr>
      </w:pPr>
      <w:r w:rsidRPr="00013B37">
        <w:rPr>
          <w:lang w:val="en-GB"/>
        </w:rPr>
        <w:t xml:space="preserve">Yoshida, N., Sprekeler, H. and Gutkin, B. (2025) “Linking homeostasis to reinforcement learning: Internal state control of motivated </w:t>
      </w:r>
      <w:proofErr w:type="spellStart"/>
      <w:r w:rsidRPr="00013B37">
        <w:rPr>
          <w:lang w:val="en-GB"/>
        </w:rPr>
        <w:t>behavior</w:t>
      </w:r>
      <w:proofErr w:type="spellEnd"/>
      <w:r w:rsidRPr="00013B37">
        <w:rPr>
          <w:lang w:val="en-GB"/>
        </w:rPr>
        <w:t xml:space="preserve">,” </w:t>
      </w:r>
      <w:r w:rsidRPr="00013B37">
        <w:rPr>
          <w:i/>
          <w:iCs/>
          <w:lang w:val="en-GB"/>
        </w:rPr>
        <w:t xml:space="preserve">Current Opinion in </w:t>
      </w:r>
      <w:proofErr w:type="spellStart"/>
      <w:r w:rsidRPr="00013B37">
        <w:rPr>
          <w:i/>
          <w:iCs/>
          <w:lang w:val="en-GB"/>
        </w:rPr>
        <w:t>Behavioral</w:t>
      </w:r>
      <w:proofErr w:type="spellEnd"/>
      <w:r w:rsidRPr="00013B37">
        <w:rPr>
          <w:i/>
          <w:iCs/>
          <w:lang w:val="en-GB"/>
        </w:rPr>
        <w:t xml:space="preserve"> Sciences</w:t>
      </w:r>
      <w:r w:rsidRPr="00013B37">
        <w:rPr>
          <w:lang w:val="en-GB"/>
        </w:rPr>
        <w:t>, 66(3), pp. 101–611. Available at: https://doi.org/10.1016/j.cobeha.2025.101611.</w:t>
      </w:r>
    </w:p>
    <w:p w14:paraId="50B9506C" w14:textId="77777777" w:rsidR="00A34B8E" w:rsidRPr="00775A0C" w:rsidRDefault="00A34B8E">
      <w:pPr>
        <w:rPr>
          <w:lang w:val="en-GB"/>
        </w:rPr>
      </w:pPr>
    </w:p>
    <w:sectPr w:rsidR="00A34B8E" w:rsidRPr="00775A0C" w:rsidSect="00ED4D75">
      <w:footerReference w:type="default" r:id="rId9"/>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52F93B" w14:textId="77777777" w:rsidR="00D766EC" w:rsidRDefault="00D766EC" w:rsidP="00F86FD1">
      <w:pPr>
        <w:spacing w:line="240" w:lineRule="auto"/>
      </w:pPr>
      <w:r>
        <w:separator/>
      </w:r>
    </w:p>
  </w:endnote>
  <w:endnote w:type="continuationSeparator" w:id="0">
    <w:p w14:paraId="1E2A0FDC" w14:textId="77777777" w:rsidR="00D766EC" w:rsidRDefault="00D766EC" w:rsidP="00F86FD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1" w:fontKey="{83A93CA9-82B8-4EC4-ACB9-0F2CBF80A519}"/>
  </w:font>
  <w:font w:name="Calibri">
    <w:panose1 w:val="020F0502020204030204"/>
    <w:charset w:val="00"/>
    <w:family w:val="swiss"/>
    <w:pitch w:val="variable"/>
    <w:sig w:usb0="E4002EFF" w:usb1="C200247B" w:usb2="00000009" w:usb3="00000000" w:csb0="000001FF" w:csb1="00000000"/>
    <w:embedRegular r:id="rId2" w:fontKey="{2688DE25-F9D5-4A61-ACDD-C65504F230CF}"/>
  </w:font>
  <w:font w:name="Aptos">
    <w:charset w:val="00"/>
    <w:family w:val="swiss"/>
    <w:pitch w:val="variable"/>
    <w:sig w:usb0="20000287" w:usb1="00000003" w:usb2="00000000" w:usb3="00000000" w:csb0="0000019F" w:csb1="00000000"/>
    <w:embedBold r:id="rId3" w:fontKey="{E3BB2DDC-3E59-490A-B252-E53B246619D6}"/>
  </w:font>
  <w:font w:name="Cambria Math">
    <w:panose1 w:val="02040503050406030204"/>
    <w:charset w:val="00"/>
    <w:family w:val="roman"/>
    <w:pitch w:val="variable"/>
    <w:sig w:usb0="E00006FF" w:usb1="420024FF" w:usb2="02000000" w:usb3="00000000" w:csb0="0000019F" w:csb1="00000000"/>
    <w:embedRegular r:id="rId4" w:fontKey="{76C43422-8812-49CB-998F-8A06418EB7DA}"/>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6171514"/>
      <w:docPartObj>
        <w:docPartGallery w:val="Page Numbers (Bottom of Page)"/>
        <w:docPartUnique/>
      </w:docPartObj>
    </w:sdtPr>
    <w:sdtEndPr>
      <w:rPr>
        <w:color w:val="7F7F7F" w:themeColor="background1" w:themeShade="7F"/>
        <w:spacing w:val="60"/>
      </w:rPr>
    </w:sdtEndPr>
    <w:sdtContent>
      <w:p w14:paraId="2041B449" w14:textId="2061C265" w:rsidR="00F86FD1" w:rsidRDefault="00F86FD1">
        <w:pPr>
          <w:pStyle w:val="Footer"/>
          <w:pBdr>
            <w:top w:val="single" w:sz="4" w:space="1" w:color="D9D9D9" w:themeColor="background1" w:themeShade="D9"/>
          </w:pBdr>
          <w:jc w:val="right"/>
        </w:pPr>
        <w:r w:rsidRPr="00F86FD1">
          <w:rPr>
            <w:sz w:val="20"/>
            <w:szCs w:val="20"/>
          </w:rPr>
          <w:fldChar w:fldCharType="begin"/>
        </w:r>
        <w:r w:rsidRPr="00F86FD1">
          <w:rPr>
            <w:sz w:val="20"/>
            <w:szCs w:val="20"/>
          </w:rPr>
          <w:instrText xml:space="preserve"> PAGE   \* MERGEFORMAT </w:instrText>
        </w:r>
        <w:r w:rsidRPr="00F86FD1">
          <w:rPr>
            <w:sz w:val="20"/>
            <w:szCs w:val="20"/>
          </w:rPr>
          <w:fldChar w:fldCharType="separate"/>
        </w:r>
        <w:r w:rsidRPr="00F86FD1">
          <w:rPr>
            <w:noProof/>
            <w:sz w:val="20"/>
            <w:szCs w:val="20"/>
          </w:rPr>
          <w:t>2</w:t>
        </w:r>
        <w:r w:rsidRPr="00F86FD1">
          <w:rPr>
            <w:noProof/>
            <w:sz w:val="20"/>
            <w:szCs w:val="20"/>
          </w:rPr>
          <w:fldChar w:fldCharType="end"/>
        </w:r>
        <w:r w:rsidRPr="00F86FD1">
          <w:rPr>
            <w:sz w:val="20"/>
            <w:szCs w:val="20"/>
          </w:rPr>
          <w:t xml:space="preserve"> | </w:t>
        </w:r>
        <w:r w:rsidRPr="00F86FD1">
          <w:rPr>
            <w:color w:val="7F7F7F" w:themeColor="background1" w:themeShade="7F"/>
            <w:spacing w:val="60"/>
            <w:sz w:val="20"/>
            <w:szCs w:val="20"/>
          </w:rPr>
          <w:t>Page</w:t>
        </w:r>
      </w:p>
    </w:sdtContent>
  </w:sdt>
  <w:p w14:paraId="031CAFE8" w14:textId="77777777" w:rsidR="00F86FD1" w:rsidRDefault="00F86F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5B2507" w14:textId="77777777" w:rsidR="00D766EC" w:rsidRDefault="00D766EC" w:rsidP="00F86FD1">
      <w:pPr>
        <w:spacing w:line="240" w:lineRule="auto"/>
      </w:pPr>
      <w:r>
        <w:separator/>
      </w:r>
    </w:p>
  </w:footnote>
  <w:footnote w:type="continuationSeparator" w:id="0">
    <w:p w14:paraId="5AA8B6B6" w14:textId="77777777" w:rsidR="00D766EC" w:rsidRDefault="00D766EC" w:rsidP="00F86FD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6F4015"/>
    <w:multiLevelType w:val="hybridMultilevel"/>
    <w:tmpl w:val="4344E966"/>
    <w:lvl w:ilvl="0" w:tplc="A5A6727E">
      <w:start w:val="1"/>
      <w:numFmt w:val="bullet"/>
      <w:lvlText w:val=""/>
      <w:lvlJc w:val="left"/>
      <w:pPr>
        <w:ind w:left="720" w:hanging="360"/>
      </w:pPr>
      <w:rPr>
        <w:rFonts w:ascii="Symbol" w:hAnsi="Symbol" w:hint="default"/>
      </w:rPr>
    </w:lvl>
    <w:lvl w:ilvl="1" w:tplc="DE6C966C">
      <w:start w:val="1"/>
      <w:numFmt w:val="bullet"/>
      <w:lvlText w:val="o"/>
      <w:lvlJc w:val="left"/>
      <w:pPr>
        <w:ind w:left="1440" w:hanging="360"/>
      </w:pPr>
      <w:rPr>
        <w:rFonts w:ascii="Courier New" w:hAnsi="Courier New" w:hint="default"/>
      </w:rPr>
    </w:lvl>
    <w:lvl w:ilvl="2" w:tplc="53FE8EB0">
      <w:start w:val="1"/>
      <w:numFmt w:val="bullet"/>
      <w:lvlText w:val=""/>
      <w:lvlJc w:val="left"/>
      <w:pPr>
        <w:ind w:left="2160" w:hanging="360"/>
      </w:pPr>
      <w:rPr>
        <w:rFonts w:ascii="Wingdings" w:hAnsi="Wingdings" w:hint="default"/>
      </w:rPr>
    </w:lvl>
    <w:lvl w:ilvl="3" w:tplc="666A75AC">
      <w:start w:val="1"/>
      <w:numFmt w:val="bullet"/>
      <w:lvlText w:val=""/>
      <w:lvlJc w:val="left"/>
      <w:pPr>
        <w:ind w:left="2880" w:hanging="360"/>
      </w:pPr>
      <w:rPr>
        <w:rFonts w:ascii="Symbol" w:hAnsi="Symbol" w:hint="default"/>
      </w:rPr>
    </w:lvl>
    <w:lvl w:ilvl="4" w:tplc="B3125FCC">
      <w:start w:val="1"/>
      <w:numFmt w:val="bullet"/>
      <w:lvlText w:val="o"/>
      <w:lvlJc w:val="left"/>
      <w:pPr>
        <w:ind w:left="3600" w:hanging="360"/>
      </w:pPr>
      <w:rPr>
        <w:rFonts w:ascii="Courier New" w:hAnsi="Courier New" w:hint="default"/>
      </w:rPr>
    </w:lvl>
    <w:lvl w:ilvl="5" w:tplc="A56A5BB0">
      <w:start w:val="1"/>
      <w:numFmt w:val="bullet"/>
      <w:lvlText w:val=""/>
      <w:lvlJc w:val="left"/>
      <w:pPr>
        <w:ind w:left="4320" w:hanging="360"/>
      </w:pPr>
      <w:rPr>
        <w:rFonts w:ascii="Wingdings" w:hAnsi="Wingdings" w:hint="default"/>
      </w:rPr>
    </w:lvl>
    <w:lvl w:ilvl="6" w:tplc="C59A36FE">
      <w:start w:val="1"/>
      <w:numFmt w:val="bullet"/>
      <w:lvlText w:val=""/>
      <w:lvlJc w:val="left"/>
      <w:pPr>
        <w:ind w:left="5040" w:hanging="360"/>
      </w:pPr>
      <w:rPr>
        <w:rFonts w:ascii="Symbol" w:hAnsi="Symbol" w:hint="default"/>
      </w:rPr>
    </w:lvl>
    <w:lvl w:ilvl="7" w:tplc="FEEAE57A">
      <w:start w:val="1"/>
      <w:numFmt w:val="bullet"/>
      <w:lvlText w:val="o"/>
      <w:lvlJc w:val="left"/>
      <w:pPr>
        <w:ind w:left="5760" w:hanging="360"/>
      </w:pPr>
      <w:rPr>
        <w:rFonts w:ascii="Courier New" w:hAnsi="Courier New" w:hint="default"/>
      </w:rPr>
    </w:lvl>
    <w:lvl w:ilvl="8" w:tplc="F5E8684C">
      <w:start w:val="1"/>
      <w:numFmt w:val="bullet"/>
      <w:lvlText w:val=""/>
      <w:lvlJc w:val="left"/>
      <w:pPr>
        <w:ind w:left="6480" w:hanging="360"/>
      </w:pPr>
      <w:rPr>
        <w:rFonts w:ascii="Wingdings" w:hAnsi="Wingdings" w:hint="default"/>
      </w:rPr>
    </w:lvl>
  </w:abstractNum>
  <w:abstractNum w:abstractNumId="1" w15:restartNumberingAfterBreak="0">
    <w:nsid w:val="7A6E5D60"/>
    <w:multiLevelType w:val="hybridMultilevel"/>
    <w:tmpl w:val="00000000"/>
    <w:lvl w:ilvl="0" w:tplc="47307FFE">
      <w:start w:val="1"/>
      <w:numFmt w:val="bullet"/>
      <w:lvlText w:val="●"/>
      <w:lvlJc w:val="left"/>
      <w:pPr>
        <w:ind w:left="720" w:hanging="360"/>
      </w:pPr>
      <w:rPr>
        <w:u w:val="none"/>
      </w:rPr>
    </w:lvl>
    <w:lvl w:ilvl="1" w:tplc="B750EEC0">
      <w:start w:val="1"/>
      <w:numFmt w:val="bullet"/>
      <w:lvlText w:val="○"/>
      <w:lvlJc w:val="left"/>
      <w:pPr>
        <w:ind w:left="1440" w:hanging="360"/>
      </w:pPr>
      <w:rPr>
        <w:u w:val="none"/>
      </w:rPr>
    </w:lvl>
    <w:lvl w:ilvl="2" w:tplc="F888FE82">
      <w:start w:val="1"/>
      <w:numFmt w:val="bullet"/>
      <w:lvlText w:val="■"/>
      <w:lvlJc w:val="left"/>
      <w:pPr>
        <w:ind w:left="2160" w:hanging="360"/>
      </w:pPr>
      <w:rPr>
        <w:u w:val="none"/>
      </w:rPr>
    </w:lvl>
    <w:lvl w:ilvl="3" w:tplc="59522CA8">
      <w:start w:val="1"/>
      <w:numFmt w:val="bullet"/>
      <w:lvlText w:val="●"/>
      <w:lvlJc w:val="left"/>
      <w:pPr>
        <w:ind w:left="2880" w:hanging="360"/>
      </w:pPr>
      <w:rPr>
        <w:u w:val="none"/>
      </w:rPr>
    </w:lvl>
    <w:lvl w:ilvl="4" w:tplc="AA46C93A">
      <w:start w:val="1"/>
      <w:numFmt w:val="bullet"/>
      <w:lvlText w:val="○"/>
      <w:lvlJc w:val="left"/>
      <w:pPr>
        <w:ind w:left="3600" w:hanging="360"/>
      </w:pPr>
      <w:rPr>
        <w:u w:val="none"/>
      </w:rPr>
    </w:lvl>
    <w:lvl w:ilvl="5" w:tplc="710C4BC0">
      <w:start w:val="1"/>
      <w:numFmt w:val="bullet"/>
      <w:lvlText w:val="■"/>
      <w:lvlJc w:val="left"/>
      <w:pPr>
        <w:ind w:left="4320" w:hanging="360"/>
      </w:pPr>
      <w:rPr>
        <w:u w:val="none"/>
      </w:rPr>
    </w:lvl>
    <w:lvl w:ilvl="6" w:tplc="80246B98">
      <w:start w:val="1"/>
      <w:numFmt w:val="bullet"/>
      <w:lvlText w:val="●"/>
      <w:lvlJc w:val="left"/>
      <w:pPr>
        <w:ind w:left="5040" w:hanging="360"/>
      </w:pPr>
      <w:rPr>
        <w:u w:val="none"/>
      </w:rPr>
    </w:lvl>
    <w:lvl w:ilvl="7" w:tplc="2EE67D62">
      <w:start w:val="1"/>
      <w:numFmt w:val="bullet"/>
      <w:lvlText w:val="○"/>
      <w:lvlJc w:val="left"/>
      <w:pPr>
        <w:ind w:left="5760" w:hanging="360"/>
      </w:pPr>
      <w:rPr>
        <w:u w:val="none"/>
      </w:rPr>
    </w:lvl>
    <w:lvl w:ilvl="8" w:tplc="A60C98FC">
      <w:start w:val="1"/>
      <w:numFmt w:val="bullet"/>
      <w:lvlText w:val="■"/>
      <w:lvlJc w:val="left"/>
      <w:pPr>
        <w:ind w:left="6480" w:hanging="360"/>
      </w:pPr>
      <w:rPr>
        <w:u w:val="none"/>
      </w:rPr>
    </w:lvl>
  </w:abstractNum>
  <w:num w:numId="1" w16cid:durableId="1131940259">
    <w:abstractNumId w:val="1"/>
  </w:num>
  <w:num w:numId="2" w16cid:durableId="3172687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4B8E"/>
    <w:rsid w:val="00013B37"/>
    <w:rsid w:val="0002799A"/>
    <w:rsid w:val="00034D82"/>
    <w:rsid w:val="00070096"/>
    <w:rsid w:val="000772EA"/>
    <w:rsid w:val="000A1C9F"/>
    <w:rsid w:val="00182933"/>
    <w:rsid w:val="001A122A"/>
    <w:rsid w:val="001B4029"/>
    <w:rsid w:val="001E34C0"/>
    <w:rsid w:val="002312A3"/>
    <w:rsid w:val="00231816"/>
    <w:rsid w:val="00247401"/>
    <w:rsid w:val="002A18B2"/>
    <w:rsid w:val="002D4D5D"/>
    <w:rsid w:val="00336B0F"/>
    <w:rsid w:val="003B7610"/>
    <w:rsid w:val="00410B40"/>
    <w:rsid w:val="00425DB8"/>
    <w:rsid w:val="00514CB3"/>
    <w:rsid w:val="00551823"/>
    <w:rsid w:val="00565277"/>
    <w:rsid w:val="005765F1"/>
    <w:rsid w:val="00621164"/>
    <w:rsid w:val="00650C63"/>
    <w:rsid w:val="006579FA"/>
    <w:rsid w:val="006D7807"/>
    <w:rsid w:val="00743A0E"/>
    <w:rsid w:val="00775A0C"/>
    <w:rsid w:val="007F263A"/>
    <w:rsid w:val="00856F9E"/>
    <w:rsid w:val="00872A79"/>
    <w:rsid w:val="00881AC8"/>
    <w:rsid w:val="009A660D"/>
    <w:rsid w:val="009C4936"/>
    <w:rsid w:val="00A26531"/>
    <w:rsid w:val="00A34B8E"/>
    <w:rsid w:val="00A43BAA"/>
    <w:rsid w:val="00A8196C"/>
    <w:rsid w:val="00AE5BC2"/>
    <w:rsid w:val="00BA3939"/>
    <w:rsid w:val="00C05380"/>
    <w:rsid w:val="00C251F0"/>
    <w:rsid w:val="00CE3882"/>
    <w:rsid w:val="00CE661D"/>
    <w:rsid w:val="00CF2D9C"/>
    <w:rsid w:val="00CF4589"/>
    <w:rsid w:val="00D766EC"/>
    <w:rsid w:val="00E71175"/>
    <w:rsid w:val="00E72BA2"/>
    <w:rsid w:val="00E76C1C"/>
    <w:rsid w:val="00EC16D7"/>
    <w:rsid w:val="00ED4D75"/>
    <w:rsid w:val="00F86FD1"/>
    <w:rsid w:val="00FE444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B95036"/>
  <w15:docId w15:val="{749173EB-06A0-4375-B938-B792CAAC39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qFormat/>
    <w:pPr>
      <w:keepNext/>
      <w:keepLines/>
      <w:outlineLvl w:val="0"/>
    </w:pPr>
    <w:rPr>
      <w:b/>
      <w:bCs/>
      <w:sz w:val="28"/>
      <w:szCs w:val="28"/>
    </w:rPr>
  </w:style>
  <w:style w:type="paragraph" w:styleId="Heading2">
    <w:name w:val="heading 2"/>
    <w:basedOn w:val="Normal"/>
    <w:next w:val="Normal"/>
    <w:qFormat/>
    <w:pPr>
      <w:keepNext/>
      <w:keepLines/>
      <w:outlineLvl w:val="1"/>
    </w:pPr>
    <w:rPr>
      <w:b/>
      <w:bCs/>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ListParagraph">
    <w:name w:val="List Paragraph"/>
    <w:basedOn w:val="Normal"/>
    <w:uiPriority w:val="34"/>
    <w:qFormat/>
    <w:rsid w:val="00CE661D"/>
    <w:pPr>
      <w:spacing w:after="160" w:line="279" w:lineRule="auto"/>
      <w:ind w:left="720"/>
      <w:contextualSpacing/>
      <w:jc w:val="left"/>
    </w:pPr>
    <w:rPr>
      <w:rFonts w:asciiTheme="minorHAnsi" w:eastAsiaTheme="minorEastAsia" w:hAnsiTheme="minorHAnsi" w:cstheme="minorBidi"/>
      <w:sz w:val="24"/>
      <w:szCs w:val="24"/>
      <w:lang w:val="en-GB" w:eastAsia="ja-JP"/>
    </w:rPr>
  </w:style>
  <w:style w:type="paragraph" w:styleId="TOCHeading">
    <w:name w:val="TOC Heading"/>
    <w:basedOn w:val="Heading1"/>
    <w:next w:val="Normal"/>
    <w:uiPriority w:val="39"/>
    <w:unhideWhenUsed/>
    <w:qFormat/>
    <w:rsid w:val="00425DB8"/>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425DB8"/>
    <w:pPr>
      <w:spacing w:after="100"/>
    </w:pPr>
  </w:style>
  <w:style w:type="paragraph" w:styleId="TOC2">
    <w:name w:val="toc 2"/>
    <w:basedOn w:val="Normal"/>
    <w:next w:val="Normal"/>
    <w:autoRedefine/>
    <w:uiPriority w:val="39"/>
    <w:unhideWhenUsed/>
    <w:rsid w:val="00425DB8"/>
    <w:pPr>
      <w:spacing w:after="100"/>
      <w:ind w:left="220"/>
    </w:pPr>
  </w:style>
  <w:style w:type="character" w:styleId="Hyperlink">
    <w:name w:val="Hyperlink"/>
    <w:basedOn w:val="DefaultParagraphFont"/>
    <w:uiPriority w:val="99"/>
    <w:unhideWhenUsed/>
    <w:rsid w:val="00425DB8"/>
    <w:rPr>
      <w:color w:val="0000FF" w:themeColor="hyperlink"/>
      <w:u w:val="single"/>
    </w:rPr>
  </w:style>
  <w:style w:type="paragraph" w:styleId="Header">
    <w:name w:val="header"/>
    <w:basedOn w:val="Normal"/>
    <w:link w:val="HeaderChar"/>
    <w:uiPriority w:val="99"/>
    <w:unhideWhenUsed/>
    <w:rsid w:val="00F86FD1"/>
    <w:pPr>
      <w:tabs>
        <w:tab w:val="center" w:pos="4680"/>
        <w:tab w:val="right" w:pos="9360"/>
      </w:tabs>
      <w:spacing w:line="240" w:lineRule="auto"/>
    </w:pPr>
  </w:style>
  <w:style w:type="character" w:customStyle="1" w:styleId="HeaderChar">
    <w:name w:val="Header Char"/>
    <w:basedOn w:val="DefaultParagraphFont"/>
    <w:link w:val="Header"/>
    <w:uiPriority w:val="99"/>
    <w:rsid w:val="00F86FD1"/>
  </w:style>
  <w:style w:type="paragraph" w:styleId="Footer">
    <w:name w:val="footer"/>
    <w:basedOn w:val="Normal"/>
    <w:link w:val="FooterChar"/>
    <w:uiPriority w:val="99"/>
    <w:unhideWhenUsed/>
    <w:rsid w:val="00F86FD1"/>
    <w:pPr>
      <w:tabs>
        <w:tab w:val="center" w:pos="4680"/>
        <w:tab w:val="right" w:pos="9360"/>
      </w:tabs>
      <w:spacing w:line="240" w:lineRule="auto"/>
    </w:pPr>
  </w:style>
  <w:style w:type="character" w:customStyle="1" w:styleId="FooterChar">
    <w:name w:val="Footer Char"/>
    <w:basedOn w:val="DefaultParagraphFont"/>
    <w:link w:val="Footer"/>
    <w:uiPriority w:val="99"/>
    <w:rsid w:val="00F86FD1"/>
  </w:style>
  <w:style w:type="paragraph" w:styleId="NoSpacing">
    <w:name w:val="No Spacing"/>
    <w:link w:val="NoSpacingChar"/>
    <w:uiPriority w:val="1"/>
    <w:qFormat/>
    <w:rsid w:val="00ED4D75"/>
    <w:pPr>
      <w:spacing w:line="240" w:lineRule="auto"/>
      <w:jc w:val="left"/>
    </w:pPr>
    <w:rPr>
      <w:rFonts w:asciiTheme="minorHAnsi" w:eastAsiaTheme="minorEastAsia" w:hAnsiTheme="minorHAnsi" w:cstheme="minorBidi"/>
      <w:lang w:val="en-GB" w:eastAsia="en-GB"/>
    </w:rPr>
  </w:style>
  <w:style w:type="character" w:customStyle="1" w:styleId="NoSpacingChar">
    <w:name w:val="No Spacing Char"/>
    <w:basedOn w:val="DefaultParagraphFont"/>
    <w:link w:val="NoSpacing"/>
    <w:uiPriority w:val="1"/>
    <w:rsid w:val="00ED4D75"/>
    <w:rPr>
      <w:rFonts w:asciiTheme="minorHAnsi" w:eastAsiaTheme="minorEastAsia" w:hAnsiTheme="minorHAnsi" w:cstheme="minorBidi"/>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CA8C202E-8F19-4DBC-BBEC-849AAF46FF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3135</Words>
  <Characters>17870</Characters>
  <Application>Microsoft Office Word</Application>
  <DocSecurity>0</DocSecurity>
  <Lines>148</Lines>
  <Paragraphs>41</Paragraphs>
  <ScaleCrop>false</ScaleCrop>
  <Company/>
  <LinksUpToDate>false</LinksUpToDate>
  <CharactersWithSpaces>20964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Nikita Nana Angelina Wilson</dc:creator>
  <cp:lastModifiedBy>Nikita Nana Angelina Wilson</cp:lastModifiedBy>
  <cp:revision>3</cp:revision>
  <dcterms:created xsi:type="dcterms:W3CDTF">2026-10-21T20:03:00Z</dcterms:created>
  <dcterms:modified xsi:type="dcterms:W3CDTF">2026-10-21T20:03:00Z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0f2b76d331c4e764adbdd304269bc1bb5b6b647efbe2ef214a8616136f7922b5</vt:lpwstr>
  </property>
</Properties>
</file>