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Pr>
        <w:drawing>
          <wp:inline distB="114300" distT="114300" distL="114300" distR="114300">
            <wp:extent cx="3681115" cy="1624261"/>
            <wp:effectExtent b="0" l="0" r="0" t="0"/>
            <wp:docPr id="2" name="image6.png"/>
            <a:graphic>
              <a:graphicData uri="http://schemas.openxmlformats.org/drawingml/2006/picture">
                <pic:pic>
                  <pic:nvPicPr>
                    <pic:cNvPr id="0" name="image6.png"/>
                    <pic:cNvPicPr preferRelativeResize="0"/>
                  </pic:nvPicPr>
                  <pic:blipFill>
                    <a:blip r:embed="rId6"/>
                    <a:srcRect b="0" l="0" r="0" t="0"/>
                    <a:stretch>
                      <a:fillRect/>
                    </a:stretch>
                  </pic:blipFill>
                  <pic:spPr>
                    <a:xfrm>
                      <a:off x="0" y="0"/>
                      <a:ext cx="3681115" cy="1624261"/>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240" w:lineRule="auto"/>
        <w:jc w:val="center"/>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Student Name: Ishan Dinesh Dineshbhai Rana</w:t>
      </w:r>
    </w:p>
    <w:p w:rsidR="00000000" w:rsidDel="00000000" w:rsidP="00000000" w:rsidRDefault="00000000" w:rsidRPr="00000000" w14:paraId="00000003">
      <w:pPr>
        <w:spacing w:line="240" w:lineRule="auto"/>
        <w:jc w:val="center"/>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04">
      <w:pPr>
        <w:spacing w:line="240" w:lineRule="auto"/>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b w:val="1"/>
          <w:bCs w:val="1"/>
          <w:sz w:val="28"/>
          <w:szCs w:val="28"/>
          <w:rtl w:val="0"/>
        </w:rPr>
        <w:t xml:space="preserve">Student ID: 2507137</w:t>
      </w:r>
      <w:r w:rsidDel="00000000" w:rsidR="00000000" w:rsidRPr="00000000">
        <w:rPr>
          <w:rtl w:val="0"/>
        </w:rPr>
      </w:r>
    </w:p>
    <w:p w:rsidR="00000000" w:rsidDel="00000000" w:rsidP="00000000" w:rsidRDefault="00000000" w:rsidRPr="00000000" w14:paraId="00000005">
      <w:pPr>
        <w:spacing w:line="240" w:lineRule="auto"/>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6">
      <w:pPr>
        <w:spacing w:line="240" w:lineRule="auto"/>
        <w:jc w:val="center"/>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Module Name: </w:t>
      </w:r>
      <w:r w:rsidDel="00000000" w:rsidR="00000000" w:rsidRPr="00000000">
        <w:rPr>
          <w:rFonts w:ascii="Times New Roman" w:cs="Times New Roman" w:eastAsia="Times New Roman" w:hAnsi="Times New Roman"/>
          <w:b w:val="1"/>
          <w:bCs w:val="1"/>
          <w:sz w:val="32"/>
          <w:szCs w:val="32"/>
          <w:rtl w:val="0"/>
        </w:rPr>
        <w:t xml:space="preserve">Human Capital Management</w:t>
      </w:r>
      <w:r w:rsidDel="00000000" w:rsidR="00000000" w:rsidRPr="00000000">
        <w:rPr>
          <w:rtl w:val="0"/>
        </w:rPr>
      </w:r>
    </w:p>
    <w:p w:rsidR="00000000" w:rsidDel="00000000" w:rsidP="00000000" w:rsidRDefault="00000000" w:rsidRPr="00000000" w14:paraId="00000007">
      <w:pPr>
        <w:spacing w:line="240" w:lineRule="auto"/>
        <w:jc w:val="center"/>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08">
      <w:pPr>
        <w:spacing w:line="240" w:lineRule="auto"/>
        <w:jc w:val="center"/>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Module Code: LCMB7023</w:t>
      </w:r>
    </w:p>
    <w:p w:rsidR="00000000" w:rsidDel="00000000" w:rsidP="00000000" w:rsidRDefault="00000000" w:rsidRPr="00000000" w14:paraId="00000009">
      <w:pPr>
        <w:spacing w:line="240" w:lineRule="auto"/>
        <w:jc w:val="center"/>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0A">
      <w:pPr>
        <w:spacing w:line="240" w:lineRule="auto"/>
        <w:jc w:val="center"/>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Lecturer’s Name: Gladius Kulothungan</w:t>
      </w:r>
    </w:p>
    <w:p w:rsidR="00000000" w:rsidDel="00000000" w:rsidP="00000000" w:rsidRDefault="00000000" w:rsidRPr="00000000" w14:paraId="0000000B">
      <w:pPr>
        <w:spacing w:line="240" w:lineRule="auto"/>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0C">
      <w:pPr>
        <w:spacing w:line="240" w:lineRule="auto"/>
        <w:jc w:val="center"/>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Work Count: 2450 </w:t>
      </w:r>
    </w:p>
    <w:p w:rsidR="00000000" w:rsidDel="00000000" w:rsidP="00000000" w:rsidRDefault="00000000" w:rsidRPr="00000000" w14:paraId="0000000D">
      <w:pPr>
        <w:spacing w:line="240" w:lineRule="auto"/>
        <w:jc w:val="center"/>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0E">
      <w:pPr>
        <w:spacing w:line="240" w:lineRule="auto"/>
        <w:jc w:val="center"/>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Term 1</w:t>
      </w:r>
    </w:p>
    <w:p w:rsidR="00000000" w:rsidDel="00000000" w:rsidP="00000000" w:rsidRDefault="00000000" w:rsidRPr="00000000" w14:paraId="0000000F">
      <w:pPr>
        <w:spacing w:line="360" w:lineRule="auto"/>
        <w:jc w:val="center"/>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10">
      <w:pPr>
        <w:spacing w:line="360" w:lineRule="auto"/>
        <w:jc w:val="center"/>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Title: "Rebuilding Innovation, Engagement, and Performance: An Integrated Human Capital Strategy for Aether Innovations"</w:t>
      </w:r>
    </w:p>
    <w:p w:rsidR="00000000" w:rsidDel="00000000" w:rsidP="00000000" w:rsidRDefault="00000000" w:rsidRPr="00000000" w14:paraId="0000001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Times New Roman" w:cs="Times New Roman" w:eastAsia="Times New Roman" w:hAnsi="Times New Roman"/>
          <w:b w:val="1"/>
          <w:bCs w:val="1"/>
          <w:i w:val="0"/>
          <w:iCs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8"/>
          <w:szCs w:val="28"/>
          <w:u w:val="none"/>
          <w:shd w:fill="auto" w:val="clear"/>
          <w:vertAlign w:val="baseline"/>
          <w:rtl w:val="0"/>
        </w:rPr>
        <w:t xml:space="preserve">Table of Contents</w:t>
      </w:r>
    </w:p>
    <w:sdt>
      <w:sdtPr>
        <w:id w:val="-773666142"/>
        <w:docPartObj>
          <w:docPartGallery w:val="Table of Contents"/>
          <w:docPartUnique w:val="1"/>
        </w:docPartObj>
      </w:sdtPr>
      <w:sdtContent>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7a8bppagm74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Part 1: Option 1 - Re-Engineering Performance and Job Design</w:t>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wzmccn70jkt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1.1. Examination of Current Practices</w:t>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dxkdk6hp66i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1.2. Proposing Modern, Growth-Focused Performance Appraisal System</w:t>
              <w:tab/>
              <w:t xml:space="preserve">5</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1xmwmn3a6qb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1.3 Job Analysis and Job Design Proposal</w:t>
              <w:tab/>
              <w:t xml:space="preserve">7</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kdcc8iw244u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1.4 Connection to a Performance-Driven Culture</w:t>
              <w:tab/>
              <w:t xml:space="preserve">8</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fpkytcbpx29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Part 2: Write a Reflection</w:t>
              <w:tab/>
              <w:t xml:space="preserve">9</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bkow9wmnjhi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2.1. Reflective Learning Journey: Kolbs Reflective Model</w:t>
              <w:tab/>
              <w:t xml:space="preserve">9</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sacy8ib1grr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2.2. Adapting to AI in the Workforce</w:t>
              <w:tab/>
              <w:t xml:space="preserve">11</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obiybkhsswa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13</w:t>
            </w:r>
          </w:hyperlink>
          <w:r w:rsidDel="00000000" w:rsidR="00000000" w:rsidRPr="00000000">
            <w:rPr>
              <w:rtl w:val="0"/>
            </w:rPr>
          </w:r>
        </w:p>
        <w:p w:rsidR="00000000" w:rsidDel="00000000" w:rsidP="00000000" w:rsidRDefault="00000000" w:rsidRPr="00000000" w14:paraId="0000001F">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0">
      <w:pPr>
        <w:rPr>
          <w:rFonts w:ascii="Times New Roman" w:cs="Times New Roman" w:eastAsia="Times New Roman" w:hAnsi="Times New Roman"/>
          <w:b w:val="1"/>
          <w:bCs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1">
      <w:pPr>
        <w:pStyle w:val="Heading1"/>
        <w:rPr/>
      </w:pPr>
      <w:bookmarkStart w:colFirst="0" w:colLast="0" w:name="_7a8bppagm749" w:id="0"/>
      <w:bookmarkEnd w:id="0"/>
      <w:r w:rsidDel="00000000" w:rsidR="00000000" w:rsidRPr="00000000">
        <w:rPr>
          <w:rtl w:val="0"/>
        </w:rPr>
        <w:t xml:space="preserve">1. Part 1: Option 1 - Re-Engineering Performance and Job Design</w:t>
      </w:r>
    </w:p>
    <w:p w:rsidR="00000000" w:rsidDel="00000000" w:rsidP="00000000" w:rsidRDefault="00000000" w:rsidRPr="00000000" w14:paraId="00000022">
      <w:pPr>
        <w:pStyle w:val="Heading2"/>
        <w:rPr/>
      </w:pPr>
      <w:bookmarkStart w:colFirst="0" w:colLast="0" w:name="_wzmccn70jkt1" w:id="1"/>
      <w:bookmarkEnd w:id="1"/>
      <w:r w:rsidDel="00000000" w:rsidR="00000000" w:rsidRPr="00000000">
        <w:rPr>
          <w:rtl w:val="0"/>
        </w:rPr>
        <w:t xml:space="preserve">1.1. Examination of Current Practices</w:t>
      </w:r>
    </w:p>
    <w:p w:rsidR="00000000" w:rsidDel="00000000" w:rsidP="00000000" w:rsidRDefault="00000000" w:rsidRPr="00000000" w14:paraId="00000023">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Performance Appraisal Systems in Technological Companies</w:t>
      </w:r>
    </w:p>
    <w:p w:rsidR="00000000" w:rsidDel="00000000" w:rsidP="00000000" w:rsidRDefault="00000000" w:rsidRPr="00000000" w14:paraId="0000002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performance appraisal systems are changing to suit the fast, innovation driven environment in the technological industry. The traditional performance reviews, which can be performed on a yearly basis, are still prevalent to be subject to numerous criticisms in terms of being too formal and not being connected with the daily operations (Rivera </w:t>
      </w:r>
      <w:r w:rsidDel="00000000" w:rsidR="00000000" w:rsidRPr="00000000">
        <w:rPr>
          <w:rFonts w:ascii="Times New Roman" w:cs="Times New Roman" w:eastAsia="Times New Roman" w:hAnsi="Times New Roman"/>
          <w:i w:val="1"/>
          <w:iCs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2021). These reviews are normally directed at personal achievements and are mainly applied in promotion and salary increases. </w:t>
      </w:r>
    </w:p>
    <w:p w:rsidR="00000000" w:rsidDel="00000000" w:rsidP="00000000" w:rsidRDefault="00000000" w:rsidRPr="00000000" w14:paraId="00000025">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Figure 1: Performance Appraisal Software Market Size 2024-2028</w:t>
      </w:r>
    </w:p>
    <w:p w:rsidR="00000000" w:rsidDel="00000000" w:rsidP="00000000" w:rsidRDefault="00000000" w:rsidRPr="00000000" w14:paraId="00000026">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175432" cy="3176588"/>
            <wp:effectExtent b="0" l="0" r="0" t="0"/>
            <wp:docPr id="1"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175432" cy="3176588"/>
                    </a:xfrm>
                    <a:prstGeom prst="rect"/>
                    <a:ln/>
                  </pic:spPr>
                </pic:pic>
              </a:graphicData>
            </a:graphic>
          </wp:inline>
        </w:drawing>
      </w:r>
      <w:r w:rsidDel="00000000" w:rsidR="00000000" w:rsidRPr="00000000">
        <w:rPr>
          <w:rtl w:val="0"/>
        </w:rPr>
      </w:r>
    </w:p>
    <w:p w:rsidR="00000000" w:rsidDel="00000000" w:rsidP="00000000" w:rsidRDefault="00000000" w:rsidRPr="00000000" w14:paraId="00000027">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Technavio, 2024)</w:t>
      </w:r>
    </w:p>
    <w:p w:rsidR="00000000" w:rsidDel="00000000" w:rsidP="00000000" w:rsidRDefault="00000000" w:rsidRPr="00000000" w14:paraId="0000002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Within the dynamic technology landscape, this method would not usually facilitate continuous enhancement and would be unable to provide real time feedback about employee improvement. Figure 1 shows the CAGR of performance appraisal software between 2023 and 2028 is reaching 8.12% (Technavio, 2024). This trend indicates the rise of using sophisticated systems. Systems such as the 360-degree feedback and a OKRs (Objectives and Key Results) have become widespread in tech organisations. </w:t>
      </w:r>
    </w:p>
    <w:p w:rsidR="00000000" w:rsidDel="00000000" w:rsidP="00000000" w:rsidRDefault="00000000" w:rsidRPr="00000000" w14:paraId="0000002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B">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Job Design Practices in Tech Companies</w:t>
      </w:r>
    </w:p>
    <w:p w:rsidR="00000000" w:rsidDel="00000000" w:rsidP="00000000" w:rsidRDefault="00000000" w:rsidRPr="00000000" w14:paraId="0000002C">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Figure 2: Increase in tech jobs in the UK</w:t>
      </w:r>
    </w:p>
    <w:p w:rsidR="00000000" w:rsidDel="00000000" w:rsidP="00000000" w:rsidRDefault="00000000" w:rsidRPr="00000000" w14:paraId="0000002D">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4024313" cy="4267200"/>
            <wp:effectExtent b="0" l="0" r="0" t="0"/>
            <wp:docPr id="4" name="image5.png"/>
            <a:graphic>
              <a:graphicData uri="http://schemas.openxmlformats.org/drawingml/2006/picture">
                <pic:pic>
                  <pic:nvPicPr>
                    <pic:cNvPr id="0" name="image5.png"/>
                    <pic:cNvPicPr preferRelativeResize="0"/>
                  </pic:nvPicPr>
                  <pic:blipFill>
                    <a:blip r:embed="rId8"/>
                    <a:srcRect b="0" l="0" r="0" t="0"/>
                    <a:stretch>
                      <a:fillRect/>
                    </a:stretch>
                  </pic:blipFill>
                  <pic:spPr>
                    <a:xfrm>
                      <a:off x="0" y="0"/>
                      <a:ext cx="4024313" cy="4267200"/>
                    </a:xfrm>
                    <a:prstGeom prst="rect"/>
                    <a:ln/>
                  </pic:spPr>
                </pic:pic>
              </a:graphicData>
            </a:graphic>
          </wp:inline>
        </w:drawing>
      </w:r>
      <w:r w:rsidDel="00000000" w:rsidR="00000000" w:rsidRPr="00000000">
        <w:rPr>
          <w:rtl w:val="0"/>
        </w:rPr>
      </w:r>
    </w:p>
    <w:p w:rsidR="00000000" w:rsidDel="00000000" w:rsidP="00000000" w:rsidRDefault="00000000" w:rsidRPr="00000000" w14:paraId="0000002E">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Hall, 2023)</w:t>
      </w:r>
    </w:p>
    <w:p w:rsidR="00000000" w:rsidDel="00000000" w:rsidP="00000000" w:rsidRDefault="00000000" w:rsidRPr="00000000" w14:paraId="0000002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Following the pandemic, the number of tech jobs has increased rapidly. Hall (2023) showed that the technological roles can reach 200 million in 2025. Consequently, there is an urgent need for developing proper job design in technological companies. The technological business frequently takes a job design direction of higher autonomy, higher innovation, and skill development. The focus on the wide nature of roles that are flexible to keep up with the dynamism of technology is shared among diverse firms (Parker and Grote, 2022). The introduction of cross-functional teams and flat hierarchies are usual, which permits co-ordination and silo-busting.</w:t>
      </w:r>
    </w:p>
    <w:p w:rsidR="00000000" w:rsidDel="00000000" w:rsidP="00000000" w:rsidRDefault="00000000" w:rsidRPr="00000000" w14:paraId="00000030">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Critical Evaluation</w:t>
      </w:r>
    </w:p>
    <w:p w:rsidR="00000000" w:rsidDel="00000000" w:rsidP="00000000" w:rsidRDefault="00000000" w:rsidRPr="00000000" w14:paraId="0000003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Though 360-degree feedback is performance appraisal systems that can spur innovation and performance, it can be restricted when done improperly. For example, 360-degree feedback creates conflicts when feedback is not constructive (Souki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2025). On the other hand, job design fosters innovation and autonomy but shall collaborate against one in cases where the roles are too ambiguous, leading to role conflict or lack of concentration on vital deliverables.</w:t>
      </w:r>
    </w:p>
    <w:p w:rsidR="00000000" w:rsidDel="00000000" w:rsidP="00000000" w:rsidRDefault="00000000" w:rsidRPr="00000000" w14:paraId="00000032">
      <w:pPr>
        <w:pStyle w:val="Heading2"/>
        <w:rPr/>
      </w:pPr>
      <w:bookmarkStart w:colFirst="0" w:colLast="0" w:name="_dxkdk6hp66it" w:id="2"/>
      <w:bookmarkEnd w:id="2"/>
      <w:r w:rsidDel="00000000" w:rsidR="00000000" w:rsidRPr="00000000">
        <w:rPr>
          <w:rtl w:val="0"/>
        </w:rPr>
        <w:t xml:space="preserve">1.2. Proposing Modern, Growth-Focused Performance Appraisal System</w:t>
      </w:r>
    </w:p>
    <w:p w:rsidR="00000000" w:rsidDel="00000000" w:rsidP="00000000" w:rsidRDefault="00000000" w:rsidRPr="00000000" w14:paraId="00000033">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Introduction to OKRs</w:t>
      </w:r>
    </w:p>
    <w:p w:rsidR="00000000" w:rsidDel="00000000" w:rsidP="00000000" w:rsidRDefault="00000000" w:rsidRPr="00000000" w14:paraId="0000003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order to optimise the performance appraisal system of Aether Innovations to meet the growth goals, I would suggest the implementation of the OKR (Objectives and Key Results) framework. OKRs are quarterly established and include specific and quantifiable targets, main results are specific and timed (Madanchi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2025). Compared to the traditional performance reviews, OKRs encourage regular check-ins and flexibility, which is best suited in dynamic technological settings. </w:t>
      </w:r>
    </w:p>
    <w:p w:rsidR="00000000" w:rsidDel="00000000" w:rsidP="00000000" w:rsidRDefault="00000000" w:rsidRPr="00000000" w14:paraId="00000035">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Benefits of OKRs for Aether Innovations</w:t>
      </w:r>
    </w:p>
    <w:p w:rsidR="00000000" w:rsidDel="00000000" w:rsidP="00000000" w:rsidRDefault="00000000" w:rsidRPr="00000000" w14:paraId="0000003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use of Objectives and Key Results (OKRs) has a number of positive effects on the performance of high-growth and innovative organisations such as Aether Innovations. The main benefits are usually divided into the so-called "F.A.C.T.S. superpowers" Focus, Alignment, Commitment, Tracking, and Stretching (Coetsee and Coetsee, 2022). The model facilitates growth by keeping the goals of focusing on tangible outcomes and this is to ensure that everyone works towards the strategic objectives of the firm. The alignment of personal interests through the use of OKRs supports teamwork and shows that everyone is striving in the direction of the same goal. The alignment is especially useful in improving performance and enhancing innovation. Employees are better informed of the effect of their work to the success of the business since it is often shared among teams. </w:t>
      </w:r>
    </w:p>
    <w:p w:rsidR="00000000" w:rsidDel="00000000" w:rsidP="00000000" w:rsidRDefault="00000000" w:rsidRPr="00000000" w14:paraId="00000037">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Incorporating 360-Degree Feedback for Continuous Development</w:t>
      </w:r>
    </w:p>
    <w:p w:rsidR="00000000" w:rsidDel="00000000" w:rsidP="00000000" w:rsidRDefault="00000000" w:rsidRPr="00000000" w14:paraId="00000038">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Figure 3: 360-Degree feedback software market trend</w:t>
      </w:r>
    </w:p>
    <w:p w:rsidR="00000000" w:rsidDel="00000000" w:rsidP="00000000" w:rsidRDefault="00000000" w:rsidRPr="00000000" w14:paraId="00000039">
      <w:pPr>
        <w:spacing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3A">
      <w:pPr>
        <w:spacing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Pr>
        <w:drawing>
          <wp:inline distB="114300" distT="114300" distL="114300" distR="114300">
            <wp:extent cx="5943600" cy="3009900"/>
            <wp:effectExtent b="0" l="0" r="0" t="0"/>
            <wp:docPr id="3"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5943600" cy="3009900"/>
                    </a:xfrm>
                    <a:prstGeom prst="rect"/>
                    <a:ln/>
                  </pic:spPr>
                </pic:pic>
              </a:graphicData>
            </a:graphic>
          </wp:inline>
        </w:drawing>
      </w:r>
      <w:r w:rsidDel="00000000" w:rsidR="00000000" w:rsidRPr="00000000">
        <w:rPr>
          <w:rtl w:val="0"/>
        </w:rPr>
      </w:r>
    </w:p>
    <w:p w:rsidR="00000000" w:rsidDel="00000000" w:rsidP="00000000" w:rsidRDefault="00000000" w:rsidRPr="00000000" w14:paraId="0000003B">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Market.us, 2024)</w:t>
      </w:r>
    </w:p>
    <w:p w:rsidR="00000000" w:rsidDel="00000000" w:rsidP="00000000" w:rsidRDefault="00000000" w:rsidRPr="00000000" w14:paraId="0000003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would suggest emphasising 360-degree feedback to the OKR system to allow constant improvement and engaging the employees in the work process. 360-degree feedback employees to obtain feedback about their performance as it is provided by their peers, subordinates, and managers (Souki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2025). In figure 3, the market growth trend of 36-degree software has shown to reach 3.5 billion USD in 2022 (Market.us, 2024). This proves its validity. In the case of Aether Innovations, the 360-degree feedback will be used to promote the culture of continual improvement. It will encourage openness in feedback mechanisms and make employees of all levels access constructive feedback which will create a communicative and collaborative work atmosphere.</w:t>
      </w:r>
    </w:p>
    <w:p w:rsidR="00000000" w:rsidDel="00000000" w:rsidP="00000000" w:rsidRDefault="00000000" w:rsidRPr="00000000" w14:paraId="0000003D">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Examples from Successful Tech Companies</w:t>
      </w:r>
    </w:p>
    <w:p w:rsidR="00000000" w:rsidDel="00000000" w:rsidP="00000000" w:rsidRDefault="00000000" w:rsidRPr="00000000" w14:paraId="0000003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Google and Spotify are some of the best examples of organisations which have successfully adopted OKRs. Google implements both company-wide and individual use of OKRs with the whole corporation moving in the direction towards shared strategic goals (Misslisch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2025). On the same note, Spotify is employing the OKRs to ensure teams have clear objectives and their employees are interested and committed to the mission of providing value to its users (Iseal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2024). Through the adoption of the OKRs and the 360-degree feedback, Aether Innovations will be able to establish an adaptable and dynamic performance management system. </w:t>
      </w:r>
    </w:p>
    <w:p w:rsidR="00000000" w:rsidDel="00000000" w:rsidP="00000000" w:rsidRDefault="00000000" w:rsidRPr="00000000" w14:paraId="0000003F">
      <w:pPr>
        <w:pStyle w:val="Heading2"/>
        <w:rPr/>
      </w:pPr>
      <w:bookmarkStart w:colFirst="0" w:colLast="0" w:name="_1xmwmn3a6qbc" w:id="3"/>
      <w:bookmarkEnd w:id="3"/>
      <w:r w:rsidDel="00000000" w:rsidR="00000000" w:rsidRPr="00000000">
        <w:rPr>
          <w:rtl w:val="0"/>
        </w:rPr>
        <w:t xml:space="preserve">1.3 Job Analysis and Job Design Proposal</w:t>
      </w:r>
    </w:p>
    <w:p w:rsidR="00000000" w:rsidDel="00000000" w:rsidP="00000000" w:rsidRDefault="00000000" w:rsidRPr="00000000" w14:paraId="00000040">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Analysis of the key positions</w:t>
      </w:r>
    </w:p>
    <w:p w:rsidR="00000000" w:rsidDel="00000000" w:rsidP="00000000" w:rsidRDefault="00000000" w:rsidRPr="00000000" w14:paraId="0000004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be successful in performance culture, it is essential that Aether Innovations should prepare job descriptions and specifications of key jobs according to the strategic objectives. </w:t>
      </w:r>
    </w:p>
    <w:p w:rsidR="00000000" w:rsidDel="00000000" w:rsidP="00000000" w:rsidRDefault="00000000" w:rsidRPr="00000000" w14:paraId="0000004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CEO:</w:t>
      </w:r>
      <w:r w:rsidDel="00000000" w:rsidR="00000000" w:rsidRPr="00000000">
        <w:rPr>
          <w:rFonts w:ascii="Times New Roman" w:cs="Times New Roman" w:eastAsia="Times New Roman" w:hAnsi="Times New Roman"/>
          <w:sz w:val="24"/>
          <w:szCs w:val="24"/>
          <w:rtl w:val="0"/>
        </w:rPr>
        <w:t xml:space="preserve"> The CEO should offer visionary leadership and a culture of innovation and accountability. The position need not lack strategic mind and high emotional intelligence and team inspiration (Ebiegberi, 2022). The roles will involve establishing the firm direction, handling the main stakeholder relations, and controlling the performance indicators of every department.</w:t>
      </w:r>
    </w:p>
    <w:p w:rsidR="00000000" w:rsidDel="00000000" w:rsidP="00000000" w:rsidRDefault="00000000" w:rsidRPr="00000000" w14:paraId="0000004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CFO</w:t>
      </w:r>
      <w:r w:rsidDel="00000000" w:rsidR="00000000" w:rsidRPr="00000000">
        <w:rPr>
          <w:rFonts w:ascii="Times New Roman" w:cs="Times New Roman" w:eastAsia="Times New Roman" w:hAnsi="Times New Roman"/>
          <w:sz w:val="24"/>
          <w:szCs w:val="24"/>
          <w:rtl w:val="0"/>
        </w:rPr>
        <w:t xml:space="preserve">: The CFO will oversee the financial well-being of the business and ensure that it possesses capital to be developed. A highly financial acumen, leadership, and alignment of financial strategies with the innovation goals are required in this position.</w:t>
      </w:r>
    </w:p>
    <w:p w:rsidR="00000000" w:rsidDel="00000000" w:rsidP="00000000" w:rsidRDefault="00000000" w:rsidRPr="00000000" w14:paraId="0000004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CTO</w:t>
      </w:r>
      <w:r w:rsidDel="00000000" w:rsidR="00000000" w:rsidRPr="00000000">
        <w:rPr>
          <w:rFonts w:ascii="Times New Roman" w:cs="Times New Roman" w:eastAsia="Times New Roman" w:hAnsi="Times New Roman"/>
          <w:sz w:val="24"/>
          <w:szCs w:val="24"/>
          <w:rtl w:val="0"/>
        </w:rPr>
        <w:t xml:space="preserve">: CTO will be responsible for product development and technology infrastructure. It will require highly technical skills, strategic thinking, and management of teams of engineers and developers.</w:t>
      </w:r>
    </w:p>
    <w:p w:rsidR="00000000" w:rsidDel="00000000" w:rsidP="00000000" w:rsidRDefault="00000000" w:rsidRPr="00000000" w14:paraId="0000004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CIO:</w:t>
      </w:r>
      <w:r w:rsidDel="00000000" w:rsidR="00000000" w:rsidRPr="00000000">
        <w:rPr>
          <w:rFonts w:ascii="Times New Roman" w:cs="Times New Roman" w:eastAsia="Times New Roman" w:hAnsi="Times New Roman"/>
          <w:sz w:val="24"/>
          <w:szCs w:val="24"/>
          <w:rtl w:val="0"/>
        </w:rPr>
        <w:t xml:space="preserve"> The core role of the CIO is to deliver innovation in the company especially in the form of innovative technologies and processes. This position demands that one possesses strong leadership skills, creativity and capability to manage cross-functional teams to come up with new business solutions (Cheng and Love, 2022).</w:t>
      </w:r>
    </w:p>
    <w:p w:rsidR="00000000" w:rsidDel="00000000" w:rsidP="00000000" w:rsidRDefault="00000000" w:rsidRPr="00000000" w14:paraId="0000004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HR Directors:</w:t>
      </w:r>
      <w:r w:rsidDel="00000000" w:rsidR="00000000" w:rsidRPr="00000000">
        <w:rPr>
          <w:rFonts w:ascii="Times New Roman" w:cs="Times New Roman" w:eastAsia="Times New Roman" w:hAnsi="Times New Roman"/>
          <w:sz w:val="24"/>
          <w:szCs w:val="24"/>
          <w:rtl w:val="0"/>
        </w:rPr>
        <w:t xml:space="preserve"> HR Directors at Aether Innovations implant a culture of engagement and performance policy through designing and executing HR policies aligned to the business objectives. The position demands knowledge on employee relations, talent acquisitions, and workforce development.</w:t>
      </w:r>
    </w:p>
    <w:p w:rsidR="00000000" w:rsidDel="00000000" w:rsidP="00000000" w:rsidRDefault="00000000" w:rsidRPr="00000000" w14:paraId="0000004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Head of R&amp;D: </w:t>
      </w:r>
      <w:r w:rsidDel="00000000" w:rsidR="00000000" w:rsidRPr="00000000">
        <w:rPr>
          <w:rFonts w:ascii="Times New Roman" w:cs="Times New Roman" w:eastAsia="Times New Roman" w:hAnsi="Times New Roman"/>
          <w:sz w:val="24"/>
          <w:szCs w:val="24"/>
          <w:rtl w:val="0"/>
        </w:rPr>
        <w:t xml:space="preserve">The Head of R&amp;D is the head of a research and development team that obtains the essential part of the product offering is innovation within the company. The position will demand strong research and management experience and cross-functional work with other departments.</w:t>
      </w:r>
    </w:p>
    <w:p w:rsidR="00000000" w:rsidDel="00000000" w:rsidP="00000000" w:rsidRDefault="00000000" w:rsidRPr="00000000" w14:paraId="00000048">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Job Characteristics Model and Job Design</w:t>
      </w:r>
    </w:p>
    <w:p w:rsidR="00000000" w:rsidDel="00000000" w:rsidP="00000000" w:rsidRDefault="00000000" w:rsidRPr="00000000" w14:paraId="0000004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create such roles efficiently, I will recommend the Job Characteristics Model. The model by Hackman and Oldham focuses on enhancing autonomy, skill variety and innovation (Woods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2021). To illustrate, the role of the CEO ought to be characterised by the amount of autonomy in decision-making and strategic planning and the ability to spearhead the vision. Equally, the Directors of the HRs are to be allowed to structure employee engagement programmes and take main decisions regarding talent management policies.</w:t>
      </w:r>
    </w:p>
    <w:p w:rsidR="00000000" w:rsidDel="00000000" w:rsidP="00000000" w:rsidRDefault="00000000" w:rsidRPr="00000000" w14:paraId="0000004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Associations of these positions are directed at enhancing the scope of work by making it such that employment has a variety of tasks, which demand varied skills. For instance, CTO and CIO participate in strategic planning as well as technical development with proportional managerial and technical skills. Cross-functional teamwork can help innovation whereby positions such as the Head of R&amp;D are essential in leading teams that produce products that are innovative.</w:t>
      </w:r>
    </w:p>
    <w:p w:rsidR="00000000" w:rsidDel="00000000" w:rsidP="00000000" w:rsidRDefault="00000000" w:rsidRPr="00000000" w14:paraId="0000004B">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Job Enrichment and Skills-Based Design</w:t>
      </w:r>
    </w:p>
    <w:p w:rsidR="00000000" w:rsidDel="00000000" w:rsidP="00000000" w:rsidRDefault="00000000" w:rsidRPr="00000000" w14:paraId="0000004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Job enrichment might enhance the satisfaction of employees in terms of satisfaction by making sure the roles of the employee are rewarding and can be developed (Woods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2021). For instance, it would be beneficial to offer the CTO the chance to enhance their professional development in advanced technologies, to be highly collaborated, engaged and diversified. A skills-based design is addressed so that the employees could find their roles matching their skills and career purposes, which encourages retention and motivation in the long term.</w:t>
      </w:r>
    </w:p>
    <w:p w:rsidR="00000000" w:rsidDel="00000000" w:rsidP="00000000" w:rsidRDefault="00000000" w:rsidRPr="00000000" w14:paraId="0000004D">
      <w:pPr>
        <w:pStyle w:val="Heading2"/>
        <w:rPr/>
      </w:pPr>
      <w:bookmarkStart w:colFirst="0" w:colLast="0" w:name="_kdcc8iw244uw" w:id="4"/>
      <w:bookmarkEnd w:id="4"/>
      <w:r w:rsidDel="00000000" w:rsidR="00000000" w:rsidRPr="00000000">
        <w:rPr>
          <w:rtl w:val="0"/>
        </w:rPr>
        <w:t xml:space="preserve">1.4 Connection to a Performance-Driven Culture</w:t>
      </w:r>
    </w:p>
    <w:p w:rsidR="00000000" w:rsidDel="00000000" w:rsidP="00000000" w:rsidRDefault="00000000" w:rsidRPr="00000000" w14:paraId="0000004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linking of job design with performance appraisal systems such as 360-degree feedback and OKRs leads to a performance culture in Aether Innovations. Through designing the roles in ways that enhance autonomy, skill variety and innovation, the employees can be motivated for performance and engagement. The 360-degree feedback loop ensures a culture of responsibility and performance due to its constant feedback and the clear and measurable goals established by the OKRs (Nuraydın, 2021). This harmony leads to the success by-whole contributing to the high-performance environment.</w:t>
      </w:r>
    </w:p>
    <w:p w:rsidR="00000000" w:rsidDel="00000000" w:rsidP="00000000" w:rsidRDefault="00000000" w:rsidRPr="00000000" w14:paraId="0000004F">
      <w:pPr>
        <w:spacing w:line="360" w:lineRule="auto"/>
        <w:jc w:val="both"/>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50">
      <w:pPr>
        <w:rPr>
          <w:rFonts w:ascii="Times New Roman" w:cs="Times New Roman" w:eastAsia="Times New Roman" w:hAnsi="Times New Roman"/>
          <w:b w:val="1"/>
          <w:bCs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51">
      <w:pPr>
        <w:pStyle w:val="Heading1"/>
        <w:rPr/>
      </w:pPr>
      <w:bookmarkStart w:colFirst="0" w:colLast="0" w:name="_fpkytcbpx29w" w:id="5"/>
      <w:bookmarkEnd w:id="5"/>
      <w:r w:rsidDel="00000000" w:rsidR="00000000" w:rsidRPr="00000000">
        <w:rPr>
          <w:rtl w:val="0"/>
        </w:rPr>
        <w:t xml:space="preserve">Part 2: Write a Reflection</w:t>
      </w:r>
    </w:p>
    <w:p w:rsidR="00000000" w:rsidDel="00000000" w:rsidP="00000000" w:rsidRDefault="00000000" w:rsidRPr="00000000" w14:paraId="00000052">
      <w:pPr>
        <w:pStyle w:val="Heading2"/>
        <w:rPr/>
      </w:pPr>
      <w:bookmarkStart w:colFirst="0" w:colLast="0" w:name="_bkow9wmnjhi9" w:id="6"/>
      <w:bookmarkEnd w:id="6"/>
      <w:r w:rsidDel="00000000" w:rsidR="00000000" w:rsidRPr="00000000">
        <w:rPr>
          <w:rtl w:val="0"/>
        </w:rPr>
        <w:t xml:space="preserve">2.1. Reflective Learning Journey: Kolbs Reflective Model</w:t>
      </w:r>
    </w:p>
    <w:p w:rsidR="00000000" w:rsidDel="00000000" w:rsidP="00000000" w:rsidRDefault="00000000" w:rsidRPr="00000000" w14:paraId="00000053">
      <w:pPr>
        <w:spacing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54">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Figure 4: Kolbs Reflective Framework   </w:t>
      </w:r>
    </w:p>
    <w:p w:rsidR="00000000" w:rsidDel="00000000" w:rsidP="00000000" w:rsidRDefault="00000000" w:rsidRPr="00000000" w14:paraId="00000055">
      <w:pPr>
        <w:spacing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56">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366002" cy="3124423"/>
            <wp:effectExtent b="0" l="0" r="0" t="0"/>
            <wp:docPr id="6"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3366002" cy="3124423"/>
                    </a:xfrm>
                    <a:prstGeom prst="rect"/>
                    <a:ln/>
                  </pic:spPr>
                </pic:pic>
              </a:graphicData>
            </a:graphic>
          </wp:inline>
        </w:drawing>
      </w:r>
      <w:r w:rsidDel="00000000" w:rsidR="00000000" w:rsidRPr="00000000">
        <w:rPr>
          <w:rtl w:val="0"/>
        </w:rPr>
      </w:r>
    </w:p>
    <w:p w:rsidR="00000000" w:rsidDel="00000000" w:rsidP="00000000" w:rsidRDefault="00000000" w:rsidRPr="00000000" w14:paraId="00000057">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Mcleod, 2025)</w:t>
      </w:r>
    </w:p>
    <w:p w:rsidR="00000000" w:rsidDel="00000000" w:rsidP="00000000" w:rsidRDefault="00000000" w:rsidRPr="00000000" w14:paraId="0000005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9">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Concrete Experience:</w:t>
      </w:r>
    </w:p>
    <w:p w:rsidR="00000000" w:rsidDel="00000000" w:rsidP="00000000" w:rsidRDefault="00000000" w:rsidRPr="00000000" w14:paraId="0000005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At the beginning of the module, my knowledge regarding the compatibility of HRM strategies and organisational goals was rather restricted. One of the vital learning experiences was when I investigated the Job Characteristics Model (Hackman and Oldham). The model shows the responsible job design approaches (Woods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2021). Prior to this, the extent of autonomy, task and skill variety pertaining to employee motivation and performance had never crossed my mind. The idea that performance management systems such as OKRs could be personalised demands of the modern technological industries made me realise how performance measures are aligned to the overall organisational objectives and how they could offer transparency and accountability to all the staff. </w:t>
      </w:r>
    </w:p>
    <w:p w:rsidR="00000000" w:rsidDel="00000000" w:rsidP="00000000" w:rsidRDefault="00000000" w:rsidRPr="00000000" w14:paraId="0000005B">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Reflective Observation:</w:t>
      </w:r>
    </w:p>
    <w:p w:rsidR="00000000" w:rsidDel="00000000" w:rsidP="00000000" w:rsidRDefault="00000000" w:rsidRPr="00000000" w14:paraId="0000005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During the post-reading of the contents, theoretical knowledge acquired has enhanced my comprehension of HRM and IHRM. HR practices not only include administrative roles, but act as key success factors (Zhang and Chen, 2024). This module helped me learn this. I understood IHRM concepts when I was reading about how various international HR practices meet the local cultures and regulations as well as serve the broader objectives and interests. </w:t>
      </w:r>
    </w:p>
    <w:p w:rsidR="00000000" w:rsidDel="00000000" w:rsidP="00000000" w:rsidRDefault="00000000" w:rsidRPr="00000000" w14:paraId="0000005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had an opportunity to assess how systems such as OKRs, though excellent in performance measurements, require continuous recalibration to be relevant. The fact that 360-degree feedback has been integrated as a development strategy is close to me and I could correlate it with real-life examples of feedback culture within organisations.</w:t>
      </w:r>
    </w:p>
    <w:p w:rsidR="00000000" w:rsidDel="00000000" w:rsidP="00000000" w:rsidRDefault="00000000" w:rsidRPr="00000000" w14:paraId="0000005E">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Abstract Conceptualization:</w:t>
      </w:r>
    </w:p>
    <w:p w:rsidR="00000000" w:rsidDel="00000000" w:rsidP="00000000" w:rsidRDefault="00000000" w:rsidRPr="00000000" w14:paraId="0000005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Based on these experiences, I started visualising the way in which HRM and IHRM theories could be used to develop strategic and people-oriented approaches. I understood that the HR strategies when formulated and implemented successfully are not only reactive but also proactive and can influence business culture, enhance staff engagement and performance. The difference between successful and unsuccessful HRM is the constant practice advancement especially in performance management systems and employment designs connected with values and aspirations of the employees (Osman </w:t>
      </w:r>
      <w:r w:rsidDel="00000000" w:rsidR="00000000" w:rsidRPr="00000000">
        <w:rPr>
          <w:rFonts w:ascii="Times New Roman" w:cs="Times New Roman" w:eastAsia="Times New Roman" w:hAnsi="Times New Roman"/>
          <w:i w:val="1"/>
          <w:iCs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2024). Through this learning, I learned to value the need to develop a working culture that supports creativity, diversity, and employee development. </w:t>
      </w:r>
    </w:p>
    <w:p w:rsidR="00000000" w:rsidDel="00000000" w:rsidP="00000000" w:rsidRDefault="00000000" w:rsidRPr="00000000" w14:paraId="00000060">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Active Experimentation:</w:t>
      </w:r>
    </w:p>
    <w:p w:rsidR="00000000" w:rsidDel="00000000" w:rsidP="00000000" w:rsidRDefault="00000000" w:rsidRPr="00000000" w14:paraId="0000006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was able to use my knowledge in a real-life scenario. I was able to work on an HR plan in Aether Innovations that would use performance appraisals and job design models. In my reflection, I suggested that emulation of OKRs aligned individual and organisational goals achieved. Through the incorporation of feedback, I attempted to develop a system that would not only assess the performance, but foster the development, facilitate teamwork and motivate the sense of accountability.</w:t>
      </w:r>
    </w:p>
    <w:p w:rsidR="00000000" w:rsidDel="00000000" w:rsidP="00000000" w:rsidRDefault="00000000" w:rsidRPr="00000000" w14:paraId="0000006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job design framework in particular was adopted to redefine those roles in such a fashion that enhances employee satisfaction, reduces turnover, and develops skills. Being actively engaged in translating the HR theory into a real setting enabled me to observe practical changes of theoretical implications and transform both abstract concepts into action plans.</w:t>
      </w:r>
    </w:p>
    <w:p w:rsidR="00000000" w:rsidDel="00000000" w:rsidP="00000000" w:rsidRDefault="00000000" w:rsidRPr="00000000" w14:paraId="00000063">
      <w:pPr>
        <w:pStyle w:val="Heading2"/>
        <w:rPr/>
      </w:pPr>
      <w:bookmarkStart w:colFirst="0" w:colLast="0" w:name="_sacy8ib1grrk" w:id="7"/>
      <w:bookmarkEnd w:id="7"/>
      <w:r w:rsidDel="00000000" w:rsidR="00000000" w:rsidRPr="00000000">
        <w:rPr>
          <w:rtl w:val="0"/>
        </w:rPr>
        <w:t xml:space="preserve">2.2. Adapting to AI in the Workforce</w:t>
      </w:r>
    </w:p>
    <w:p w:rsidR="00000000" w:rsidDel="00000000" w:rsidP="00000000" w:rsidRDefault="00000000" w:rsidRPr="00000000" w14:paraId="00000064">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AI’s Impact on Traditional HR Functions</w:t>
      </w:r>
    </w:p>
    <w:p w:rsidR="00000000" w:rsidDel="00000000" w:rsidP="00000000" w:rsidRDefault="00000000" w:rsidRPr="00000000" w14:paraId="00000065">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Figure 5: Use of ATS software </w:t>
      </w:r>
    </w:p>
    <w:p w:rsidR="00000000" w:rsidDel="00000000" w:rsidP="00000000" w:rsidRDefault="00000000" w:rsidRPr="00000000" w14:paraId="00000066">
      <w:pPr>
        <w:spacing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Pr>
        <w:drawing>
          <wp:inline distB="114300" distT="114300" distL="114300" distR="114300">
            <wp:extent cx="5943600" cy="4127500"/>
            <wp:effectExtent b="0" l="0" r="0" t="0"/>
            <wp:docPr id="5" name="image2.png"/>
            <a:graphic>
              <a:graphicData uri="http://schemas.openxmlformats.org/drawingml/2006/picture">
                <pic:pic>
                  <pic:nvPicPr>
                    <pic:cNvPr id="0" name="image2.png"/>
                    <pic:cNvPicPr preferRelativeResize="0"/>
                  </pic:nvPicPr>
                  <pic:blipFill>
                    <a:blip r:embed="rId11"/>
                    <a:srcRect b="0" l="0" r="0" t="0"/>
                    <a:stretch>
                      <a:fillRect/>
                    </a:stretch>
                  </pic:blipFill>
                  <pic:spPr>
                    <a:xfrm>
                      <a:off x="0" y="0"/>
                      <a:ext cx="5943600" cy="4127500"/>
                    </a:xfrm>
                    <a:prstGeom prst="rect"/>
                    <a:ln/>
                  </pic:spPr>
                </pic:pic>
              </a:graphicData>
            </a:graphic>
          </wp:inline>
        </w:drawing>
      </w:r>
      <w:r w:rsidDel="00000000" w:rsidR="00000000" w:rsidRPr="00000000">
        <w:rPr>
          <w:rtl w:val="0"/>
        </w:rPr>
      </w:r>
    </w:p>
    <w:p w:rsidR="00000000" w:rsidDel="00000000" w:rsidP="00000000" w:rsidRDefault="00000000" w:rsidRPr="00000000" w14:paraId="00000067">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Henderson, 2025)</w:t>
      </w:r>
    </w:p>
    <w:p w:rsidR="00000000" w:rsidDel="00000000" w:rsidP="00000000" w:rsidRDefault="00000000" w:rsidRPr="00000000" w14:paraId="0000006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emergence of AI in the workforce has already begun to transform conventional HR functions, and the trend is likely to continue picking up speed.  Applicant tracking systems (ATS) are automated systems capable of scanning resumes and shortlisting applicants that have better performance than human recruiters in terms of bias, because it is less prone to bias and the hiring process can be rapid and accurate (Dražeta, 2024). Figure 5 represented that 98.4% of the large companies listed in Fortune 500 use ATS for shortlisting (Henderson, 2025). Likewise, AI-based systems are able to track employee performance and deliver factual information on productivity, team behaviours, and opportunities.</w:t>
      </w:r>
    </w:p>
    <w:p w:rsidR="00000000" w:rsidDel="00000000" w:rsidP="00000000" w:rsidRDefault="00000000" w:rsidRPr="00000000" w14:paraId="0000006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onboarding process is being improved using AI. The learning curve can be easier and faster because machine learning algorithms can examine the behaviour of employees and recommend customised development programmes (Ramachandran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2022). Through the power of AI in performing these administrative duties, HR professionals find opportunities to explore the strategic aspect of talent management, employee engagement, and development of organisational culture.</w:t>
      </w:r>
    </w:p>
    <w:p w:rsidR="00000000" w:rsidDel="00000000" w:rsidP="00000000" w:rsidRDefault="00000000" w:rsidRPr="00000000" w14:paraId="0000006A">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Using AI to Enhance My Work</w:t>
      </w:r>
    </w:p>
    <w:p w:rsidR="00000000" w:rsidDel="00000000" w:rsidP="00000000" w:rsidRDefault="00000000" w:rsidRPr="00000000" w14:paraId="0000006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can use predictive analytics in my work. It supports forecasting employee turnover and predicting high-potential employees, and even suggests developing areas of skill development (Căvescu and Popescu, 2025). Such observations can be used to develop effective retention strategies, succession planning and employee-personalised development programmes. AI can simplify administrative processes such as performance monitoring and provide time to focus on strategic thinking and interacting with employees. With 360-degree assessments, AI-based methods analyse the feedback and determine the trends in my performance and where some changes are necessary. </w:t>
      </w:r>
    </w:p>
    <w:p w:rsidR="00000000" w:rsidDel="00000000" w:rsidP="00000000" w:rsidRDefault="00000000" w:rsidRPr="00000000" w14:paraId="0000006C">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Staying Relevant in an AI-Driven World</w:t>
      </w:r>
    </w:p>
    <w:p w:rsidR="00000000" w:rsidDel="00000000" w:rsidP="00000000" w:rsidRDefault="00000000" w:rsidRPr="00000000" w14:paraId="0000006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main problem is that AI cannot substitute the fundamental human capabilities of emotional intelligence, strategic thinking, and leadership, although it can support the work of the HR in the majority of areas (Stobierski, 2026). Since AI will be performing the same job that I am doing, my personal growth will target the following, which cannot be covered by AI. Emerging as a force in the workforce will be focused on the development of strong interpersonal communication, understanding of leadership, and the possibility to inspire and motivate groups. I would believe about the way I handle complex organisational dynamics and culture building, where human intuition and emotional intelligence play a significant role. I would like to remain in the lead by integrating AI advantages with the personal skills that enable the leadership to be effective and people-focused.</w:t>
      </w:r>
      <w:r w:rsidDel="00000000" w:rsidR="00000000" w:rsidRPr="00000000">
        <w:br w:type="page"/>
      </w:r>
      <w:r w:rsidDel="00000000" w:rsidR="00000000" w:rsidRPr="00000000">
        <w:rPr>
          <w:rtl w:val="0"/>
        </w:rPr>
      </w:r>
    </w:p>
    <w:p w:rsidR="00000000" w:rsidDel="00000000" w:rsidP="00000000" w:rsidRDefault="00000000" w:rsidRPr="00000000" w14:paraId="0000006E">
      <w:pPr>
        <w:pStyle w:val="Heading1"/>
        <w:rPr/>
      </w:pPr>
      <w:bookmarkStart w:colFirst="0" w:colLast="0" w:name="_obiybkhsswa7" w:id="8"/>
      <w:bookmarkEnd w:id="8"/>
      <w:r w:rsidDel="00000000" w:rsidR="00000000" w:rsidRPr="00000000">
        <w:rPr>
          <w:rtl w:val="0"/>
        </w:rPr>
        <w:t xml:space="preserve">References</w:t>
      </w:r>
    </w:p>
    <w:p w:rsidR="00000000" w:rsidDel="00000000" w:rsidP="00000000" w:rsidRDefault="00000000" w:rsidRPr="00000000" w14:paraId="0000006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Căvescu, A. M., and  Popescu, N. (2025). Predictive analytics in human resources management: Evaluating AIHR’s role in talent retention. </w:t>
      </w:r>
      <w:r w:rsidDel="00000000" w:rsidR="00000000" w:rsidRPr="00000000">
        <w:rPr>
          <w:rFonts w:ascii="Times New Roman" w:cs="Times New Roman" w:eastAsia="Times New Roman" w:hAnsi="Times New Roman"/>
          <w:i w:val="1"/>
          <w:iCs w:val="1"/>
          <w:color w:val="222222"/>
          <w:sz w:val="24"/>
          <w:szCs w:val="24"/>
          <w:highlight w:val="white"/>
          <w:rtl w:val="0"/>
        </w:rPr>
        <w:t xml:space="preserve">AppliedMath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5</w:t>
      </w:r>
      <w:r w:rsidDel="00000000" w:rsidR="00000000" w:rsidRPr="00000000">
        <w:rPr>
          <w:rFonts w:ascii="Times New Roman" w:cs="Times New Roman" w:eastAsia="Times New Roman" w:hAnsi="Times New Roman"/>
          <w:color w:val="222222"/>
          <w:sz w:val="24"/>
          <w:szCs w:val="24"/>
          <w:highlight w:val="white"/>
          <w:rtl w:val="0"/>
        </w:rPr>
        <w:t xml:space="preserve">(3), 99. </w:t>
      </w:r>
      <w:r w:rsidDel="00000000" w:rsidR="00000000" w:rsidRPr="00000000">
        <w:rPr>
          <w:rFonts w:ascii="Times New Roman" w:cs="Times New Roman" w:eastAsia="Times New Roman" w:hAnsi="Times New Roman"/>
          <w:sz w:val="24"/>
          <w:szCs w:val="24"/>
          <w:rtl w:val="0"/>
        </w:rPr>
        <w:t xml:space="preserve">Available at: </w:t>
      </w:r>
      <w:hyperlink r:id="rId12">
        <w:r w:rsidDel="00000000" w:rsidR="00000000" w:rsidRPr="00000000">
          <w:rPr>
            <w:rFonts w:ascii="Times New Roman" w:cs="Times New Roman" w:eastAsia="Times New Roman" w:hAnsi="Times New Roman"/>
            <w:color w:val="1155cc"/>
            <w:sz w:val="24"/>
            <w:szCs w:val="24"/>
            <w:u w:val="single"/>
            <w:rtl w:val="0"/>
          </w:rPr>
          <w:t xml:space="preserve">https://doi.org/10.3390/appliedmath5030099</w:t>
        </w:r>
      </w:hyperlink>
      <w:r w:rsidDel="00000000" w:rsidR="00000000" w:rsidRPr="00000000">
        <w:rPr>
          <w:rFonts w:ascii="Times New Roman" w:cs="Times New Roman" w:eastAsia="Times New Roman" w:hAnsi="Times New Roman"/>
          <w:sz w:val="24"/>
          <w:szCs w:val="24"/>
          <w:rtl w:val="0"/>
        </w:rPr>
        <w:t xml:space="preserve"> [Accessed 18 March 2026].</w:t>
      </w:r>
    </w:p>
    <w:p w:rsidR="00000000" w:rsidDel="00000000" w:rsidP="00000000" w:rsidRDefault="00000000" w:rsidRPr="00000000" w14:paraId="00000070">
      <w:pPr>
        <w:spacing w:line="36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Cheng, J. L., and Love, E. G. (2022). Designing chief innovation officer positions: A strategic contingency framework. </w:t>
      </w:r>
      <w:r w:rsidDel="00000000" w:rsidR="00000000" w:rsidRPr="00000000">
        <w:rPr>
          <w:rFonts w:ascii="Times New Roman" w:cs="Times New Roman" w:eastAsia="Times New Roman" w:hAnsi="Times New Roman"/>
          <w:i w:val="1"/>
          <w:iCs w:val="1"/>
          <w:color w:val="222222"/>
          <w:sz w:val="24"/>
          <w:szCs w:val="24"/>
          <w:highlight w:val="white"/>
          <w:rtl w:val="0"/>
        </w:rPr>
        <w:t xml:space="preserve">Journal of Organization Design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11</w:t>
      </w:r>
      <w:r w:rsidDel="00000000" w:rsidR="00000000" w:rsidRPr="00000000">
        <w:rPr>
          <w:rFonts w:ascii="Times New Roman" w:cs="Times New Roman" w:eastAsia="Times New Roman" w:hAnsi="Times New Roman"/>
          <w:color w:val="222222"/>
          <w:sz w:val="24"/>
          <w:szCs w:val="24"/>
          <w:highlight w:val="white"/>
          <w:rtl w:val="0"/>
        </w:rPr>
        <w:t xml:space="preserve">(4), 115-128. </w:t>
      </w:r>
      <w:r w:rsidDel="00000000" w:rsidR="00000000" w:rsidRPr="00000000">
        <w:rPr>
          <w:rFonts w:ascii="Times New Roman" w:cs="Times New Roman" w:eastAsia="Times New Roman" w:hAnsi="Times New Roman"/>
          <w:sz w:val="24"/>
          <w:szCs w:val="24"/>
          <w:rtl w:val="0"/>
        </w:rPr>
        <w:t xml:space="preserve">Available at: </w:t>
      </w:r>
      <w:hyperlink r:id="rId13">
        <w:r w:rsidDel="00000000" w:rsidR="00000000" w:rsidRPr="00000000">
          <w:rPr>
            <w:rFonts w:ascii="Times New Roman" w:cs="Times New Roman" w:eastAsia="Times New Roman" w:hAnsi="Times New Roman"/>
            <w:color w:val="1155cc"/>
            <w:sz w:val="24"/>
            <w:szCs w:val="24"/>
            <w:u w:val="single"/>
            <w:rtl w:val="0"/>
          </w:rPr>
          <w:t xml:space="preserve">https://pmc.ncbi.nlm.nih.gov/articles/PMC9483390/pdf/41469_2022_Article_126.pdf</w:t>
        </w:r>
      </w:hyperlink>
      <w:r w:rsidDel="00000000" w:rsidR="00000000" w:rsidRPr="00000000">
        <w:rPr>
          <w:rFonts w:ascii="Times New Roman" w:cs="Times New Roman" w:eastAsia="Times New Roman" w:hAnsi="Times New Roman"/>
          <w:sz w:val="24"/>
          <w:szCs w:val="24"/>
          <w:rtl w:val="0"/>
        </w:rPr>
        <w:t xml:space="preserve">  [Accessed 18 Mar. 2026].</w:t>
      </w:r>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7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Coetsee, D. and Coetsee, D. (2022). </w:t>
      </w:r>
      <w:r w:rsidDel="00000000" w:rsidR="00000000" w:rsidRPr="00000000">
        <w:rPr>
          <w:rFonts w:ascii="Times New Roman" w:cs="Times New Roman" w:eastAsia="Times New Roman" w:hAnsi="Times New Roman"/>
          <w:i w:val="1"/>
          <w:iCs w:val="1"/>
          <w:sz w:val="24"/>
          <w:szCs w:val="24"/>
          <w:rtl w:val="0"/>
        </w:rPr>
        <w:t xml:space="preserve">The Four Superpowers of OKRs – The Potent Formula to Sustainable Success</w:t>
      </w:r>
      <w:r w:rsidDel="00000000" w:rsidR="00000000" w:rsidRPr="00000000">
        <w:rPr>
          <w:rFonts w:ascii="Times New Roman" w:cs="Times New Roman" w:eastAsia="Times New Roman" w:hAnsi="Times New Roman"/>
          <w:sz w:val="24"/>
          <w:szCs w:val="24"/>
          <w:rtl w:val="0"/>
        </w:rPr>
        <w:t xml:space="preserve">. [online] OKRI - Effective OKR Certification Courses - Become a certified OKR Expert in drafting strong OKRs. Available at: </w:t>
      </w:r>
      <w:hyperlink r:id="rId14">
        <w:r w:rsidDel="00000000" w:rsidR="00000000" w:rsidRPr="00000000">
          <w:rPr>
            <w:rFonts w:ascii="Times New Roman" w:cs="Times New Roman" w:eastAsia="Times New Roman" w:hAnsi="Times New Roman"/>
            <w:color w:val="1155cc"/>
            <w:sz w:val="24"/>
            <w:szCs w:val="24"/>
            <w:u w:val="single"/>
            <w:rtl w:val="0"/>
          </w:rPr>
          <w:t xml:space="preserve">https://okrinstitute.org/the-four-superpowers-of-okrs-the-potent-formula-to-sustainable-success/</w:t>
        </w:r>
      </w:hyperlink>
      <w:r w:rsidDel="00000000" w:rsidR="00000000" w:rsidRPr="00000000">
        <w:rPr>
          <w:rFonts w:ascii="Times New Roman" w:cs="Times New Roman" w:eastAsia="Times New Roman" w:hAnsi="Times New Roman"/>
          <w:sz w:val="24"/>
          <w:szCs w:val="24"/>
          <w:rtl w:val="0"/>
        </w:rPr>
        <w:t xml:space="preserve">  [Accessed 18 March 2026].</w:t>
      </w:r>
    </w:p>
    <w:p w:rsidR="00000000" w:rsidDel="00000000" w:rsidP="00000000" w:rsidRDefault="00000000" w:rsidRPr="00000000" w14:paraId="0000007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Dražeta, L. (2024). Applicant tracking system: A powerful recruiters’ tool. In </w:t>
      </w:r>
      <w:r w:rsidDel="00000000" w:rsidR="00000000" w:rsidRPr="00000000">
        <w:rPr>
          <w:rFonts w:ascii="Times New Roman" w:cs="Times New Roman" w:eastAsia="Times New Roman" w:hAnsi="Times New Roman"/>
          <w:i w:val="1"/>
          <w:iCs w:val="1"/>
          <w:color w:val="222222"/>
          <w:sz w:val="24"/>
          <w:szCs w:val="24"/>
          <w:highlight w:val="white"/>
          <w:rtl w:val="0"/>
        </w:rPr>
        <w:t xml:space="preserve">Sinteza 2024-international scientific conference on information technology, computer science, and data science</w:t>
      </w:r>
      <w:r w:rsidDel="00000000" w:rsidR="00000000" w:rsidRPr="00000000">
        <w:rPr>
          <w:rFonts w:ascii="Times New Roman" w:cs="Times New Roman" w:eastAsia="Times New Roman" w:hAnsi="Times New Roman"/>
          <w:color w:val="222222"/>
          <w:sz w:val="24"/>
          <w:szCs w:val="24"/>
          <w:highlight w:val="white"/>
          <w:rtl w:val="0"/>
        </w:rPr>
        <w:t xml:space="preserve"> (pp. 240-245). Singidunum University.  </w:t>
      </w:r>
      <w:r w:rsidDel="00000000" w:rsidR="00000000" w:rsidRPr="00000000">
        <w:rPr>
          <w:rFonts w:ascii="Times New Roman" w:cs="Times New Roman" w:eastAsia="Times New Roman" w:hAnsi="Times New Roman"/>
          <w:sz w:val="24"/>
          <w:szCs w:val="24"/>
          <w:rtl w:val="0"/>
        </w:rPr>
        <w:t xml:space="preserve">Available at: </w:t>
      </w:r>
      <w:hyperlink r:id="rId15">
        <w:r w:rsidDel="00000000" w:rsidR="00000000" w:rsidRPr="00000000">
          <w:rPr>
            <w:rFonts w:ascii="Times New Roman" w:cs="Times New Roman" w:eastAsia="Times New Roman" w:hAnsi="Times New Roman"/>
            <w:color w:val="1155cc"/>
            <w:sz w:val="24"/>
            <w:szCs w:val="24"/>
            <w:u w:val="single"/>
            <w:rtl w:val="0"/>
          </w:rPr>
          <w:t xml:space="preserve">https://portal.sinteza.singidunum.ac.rs/Media/files/2024/240-245.pdf</w:t>
        </w:r>
      </w:hyperlink>
      <w:r w:rsidDel="00000000" w:rsidR="00000000" w:rsidRPr="00000000">
        <w:rPr>
          <w:rFonts w:ascii="Times New Roman" w:cs="Times New Roman" w:eastAsia="Times New Roman" w:hAnsi="Times New Roman"/>
          <w:sz w:val="24"/>
          <w:szCs w:val="24"/>
          <w:rtl w:val="0"/>
        </w:rPr>
        <w:t xml:space="preserve"> [Accessed 18 Mar. 2026].</w:t>
      </w:r>
    </w:p>
    <w:p w:rsidR="00000000" w:rsidDel="00000000" w:rsidP="00000000" w:rsidRDefault="00000000" w:rsidRPr="00000000" w14:paraId="0000007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Ebiegberi, A. D. (2022). Emotional intelligence in business leaders: A tool for workforce motivation. </w:t>
      </w:r>
      <w:r w:rsidDel="00000000" w:rsidR="00000000" w:rsidRPr="00000000">
        <w:rPr>
          <w:rFonts w:ascii="Times New Roman" w:cs="Times New Roman" w:eastAsia="Times New Roman" w:hAnsi="Times New Roman"/>
          <w:i w:val="1"/>
          <w:iCs w:val="1"/>
          <w:color w:val="222222"/>
          <w:sz w:val="24"/>
          <w:szCs w:val="24"/>
          <w:highlight w:val="white"/>
          <w:rtl w:val="0"/>
        </w:rPr>
        <w:t xml:space="preserve">International Journal of Academic Management Science Research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6</w:t>
      </w:r>
      <w:r w:rsidDel="00000000" w:rsidR="00000000" w:rsidRPr="00000000">
        <w:rPr>
          <w:rFonts w:ascii="Times New Roman" w:cs="Times New Roman" w:eastAsia="Times New Roman" w:hAnsi="Times New Roman"/>
          <w:color w:val="222222"/>
          <w:sz w:val="24"/>
          <w:szCs w:val="24"/>
          <w:highlight w:val="white"/>
          <w:rtl w:val="0"/>
        </w:rPr>
        <w:t xml:space="preserve">(1), 24-31.  </w:t>
      </w:r>
      <w:r w:rsidDel="00000000" w:rsidR="00000000" w:rsidRPr="00000000">
        <w:rPr>
          <w:rFonts w:ascii="Times New Roman" w:cs="Times New Roman" w:eastAsia="Times New Roman" w:hAnsi="Times New Roman"/>
          <w:sz w:val="24"/>
          <w:szCs w:val="24"/>
          <w:rtl w:val="0"/>
        </w:rPr>
        <w:t xml:space="preserve">Available at: </w:t>
      </w:r>
      <w:hyperlink r:id="rId16">
        <w:r w:rsidDel="00000000" w:rsidR="00000000" w:rsidRPr="00000000">
          <w:rPr>
            <w:rFonts w:ascii="Times New Roman" w:cs="Times New Roman" w:eastAsia="Times New Roman" w:hAnsi="Times New Roman"/>
            <w:color w:val="1155cc"/>
            <w:sz w:val="24"/>
            <w:szCs w:val="24"/>
            <w:u w:val="single"/>
            <w:rtl w:val="0"/>
          </w:rPr>
          <w:t xml:space="preserve">https://www.academia.edu/download/80045944/Emotional_Intelligence_in_Business_Leaders_a_tool_for_Workforce_Motivation.pdf</w:t>
        </w:r>
      </w:hyperlink>
      <w:r w:rsidDel="00000000" w:rsidR="00000000" w:rsidRPr="00000000">
        <w:rPr>
          <w:rFonts w:ascii="Times New Roman" w:cs="Times New Roman" w:eastAsia="Times New Roman" w:hAnsi="Times New Roman"/>
          <w:sz w:val="24"/>
          <w:szCs w:val="24"/>
          <w:rtl w:val="0"/>
        </w:rPr>
        <w:t xml:space="preserve">  [Accessed 18 March 2026].</w:t>
      </w:r>
    </w:p>
    <w:p w:rsidR="00000000" w:rsidDel="00000000" w:rsidP="00000000" w:rsidRDefault="00000000" w:rsidRPr="00000000" w14:paraId="0000007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Hall, H. (2023). </w:t>
      </w:r>
      <w:r w:rsidDel="00000000" w:rsidR="00000000" w:rsidRPr="00000000">
        <w:rPr>
          <w:rFonts w:ascii="Times New Roman" w:cs="Times New Roman" w:eastAsia="Times New Roman" w:hAnsi="Times New Roman"/>
          <w:i w:val="1"/>
          <w:iCs w:val="1"/>
          <w:sz w:val="24"/>
          <w:szCs w:val="24"/>
          <w:rtl w:val="0"/>
        </w:rPr>
        <w:t xml:space="preserve">UK Tech Jobs spike since peak lockdown</w:t>
      </w:r>
      <w:r w:rsidDel="00000000" w:rsidR="00000000" w:rsidRPr="00000000">
        <w:rPr>
          <w:rFonts w:ascii="Times New Roman" w:cs="Times New Roman" w:eastAsia="Times New Roman" w:hAnsi="Times New Roman"/>
          <w:sz w:val="24"/>
          <w:szCs w:val="24"/>
          <w:rtl w:val="0"/>
        </w:rPr>
        <w:t xml:space="preserve">. Available at: </w:t>
      </w:r>
      <w:hyperlink r:id="rId17">
        <w:r w:rsidDel="00000000" w:rsidR="00000000" w:rsidRPr="00000000">
          <w:rPr>
            <w:rFonts w:ascii="Times New Roman" w:cs="Times New Roman" w:eastAsia="Times New Roman" w:hAnsi="Times New Roman"/>
            <w:color w:val="1155cc"/>
            <w:sz w:val="24"/>
            <w:szCs w:val="24"/>
            <w:u w:val="single"/>
            <w:rtl w:val="0"/>
          </w:rPr>
          <w:t xml:space="preserve">https://www.growthcapitalventures.co.uk/insights/uk-tech-jobs-spike-since-peak-lockdown</w:t>
        </w:r>
      </w:hyperlink>
      <w:r w:rsidDel="00000000" w:rsidR="00000000" w:rsidRPr="00000000">
        <w:rPr>
          <w:rFonts w:ascii="Times New Roman" w:cs="Times New Roman" w:eastAsia="Times New Roman" w:hAnsi="Times New Roman"/>
          <w:sz w:val="24"/>
          <w:szCs w:val="24"/>
          <w:rtl w:val="0"/>
        </w:rPr>
        <w:t xml:space="preserve"> [Accessed 18 March 2026].</w:t>
      </w:r>
    </w:p>
    <w:p w:rsidR="00000000" w:rsidDel="00000000" w:rsidP="00000000" w:rsidRDefault="00000000" w:rsidRPr="00000000" w14:paraId="0000007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Henderson, R. (2025). </w:t>
      </w:r>
      <w:r w:rsidDel="00000000" w:rsidR="00000000" w:rsidRPr="00000000">
        <w:rPr>
          <w:rFonts w:ascii="Times New Roman" w:cs="Times New Roman" w:eastAsia="Times New Roman" w:hAnsi="Times New Roman"/>
          <w:i w:val="1"/>
          <w:iCs w:val="1"/>
          <w:sz w:val="24"/>
          <w:szCs w:val="24"/>
          <w:rtl w:val="0"/>
        </w:rPr>
        <w:t xml:space="preserve">What Is an Applicant Tracking System (ATS)?</w:t>
      </w:r>
      <w:r w:rsidDel="00000000" w:rsidR="00000000" w:rsidRPr="00000000">
        <w:rPr>
          <w:rFonts w:ascii="Times New Roman" w:cs="Times New Roman" w:eastAsia="Times New Roman" w:hAnsi="Times New Roman"/>
          <w:sz w:val="24"/>
          <w:szCs w:val="24"/>
          <w:rtl w:val="0"/>
        </w:rPr>
        <w:t xml:space="preserve">. Available at: </w:t>
      </w:r>
      <w:hyperlink r:id="rId18">
        <w:r w:rsidDel="00000000" w:rsidR="00000000" w:rsidRPr="00000000">
          <w:rPr>
            <w:rFonts w:ascii="Times New Roman" w:cs="Times New Roman" w:eastAsia="Times New Roman" w:hAnsi="Times New Roman"/>
            <w:color w:val="1155cc"/>
            <w:sz w:val="24"/>
            <w:szCs w:val="24"/>
            <w:u w:val="single"/>
            <w:rtl w:val="0"/>
          </w:rPr>
          <w:t xml:space="preserve">https://www.jobscan.co/blog/8-things-you-need-to-know-about-applicant-tracking-systems/</w:t>
        </w:r>
      </w:hyperlink>
      <w:r w:rsidDel="00000000" w:rsidR="00000000" w:rsidRPr="00000000">
        <w:rPr>
          <w:rFonts w:ascii="Times New Roman" w:cs="Times New Roman" w:eastAsia="Times New Roman" w:hAnsi="Times New Roman"/>
          <w:sz w:val="24"/>
          <w:szCs w:val="24"/>
          <w:rtl w:val="0"/>
        </w:rPr>
        <w:t xml:space="preserve"> [Accessed 18 March 2026].</w:t>
      </w:r>
    </w:p>
    <w:p w:rsidR="00000000" w:rsidDel="00000000" w:rsidP="00000000" w:rsidRDefault="00000000" w:rsidRPr="00000000" w14:paraId="0000007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Iseal, S., Wasiu, R., Taiwo, I., and  Luz, A. (2024). OKRs as a Framework for Balancing Creativity and Accountability in Project Teams. </w:t>
      </w:r>
      <w:r w:rsidDel="00000000" w:rsidR="00000000" w:rsidRPr="00000000">
        <w:rPr>
          <w:rFonts w:ascii="Times New Roman" w:cs="Times New Roman" w:eastAsia="Times New Roman" w:hAnsi="Times New Roman"/>
          <w:sz w:val="24"/>
          <w:szCs w:val="24"/>
          <w:rtl w:val="0"/>
        </w:rPr>
        <w:t xml:space="preserve">Available at: </w:t>
      </w:r>
      <w:hyperlink r:id="rId19">
        <w:r w:rsidDel="00000000" w:rsidR="00000000" w:rsidRPr="00000000">
          <w:rPr>
            <w:rFonts w:ascii="Times New Roman" w:cs="Times New Roman" w:eastAsia="Times New Roman" w:hAnsi="Times New Roman"/>
            <w:color w:val="1155cc"/>
            <w:sz w:val="24"/>
            <w:szCs w:val="24"/>
            <w:u w:val="single"/>
            <w:rtl w:val="0"/>
          </w:rPr>
          <w:t xml:space="preserve">https://www.researchgate.net/profile/Sheed-Iseal/publication/387075467_OKRs_as_a_Framework_for_Balancing_Creativity_and_Accountability_in_Project_Teams/links/675f3e3d2547a96a923c3e64/OKRs-as-a-Framework-for-Balancing-Creativity-and-Accountability-in-Project-Teams.pdf</w:t>
        </w:r>
      </w:hyperlink>
      <w:r w:rsidDel="00000000" w:rsidR="00000000" w:rsidRPr="00000000">
        <w:rPr>
          <w:rFonts w:ascii="Times New Roman" w:cs="Times New Roman" w:eastAsia="Times New Roman" w:hAnsi="Times New Roman"/>
          <w:sz w:val="24"/>
          <w:szCs w:val="24"/>
          <w:rtl w:val="0"/>
        </w:rPr>
        <w:t xml:space="preserve"> [Accessed 18 March 2026].</w:t>
      </w:r>
    </w:p>
    <w:p w:rsidR="00000000" w:rsidDel="00000000" w:rsidP="00000000" w:rsidRDefault="00000000" w:rsidRPr="00000000" w14:paraId="0000007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Madanchi, F., Maghroor, H., and O’Neal, T. (2025). Integrating objectives and key results (OKRs) and key performance indicators (KPIs) in supply chain performance management. In </w:t>
      </w:r>
      <w:r w:rsidDel="00000000" w:rsidR="00000000" w:rsidRPr="00000000">
        <w:rPr>
          <w:rFonts w:ascii="Times New Roman" w:cs="Times New Roman" w:eastAsia="Times New Roman" w:hAnsi="Times New Roman"/>
          <w:i w:val="1"/>
          <w:iCs w:val="1"/>
          <w:color w:val="222222"/>
          <w:sz w:val="24"/>
          <w:szCs w:val="24"/>
          <w:highlight w:val="white"/>
          <w:rtl w:val="0"/>
        </w:rPr>
        <w:t xml:space="preserve">Proceedings of the 10th North American Conference on Industrial Engineering and Operations Management, Orlando, FL</w:t>
      </w:r>
      <w:r w:rsidDel="00000000" w:rsidR="00000000" w:rsidRPr="00000000">
        <w:rPr>
          <w:rFonts w:ascii="Times New Roman" w:cs="Times New Roman" w:eastAsia="Times New Roman" w:hAnsi="Times New Roman"/>
          <w:color w:val="222222"/>
          <w:sz w:val="24"/>
          <w:szCs w:val="24"/>
          <w:highlight w:val="white"/>
          <w:rtl w:val="0"/>
        </w:rPr>
        <w:t xml:space="preserve"> (pp. 1-8). </w:t>
      </w:r>
      <w:r w:rsidDel="00000000" w:rsidR="00000000" w:rsidRPr="00000000">
        <w:rPr>
          <w:rFonts w:ascii="Times New Roman" w:cs="Times New Roman" w:eastAsia="Times New Roman" w:hAnsi="Times New Roman"/>
          <w:sz w:val="24"/>
          <w:szCs w:val="24"/>
          <w:rtl w:val="0"/>
        </w:rPr>
        <w:t xml:space="preserve">Available at: </w:t>
      </w:r>
      <w:hyperlink r:id="rId20">
        <w:r w:rsidDel="00000000" w:rsidR="00000000" w:rsidRPr="00000000">
          <w:rPr>
            <w:rFonts w:ascii="Times New Roman" w:cs="Times New Roman" w:eastAsia="Times New Roman" w:hAnsi="Times New Roman"/>
            <w:color w:val="1155cc"/>
            <w:sz w:val="24"/>
            <w:szCs w:val="24"/>
            <w:u w:val="single"/>
            <w:rtl w:val="0"/>
          </w:rPr>
          <w:t xml:space="preserve">https://www.researchgate.net/profile/Faraz-Madanchi/publication/395875357_Integrating_Objectives_and_Key_Results_OKRs_and_Key_Performance_Indicators_KPIs_in_Supply_Chain_Performance_Management/links/68dc49a4220a341aa150f5f6/Integrating-Objectives-and-Key-Results-OKRs-and-Key-Performance-Indicators-KPIs-in-Supply-Chain-Performance-Management.pdf</w:t>
        </w:r>
      </w:hyperlink>
      <w:r w:rsidDel="00000000" w:rsidR="00000000" w:rsidRPr="00000000">
        <w:rPr>
          <w:rFonts w:ascii="Times New Roman" w:cs="Times New Roman" w:eastAsia="Times New Roman" w:hAnsi="Times New Roman"/>
          <w:sz w:val="24"/>
          <w:szCs w:val="24"/>
          <w:rtl w:val="0"/>
        </w:rPr>
        <w:t xml:space="preserve"> [Accessed 18 March 2026].</w:t>
      </w:r>
    </w:p>
    <w:p w:rsidR="00000000" w:rsidDel="00000000" w:rsidP="00000000" w:rsidRDefault="00000000" w:rsidRPr="00000000" w14:paraId="0000007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Market.us (2024), </w:t>
      </w:r>
      <w:r w:rsidDel="00000000" w:rsidR="00000000" w:rsidRPr="00000000">
        <w:rPr>
          <w:rFonts w:ascii="Times New Roman" w:cs="Times New Roman" w:eastAsia="Times New Roman" w:hAnsi="Times New Roman"/>
          <w:i w:val="1"/>
          <w:iCs w:val="1"/>
          <w:sz w:val="24"/>
          <w:szCs w:val="24"/>
          <w:rtl w:val="0"/>
        </w:rPr>
        <w:t xml:space="preserve">Global 360 Degree Feedback Software Market Size, Share, Statistics Analysis Report By Type (Web-Based, Installed), By Application (Corporate, Travel and Hospitality, Retail, Education, Healthcare, Other Applications), Region and Companies - Industry Segment Outlook, Market Assessment, Competition Scenario, Trends and Forecast 2024-2033.</w:t>
      </w:r>
      <w:r w:rsidDel="00000000" w:rsidR="00000000" w:rsidRPr="00000000">
        <w:rPr>
          <w:rFonts w:ascii="Times New Roman" w:cs="Times New Roman" w:eastAsia="Times New Roman" w:hAnsi="Times New Roman"/>
          <w:sz w:val="24"/>
          <w:szCs w:val="24"/>
          <w:rtl w:val="0"/>
        </w:rPr>
        <w:t xml:space="preserve"> Available at: </w:t>
      </w:r>
      <w:hyperlink r:id="rId21">
        <w:r w:rsidDel="00000000" w:rsidR="00000000" w:rsidRPr="00000000">
          <w:rPr>
            <w:rFonts w:ascii="Times New Roman" w:cs="Times New Roman" w:eastAsia="Times New Roman" w:hAnsi="Times New Roman"/>
            <w:color w:val="1155cc"/>
            <w:sz w:val="24"/>
            <w:szCs w:val="24"/>
            <w:u w:val="single"/>
            <w:rtl w:val="0"/>
          </w:rPr>
          <w:t xml:space="preserve">https://market.us/report/360-degree-feedback-software-market/</w:t>
        </w:r>
      </w:hyperlink>
      <w:r w:rsidDel="00000000" w:rsidR="00000000" w:rsidRPr="00000000">
        <w:rPr>
          <w:rFonts w:ascii="Times New Roman" w:cs="Times New Roman" w:eastAsia="Times New Roman" w:hAnsi="Times New Roman"/>
          <w:sz w:val="24"/>
          <w:szCs w:val="24"/>
          <w:rtl w:val="0"/>
        </w:rPr>
        <w:t xml:space="preserve"> [Accessed 18 March 2026].</w:t>
      </w:r>
    </w:p>
    <w:p w:rsidR="00000000" w:rsidDel="00000000" w:rsidP="00000000" w:rsidRDefault="00000000" w:rsidRPr="00000000" w14:paraId="0000007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Mcleod, S. (2025). </w:t>
      </w:r>
      <w:r w:rsidDel="00000000" w:rsidR="00000000" w:rsidRPr="00000000">
        <w:rPr>
          <w:rFonts w:ascii="Times New Roman" w:cs="Times New Roman" w:eastAsia="Times New Roman" w:hAnsi="Times New Roman"/>
          <w:i w:val="1"/>
          <w:iCs w:val="1"/>
          <w:sz w:val="24"/>
          <w:szCs w:val="24"/>
          <w:rtl w:val="0"/>
        </w:rPr>
        <w:t xml:space="preserve">Kolb’s Learning Styles and Experiential Learning Cycle</w:t>
      </w:r>
      <w:r w:rsidDel="00000000" w:rsidR="00000000" w:rsidRPr="00000000">
        <w:rPr>
          <w:rFonts w:ascii="Times New Roman" w:cs="Times New Roman" w:eastAsia="Times New Roman" w:hAnsi="Times New Roman"/>
          <w:sz w:val="24"/>
          <w:szCs w:val="24"/>
          <w:rtl w:val="0"/>
        </w:rPr>
        <w:t xml:space="preserve">. Simply Psychology. Available at: </w:t>
      </w:r>
      <w:hyperlink r:id="rId22">
        <w:r w:rsidDel="00000000" w:rsidR="00000000" w:rsidRPr="00000000">
          <w:rPr>
            <w:rFonts w:ascii="Times New Roman" w:cs="Times New Roman" w:eastAsia="Times New Roman" w:hAnsi="Times New Roman"/>
            <w:color w:val="1155cc"/>
            <w:sz w:val="24"/>
            <w:szCs w:val="24"/>
            <w:u w:val="single"/>
            <w:rtl w:val="0"/>
          </w:rPr>
          <w:t xml:space="preserve">https://www.simplypsychology.org/learning-kolb.html</w:t>
        </w:r>
      </w:hyperlink>
      <w:r w:rsidDel="00000000" w:rsidR="00000000" w:rsidRPr="00000000">
        <w:rPr>
          <w:rFonts w:ascii="Times New Roman" w:cs="Times New Roman" w:eastAsia="Times New Roman" w:hAnsi="Times New Roman"/>
          <w:sz w:val="24"/>
          <w:szCs w:val="24"/>
          <w:rtl w:val="0"/>
        </w:rPr>
        <w:t xml:space="preserve"> [Accessed 18 March 2026].</w:t>
      </w:r>
    </w:p>
    <w:p w:rsidR="00000000" w:rsidDel="00000000" w:rsidP="00000000" w:rsidRDefault="00000000" w:rsidRPr="00000000" w14:paraId="0000007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Misslisch, J., Bauer, T., Eibl, F., Neumann, M., Spanke, J., Schön, E. M., and Przybyłek, A. (2025, September). Unlocking the OKR Framework: Insights into Benefits and Barriers for an Effective Implementation in Practice. In </w:t>
      </w:r>
      <w:r w:rsidDel="00000000" w:rsidR="00000000" w:rsidRPr="00000000">
        <w:rPr>
          <w:rFonts w:ascii="Times New Roman" w:cs="Times New Roman" w:eastAsia="Times New Roman" w:hAnsi="Times New Roman"/>
          <w:i w:val="1"/>
          <w:iCs w:val="1"/>
          <w:color w:val="222222"/>
          <w:sz w:val="24"/>
          <w:szCs w:val="24"/>
          <w:highlight w:val="white"/>
          <w:rtl w:val="0"/>
        </w:rPr>
        <w:t xml:space="preserve">Euromicro Conference on Software Engineering and Advanced Applications</w:t>
      </w:r>
      <w:r w:rsidDel="00000000" w:rsidR="00000000" w:rsidRPr="00000000">
        <w:rPr>
          <w:rFonts w:ascii="Times New Roman" w:cs="Times New Roman" w:eastAsia="Times New Roman" w:hAnsi="Times New Roman"/>
          <w:color w:val="222222"/>
          <w:sz w:val="24"/>
          <w:szCs w:val="24"/>
          <w:highlight w:val="white"/>
          <w:rtl w:val="0"/>
        </w:rPr>
        <w:t xml:space="preserve"> (pp. 90-107). Cham: Springer Nature Switzerland. </w:t>
      </w:r>
      <w:r w:rsidDel="00000000" w:rsidR="00000000" w:rsidRPr="00000000">
        <w:rPr>
          <w:rFonts w:ascii="Times New Roman" w:cs="Times New Roman" w:eastAsia="Times New Roman" w:hAnsi="Times New Roman"/>
          <w:sz w:val="24"/>
          <w:szCs w:val="24"/>
          <w:rtl w:val="0"/>
        </w:rPr>
        <w:t xml:space="preserve">Available at: </w:t>
      </w:r>
      <w:hyperlink r:id="rId23">
        <w:r w:rsidDel="00000000" w:rsidR="00000000" w:rsidRPr="00000000">
          <w:rPr>
            <w:rFonts w:ascii="Times New Roman" w:cs="Times New Roman" w:eastAsia="Times New Roman" w:hAnsi="Times New Roman"/>
            <w:color w:val="1155cc"/>
            <w:sz w:val="24"/>
            <w:szCs w:val="24"/>
            <w:u w:val="single"/>
            <w:rtl w:val="0"/>
          </w:rPr>
          <w:t xml:space="preserve">https://www.researchgate.net/profile/Michael-Neumann-11/publication/392963963_Unlocking_the_OKR_framework_Insights_into_Benefits_and_Barriers_for_an_Effective_Implementation_in_Practice/links/685a7dfacdf1a35eb174f139/Unlocking-the-OKR-framework-Insights-into-Benefits-and-Barriers-for-an-Effective-Implementation-in-Practice.pdf</w:t>
        </w:r>
      </w:hyperlink>
      <w:r w:rsidDel="00000000" w:rsidR="00000000" w:rsidRPr="00000000">
        <w:rPr>
          <w:rFonts w:ascii="Times New Roman" w:cs="Times New Roman" w:eastAsia="Times New Roman" w:hAnsi="Times New Roman"/>
          <w:sz w:val="24"/>
          <w:szCs w:val="24"/>
          <w:rtl w:val="0"/>
        </w:rPr>
        <w:t xml:space="preserve"> [Accessed 18 March 2026].</w:t>
      </w:r>
    </w:p>
    <w:p w:rsidR="00000000" w:rsidDel="00000000" w:rsidP="00000000" w:rsidRDefault="00000000" w:rsidRPr="00000000" w14:paraId="0000007B">
      <w:pPr>
        <w:spacing w:line="36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Nuraydın, Ö. (2021). The performance management systems’ transformation: from current to renewed approaches. </w:t>
      </w:r>
      <w:r w:rsidDel="00000000" w:rsidR="00000000" w:rsidRPr="00000000">
        <w:rPr>
          <w:rFonts w:ascii="Times New Roman" w:cs="Times New Roman" w:eastAsia="Times New Roman" w:hAnsi="Times New Roman"/>
          <w:sz w:val="24"/>
          <w:szCs w:val="24"/>
          <w:rtl w:val="0"/>
        </w:rPr>
        <w:t xml:space="preserve">Available at: </w:t>
      </w:r>
      <w:hyperlink r:id="rId24">
        <w:r w:rsidDel="00000000" w:rsidR="00000000" w:rsidRPr="00000000">
          <w:rPr>
            <w:rFonts w:ascii="Times New Roman" w:cs="Times New Roman" w:eastAsia="Times New Roman" w:hAnsi="Times New Roman"/>
            <w:color w:val="1155cc"/>
            <w:sz w:val="24"/>
            <w:szCs w:val="24"/>
            <w:u w:val="single"/>
            <w:rtl w:val="0"/>
          </w:rPr>
          <w:t xml:space="preserve">https://openaccess.bilgi.edu.tr/bitstreams/28d8976b-6463-4e39-ae37-035c8abf0fcd/downloa</w:t>
        </w:r>
      </w:hyperlink>
      <w:r w:rsidDel="00000000" w:rsidR="00000000" w:rsidRPr="00000000">
        <w:rPr>
          <w:rFonts w:ascii="Times New Roman" w:cs="Times New Roman" w:eastAsia="Times New Roman" w:hAnsi="Times New Roman"/>
          <w:sz w:val="24"/>
          <w:szCs w:val="24"/>
          <w:rtl w:val="0"/>
        </w:rPr>
        <w:t xml:space="preserve"> [Accessed 18 March 2026].</w:t>
      </w:r>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7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Osman, A., Opoku, V., &amp; Kyeraa, A. (2024). The impact of performance appraisal systems on employee motivation and organizational success: A comprehensive review of best practices and challenges. </w:t>
      </w:r>
      <w:r w:rsidDel="00000000" w:rsidR="00000000" w:rsidRPr="00000000">
        <w:rPr>
          <w:rFonts w:ascii="Times New Roman" w:cs="Times New Roman" w:eastAsia="Times New Roman" w:hAnsi="Times New Roman"/>
          <w:i w:val="1"/>
          <w:iCs w:val="1"/>
          <w:color w:val="222222"/>
          <w:sz w:val="24"/>
          <w:szCs w:val="24"/>
          <w:highlight w:val="white"/>
          <w:rtl w:val="0"/>
        </w:rPr>
        <w:t xml:space="preserve">Convergence Chronicles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5</w:t>
      </w:r>
      <w:r w:rsidDel="00000000" w:rsidR="00000000" w:rsidRPr="00000000">
        <w:rPr>
          <w:rFonts w:ascii="Times New Roman" w:cs="Times New Roman" w:eastAsia="Times New Roman" w:hAnsi="Times New Roman"/>
          <w:color w:val="222222"/>
          <w:sz w:val="24"/>
          <w:szCs w:val="24"/>
          <w:highlight w:val="white"/>
          <w:rtl w:val="0"/>
        </w:rPr>
        <w:t xml:space="preserve">(5), 83-92. </w:t>
      </w:r>
      <w:r w:rsidDel="00000000" w:rsidR="00000000" w:rsidRPr="00000000">
        <w:rPr>
          <w:rFonts w:ascii="Times New Roman" w:cs="Times New Roman" w:eastAsia="Times New Roman" w:hAnsi="Times New Roman"/>
          <w:sz w:val="24"/>
          <w:szCs w:val="24"/>
          <w:rtl w:val="0"/>
        </w:rPr>
        <w:t xml:space="preserve">Available at: </w:t>
      </w:r>
      <w:hyperlink r:id="rId25">
        <w:r w:rsidDel="00000000" w:rsidR="00000000" w:rsidRPr="00000000">
          <w:rPr>
            <w:rFonts w:ascii="Times New Roman" w:cs="Times New Roman" w:eastAsia="Times New Roman" w:hAnsi="Times New Roman"/>
            <w:color w:val="1155cc"/>
            <w:sz w:val="24"/>
            <w:szCs w:val="24"/>
            <w:u w:val="single"/>
            <w:rtl w:val="0"/>
          </w:rPr>
          <w:t xml:space="preserve">https://scholarindexing.com/uploads/files/lhn_omk86iqyv01.pdf</w:t>
        </w:r>
      </w:hyperlink>
      <w:r w:rsidDel="00000000" w:rsidR="00000000" w:rsidRPr="00000000">
        <w:rPr>
          <w:rFonts w:ascii="Times New Roman" w:cs="Times New Roman" w:eastAsia="Times New Roman" w:hAnsi="Times New Roman"/>
          <w:sz w:val="24"/>
          <w:szCs w:val="24"/>
          <w:rtl w:val="0"/>
        </w:rPr>
        <w:t xml:space="preserve"> [Accessed 18 March 2026].</w:t>
      </w:r>
    </w:p>
    <w:p w:rsidR="00000000" w:rsidDel="00000000" w:rsidP="00000000" w:rsidRDefault="00000000" w:rsidRPr="00000000" w14:paraId="0000007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Parker, S. K., and Grote, G. (2022). Automation, algorithms, and beyond: Why work design matters more than ever in a digital world. </w:t>
      </w:r>
      <w:r w:rsidDel="00000000" w:rsidR="00000000" w:rsidRPr="00000000">
        <w:rPr>
          <w:rFonts w:ascii="Times New Roman" w:cs="Times New Roman" w:eastAsia="Times New Roman" w:hAnsi="Times New Roman"/>
          <w:i w:val="1"/>
          <w:iCs w:val="1"/>
          <w:color w:val="222222"/>
          <w:sz w:val="24"/>
          <w:szCs w:val="24"/>
          <w:highlight w:val="white"/>
          <w:rtl w:val="0"/>
        </w:rPr>
        <w:t xml:space="preserve">Applied psychology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71</w:t>
      </w:r>
      <w:r w:rsidDel="00000000" w:rsidR="00000000" w:rsidRPr="00000000">
        <w:rPr>
          <w:rFonts w:ascii="Times New Roman" w:cs="Times New Roman" w:eastAsia="Times New Roman" w:hAnsi="Times New Roman"/>
          <w:color w:val="222222"/>
          <w:sz w:val="24"/>
          <w:szCs w:val="24"/>
          <w:highlight w:val="white"/>
          <w:rtl w:val="0"/>
        </w:rPr>
        <w:t xml:space="preserve">(4), 1171-1204.  </w:t>
      </w:r>
      <w:r w:rsidDel="00000000" w:rsidR="00000000" w:rsidRPr="00000000">
        <w:rPr>
          <w:rFonts w:ascii="Times New Roman" w:cs="Times New Roman" w:eastAsia="Times New Roman" w:hAnsi="Times New Roman"/>
          <w:sz w:val="24"/>
          <w:szCs w:val="24"/>
          <w:rtl w:val="0"/>
        </w:rPr>
        <w:t xml:space="preserve">Available at: </w:t>
      </w:r>
      <w:r w:rsidDel="00000000" w:rsidR="00000000" w:rsidRPr="00000000">
        <w:rPr>
          <w:rFonts w:ascii="Times New Roman" w:cs="Times New Roman" w:eastAsia="Times New Roman" w:hAnsi="Times New Roman"/>
          <w:color w:val="222222"/>
          <w:sz w:val="24"/>
          <w:szCs w:val="24"/>
          <w:highlight w:val="white"/>
          <w:rtl w:val="0"/>
        </w:rPr>
        <w:t xml:space="preserve"> </w:t>
      </w:r>
      <w:hyperlink r:id="rId26">
        <w:r w:rsidDel="00000000" w:rsidR="00000000" w:rsidRPr="00000000">
          <w:rPr>
            <w:rFonts w:ascii="Times New Roman" w:cs="Times New Roman" w:eastAsia="Times New Roman" w:hAnsi="Times New Roman"/>
            <w:color w:val="1155cc"/>
            <w:sz w:val="24"/>
            <w:szCs w:val="24"/>
            <w:highlight w:val="white"/>
            <w:u w:val="single"/>
            <w:rtl w:val="0"/>
          </w:rPr>
          <w:t xml:space="preserve">https://iaap-journals.onlinelibrary.wiley.com/doi/pdfdirect/10.1111/apps.12241</w:t>
        </w:r>
      </w:hyperlink>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sz w:val="24"/>
          <w:szCs w:val="24"/>
          <w:rtl w:val="0"/>
        </w:rPr>
        <w:t xml:space="preserve">[Accessed 18 March 2026].</w:t>
      </w:r>
    </w:p>
    <w:p w:rsidR="00000000" w:rsidDel="00000000" w:rsidP="00000000" w:rsidRDefault="00000000" w:rsidRPr="00000000" w14:paraId="0000007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Ramachandran, K. K., Mary, A. A. S., Hawladar, S., Asokk, D., Bhaskar, B., and Pitroda, J. R. (2022). Machine learning and role of artificial intelligence in optimizing work performance and employee behavior. </w:t>
      </w:r>
      <w:r w:rsidDel="00000000" w:rsidR="00000000" w:rsidRPr="00000000">
        <w:rPr>
          <w:rFonts w:ascii="Times New Roman" w:cs="Times New Roman" w:eastAsia="Times New Roman" w:hAnsi="Times New Roman"/>
          <w:i w:val="1"/>
          <w:iCs w:val="1"/>
          <w:color w:val="222222"/>
          <w:sz w:val="24"/>
          <w:szCs w:val="24"/>
          <w:highlight w:val="white"/>
          <w:rtl w:val="0"/>
        </w:rPr>
        <w:t xml:space="preserve">Materials Today: Proceedings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51</w:t>
      </w:r>
      <w:r w:rsidDel="00000000" w:rsidR="00000000" w:rsidRPr="00000000">
        <w:rPr>
          <w:rFonts w:ascii="Times New Roman" w:cs="Times New Roman" w:eastAsia="Times New Roman" w:hAnsi="Times New Roman"/>
          <w:color w:val="222222"/>
          <w:sz w:val="24"/>
          <w:szCs w:val="24"/>
          <w:highlight w:val="white"/>
          <w:rtl w:val="0"/>
        </w:rPr>
        <w:t xml:space="preserve">, 2327-2331. </w:t>
      </w:r>
      <w:r w:rsidDel="00000000" w:rsidR="00000000" w:rsidRPr="00000000">
        <w:rPr>
          <w:rFonts w:ascii="Times New Roman" w:cs="Times New Roman" w:eastAsia="Times New Roman" w:hAnsi="Times New Roman"/>
          <w:sz w:val="24"/>
          <w:szCs w:val="24"/>
          <w:rtl w:val="0"/>
        </w:rPr>
        <w:t xml:space="preserve">Available at: </w:t>
      </w:r>
      <w:hyperlink r:id="rId27">
        <w:r w:rsidDel="00000000" w:rsidR="00000000" w:rsidRPr="00000000">
          <w:rPr>
            <w:rFonts w:ascii="Times New Roman" w:cs="Times New Roman" w:eastAsia="Times New Roman" w:hAnsi="Times New Roman"/>
            <w:color w:val="1155cc"/>
            <w:sz w:val="24"/>
            <w:szCs w:val="24"/>
            <w:u w:val="single"/>
            <w:rtl w:val="0"/>
          </w:rPr>
          <w:t xml:space="preserve">https://www.academia.edu/download/122407035/1._Material_Today.pdf</w:t>
        </w:r>
      </w:hyperlink>
      <w:r w:rsidDel="00000000" w:rsidR="00000000" w:rsidRPr="00000000">
        <w:rPr>
          <w:rFonts w:ascii="Times New Roman" w:cs="Times New Roman" w:eastAsia="Times New Roman" w:hAnsi="Times New Roman"/>
          <w:sz w:val="24"/>
          <w:szCs w:val="24"/>
          <w:rtl w:val="0"/>
        </w:rPr>
        <w:t xml:space="preserve"> [Accessed 18 Mar. 2026].</w:t>
      </w:r>
    </w:p>
    <w:p w:rsidR="00000000" w:rsidDel="00000000" w:rsidP="00000000" w:rsidRDefault="00000000" w:rsidRPr="00000000" w14:paraId="0000007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Rivera, M., Qiu, L., Kumar, S., and Petrucci, T. (2021). Are traditional performance reviews outdated? An empirical analysis on continuous, real-time feedback in the workplace. </w:t>
      </w:r>
      <w:r w:rsidDel="00000000" w:rsidR="00000000" w:rsidRPr="00000000">
        <w:rPr>
          <w:rFonts w:ascii="Times New Roman" w:cs="Times New Roman" w:eastAsia="Times New Roman" w:hAnsi="Times New Roman"/>
          <w:i w:val="1"/>
          <w:iCs w:val="1"/>
          <w:color w:val="222222"/>
          <w:sz w:val="24"/>
          <w:szCs w:val="24"/>
          <w:highlight w:val="white"/>
          <w:rtl w:val="0"/>
        </w:rPr>
        <w:t xml:space="preserve">Information Systems Research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32</w:t>
      </w:r>
      <w:r w:rsidDel="00000000" w:rsidR="00000000" w:rsidRPr="00000000">
        <w:rPr>
          <w:rFonts w:ascii="Times New Roman" w:cs="Times New Roman" w:eastAsia="Times New Roman" w:hAnsi="Times New Roman"/>
          <w:color w:val="222222"/>
          <w:sz w:val="24"/>
          <w:szCs w:val="24"/>
          <w:highlight w:val="white"/>
          <w:rtl w:val="0"/>
        </w:rPr>
        <w:t xml:space="preserve">(2), 517-540. </w:t>
      </w:r>
      <w:r w:rsidDel="00000000" w:rsidR="00000000" w:rsidRPr="00000000">
        <w:rPr>
          <w:rFonts w:ascii="Times New Roman" w:cs="Times New Roman" w:eastAsia="Times New Roman" w:hAnsi="Times New Roman"/>
          <w:sz w:val="24"/>
          <w:szCs w:val="24"/>
          <w:rtl w:val="0"/>
        </w:rPr>
        <w:t xml:space="preserve">Available at: </w:t>
      </w:r>
      <w:r w:rsidDel="00000000" w:rsidR="00000000" w:rsidRPr="00000000">
        <w:rPr>
          <w:rFonts w:ascii="Times New Roman" w:cs="Times New Roman" w:eastAsia="Times New Roman" w:hAnsi="Times New Roman"/>
          <w:color w:val="222222"/>
          <w:sz w:val="24"/>
          <w:szCs w:val="24"/>
          <w:highlight w:val="white"/>
          <w:rtl w:val="0"/>
        </w:rPr>
        <w:t xml:space="preserve"> </w:t>
      </w:r>
      <w:hyperlink r:id="rId28">
        <w:r w:rsidDel="00000000" w:rsidR="00000000" w:rsidRPr="00000000">
          <w:rPr>
            <w:rFonts w:ascii="Times New Roman" w:cs="Times New Roman" w:eastAsia="Times New Roman" w:hAnsi="Times New Roman"/>
            <w:color w:val="1155cc"/>
            <w:sz w:val="24"/>
            <w:szCs w:val="24"/>
            <w:highlight w:val="white"/>
            <w:u w:val="single"/>
            <w:rtl w:val="0"/>
          </w:rPr>
          <w:t xml:space="preserve">https://papers.ssrn.com/sol3/Delivery.cfm?abstractid=3199866</w:t>
        </w:r>
      </w:hyperlink>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sz w:val="24"/>
          <w:szCs w:val="24"/>
          <w:rtl w:val="0"/>
        </w:rPr>
        <w:t xml:space="preserve">[Accessed 18 March 2026].</w:t>
      </w:r>
    </w:p>
    <w:p w:rsidR="00000000" w:rsidDel="00000000" w:rsidP="00000000" w:rsidRDefault="00000000" w:rsidRPr="00000000" w14:paraId="0000008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Souki, K., Aad, S. S., and Karkoulian, S. (2025). The impact of 360-degree feedback on innovative behavior within the organization: the mediating role of organizational justice. </w:t>
      </w:r>
      <w:r w:rsidDel="00000000" w:rsidR="00000000" w:rsidRPr="00000000">
        <w:rPr>
          <w:rFonts w:ascii="Times New Roman" w:cs="Times New Roman" w:eastAsia="Times New Roman" w:hAnsi="Times New Roman"/>
          <w:i w:val="1"/>
          <w:iCs w:val="1"/>
          <w:color w:val="222222"/>
          <w:sz w:val="24"/>
          <w:szCs w:val="24"/>
          <w:highlight w:val="white"/>
          <w:rtl w:val="0"/>
        </w:rPr>
        <w:t xml:space="preserve">International Journal of Organizational Analysis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33</w:t>
      </w:r>
      <w:r w:rsidDel="00000000" w:rsidR="00000000" w:rsidRPr="00000000">
        <w:rPr>
          <w:rFonts w:ascii="Times New Roman" w:cs="Times New Roman" w:eastAsia="Times New Roman" w:hAnsi="Times New Roman"/>
          <w:color w:val="222222"/>
          <w:sz w:val="24"/>
          <w:szCs w:val="24"/>
          <w:highlight w:val="white"/>
          <w:rtl w:val="0"/>
        </w:rPr>
        <w:t xml:space="preserve">(3), 584-602.</w:t>
      </w:r>
      <w:r w:rsidDel="00000000" w:rsidR="00000000" w:rsidRPr="00000000">
        <w:rPr>
          <w:rFonts w:ascii="Times New Roman" w:cs="Times New Roman" w:eastAsia="Times New Roman" w:hAnsi="Times New Roman"/>
          <w:sz w:val="24"/>
          <w:szCs w:val="24"/>
          <w:rtl w:val="0"/>
        </w:rPr>
        <w:t xml:space="preserve">Available at: </w:t>
      </w:r>
      <w:r w:rsidDel="00000000" w:rsidR="00000000" w:rsidRPr="00000000">
        <w:rPr>
          <w:rFonts w:ascii="Times New Roman" w:cs="Times New Roman" w:eastAsia="Times New Roman" w:hAnsi="Times New Roman"/>
          <w:color w:val="222222"/>
          <w:sz w:val="24"/>
          <w:szCs w:val="24"/>
          <w:highlight w:val="white"/>
          <w:rtl w:val="0"/>
        </w:rPr>
        <w:t xml:space="preserve"> </w:t>
      </w:r>
      <w:hyperlink r:id="rId29">
        <w:r w:rsidDel="00000000" w:rsidR="00000000" w:rsidRPr="00000000">
          <w:rPr>
            <w:rFonts w:ascii="Times New Roman" w:cs="Times New Roman" w:eastAsia="Times New Roman" w:hAnsi="Times New Roman"/>
            <w:color w:val="1155cc"/>
            <w:sz w:val="24"/>
            <w:szCs w:val="24"/>
            <w:highlight w:val="white"/>
            <w:u w:val="single"/>
            <w:rtl w:val="0"/>
          </w:rPr>
          <w:t xml:space="preserve">https://doi.org/10.1108/IJOA-12-2023-4146</w:t>
        </w:r>
      </w:hyperlink>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sz w:val="24"/>
          <w:szCs w:val="24"/>
          <w:rtl w:val="0"/>
        </w:rPr>
        <w:t xml:space="preserve">[Accessed 18 March 2026].</w:t>
      </w:r>
    </w:p>
    <w:p w:rsidR="00000000" w:rsidDel="00000000" w:rsidP="00000000" w:rsidRDefault="00000000" w:rsidRPr="00000000" w14:paraId="00000081">
      <w:pPr>
        <w:spacing w:line="36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Stobierski, T. (2026). </w:t>
      </w:r>
      <w:r w:rsidDel="00000000" w:rsidR="00000000" w:rsidRPr="00000000">
        <w:rPr>
          <w:rFonts w:ascii="Times New Roman" w:cs="Times New Roman" w:eastAsia="Times New Roman" w:hAnsi="Times New Roman"/>
          <w:i w:val="1"/>
          <w:iCs w:val="1"/>
          <w:color w:val="222222"/>
          <w:sz w:val="24"/>
          <w:szCs w:val="24"/>
          <w:highlight w:val="white"/>
          <w:rtl w:val="0"/>
        </w:rPr>
        <w:t xml:space="preserve">The Most Important Human Skills AI Can’t Replace</w:t>
      </w:r>
      <w:r w:rsidDel="00000000" w:rsidR="00000000" w:rsidRPr="00000000">
        <w:rPr>
          <w:rFonts w:ascii="Times New Roman" w:cs="Times New Roman" w:eastAsia="Times New Roman" w:hAnsi="Times New Roman"/>
          <w:color w:val="222222"/>
          <w:sz w:val="24"/>
          <w:szCs w:val="24"/>
          <w:highlight w:val="white"/>
          <w:rtl w:val="0"/>
        </w:rPr>
        <w:t xml:space="preserve">. [online] Harvard Business School. Available at: </w:t>
      </w:r>
      <w:hyperlink r:id="rId30">
        <w:r w:rsidDel="00000000" w:rsidR="00000000" w:rsidRPr="00000000">
          <w:rPr>
            <w:rFonts w:ascii="Times New Roman" w:cs="Times New Roman" w:eastAsia="Times New Roman" w:hAnsi="Times New Roman"/>
            <w:color w:val="1155cc"/>
            <w:sz w:val="24"/>
            <w:szCs w:val="24"/>
            <w:highlight w:val="white"/>
            <w:u w:val="single"/>
            <w:rtl w:val="0"/>
          </w:rPr>
          <w:t xml:space="preserve">https://online.hbs.edu/blog/post/human-skills-ai-cant-replace</w:t>
        </w:r>
      </w:hyperlink>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sz w:val="24"/>
          <w:szCs w:val="24"/>
          <w:rtl w:val="0"/>
        </w:rPr>
        <w:t xml:space="preserve">[Accessed 18 March 2026].</w:t>
      </w:r>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8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Technavio (2024). </w:t>
      </w:r>
      <w:r w:rsidDel="00000000" w:rsidR="00000000" w:rsidRPr="00000000">
        <w:rPr>
          <w:rFonts w:ascii="Times New Roman" w:cs="Times New Roman" w:eastAsia="Times New Roman" w:hAnsi="Times New Roman"/>
          <w:i w:val="1"/>
          <w:iCs w:val="1"/>
          <w:sz w:val="24"/>
          <w:szCs w:val="24"/>
          <w:rtl w:val="0"/>
        </w:rPr>
        <w:t xml:space="preserve">Performance Appraisal Software Market Size, Share, Growth, Trends, Industry Analysis Forecast 2026</w:t>
      </w:r>
      <w:r w:rsidDel="00000000" w:rsidR="00000000" w:rsidRPr="00000000">
        <w:rPr>
          <w:rFonts w:ascii="Times New Roman" w:cs="Times New Roman" w:eastAsia="Times New Roman" w:hAnsi="Times New Roman"/>
          <w:sz w:val="24"/>
          <w:szCs w:val="24"/>
          <w:rtl w:val="0"/>
        </w:rPr>
        <w:t xml:space="preserve">. Available at: </w:t>
      </w:r>
      <w:hyperlink r:id="rId31">
        <w:r w:rsidDel="00000000" w:rsidR="00000000" w:rsidRPr="00000000">
          <w:rPr>
            <w:rFonts w:ascii="Times New Roman" w:cs="Times New Roman" w:eastAsia="Times New Roman" w:hAnsi="Times New Roman"/>
            <w:color w:val="1155cc"/>
            <w:sz w:val="24"/>
            <w:szCs w:val="24"/>
            <w:u w:val="single"/>
            <w:rtl w:val="0"/>
          </w:rPr>
          <w:t xml:space="preserve">https://www.technavio.com/report/performance-appraisal-software-market-industry-analysis</w:t>
        </w:r>
      </w:hyperlink>
      <w:r w:rsidDel="00000000" w:rsidR="00000000" w:rsidRPr="00000000">
        <w:rPr>
          <w:rFonts w:ascii="Times New Roman" w:cs="Times New Roman" w:eastAsia="Times New Roman" w:hAnsi="Times New Roman"/>
          <w:sz w:val="24"/>
          <w:szCs w:val="24"/>
          <w:rtl w:val="0"/>
        </w:rPr>
        <w:t xml:space="preserve">   [Accessed 18 March 2026].</w:t>
      </w:r>
    </w:p>
    <w:p w:rsidR="00000000" w:rsidDel="00000000" w:rsidP="00000000" w:rsidRDefault="00000000" w:rsidRPr="00000000" w14:paraId="00000083">
      <w:pPr>
        <w:spacing w:line="36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Zhang, J. and Chen, Z., 2024. Exploring human resource management digital transformation in the digital age. </w:t>
      </w:r>
      <w:r w:rsidDel="00000000" w:rsidR="00000000" w:rsidRPr="00000000">
        <w:rPr>
          <w:rFonts w:ascii="Times New Roman" w:cs="Times New Roman" w:eastAsia="Times New Roman" w:hAnsi="Times New Roman"/>
          <w:i w:val="1"/>
          <w:iCs w:val="1"/>
          <w:color w:val="222222"/>
          <w:sz w:val="24"/>
          <w:szCs w:val="24"/>
          <w:highlight w:val="white"/>
          <w:rtl w:val="0"/>
        </w:rPr>
        <w:t xml:space="preserve">Journal of the knowledge economy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15</w:t>
      </w:r>
      <w:r w:rsidDel="00000000" w:rsidR="00000000" w:rsidRPr="00000000">
        <w:rPr>
          <w:rFonts w:ascii="Times New Roman" w:cs="Times New Roman" w:eastAsia="Times New Roman" w:hAnsi="Times New Roman"/>
          <w:color w:val="222222"/>
          <w:sz w:val="24"/>
          <w:szCs w:val="24"/>
          <w:highlight w:val="white"/>
          <w:rtl w:val="0"/>
        </w:rPr>
        <w:t xml:space="preserve">(1), pp.1482-1498. </w:t>
      </w:r>
      <w:r w:rsidDel="00000000" w:rsidR="00000000" w:rsidRPr="00000000">
        <w:rPr>
          <w:rFonts w:ascii="Times New Roman" w:cs="Times New Roman" w:eastAsia="Times New Roman" w:hAnsi="Times New Roman"/>
          <w:sz w:val="24"/>
          <w:szCs w:val="24"/>
          <w:rtl w:val="0"/>
        </w:rPr>
        <w:t xml:space="preserve">Available at: </w:t>
      </w:r>
      <w:hyperlink r:id="rId32">
        <w:r w:rsidDel="00000000" w:rsidR="00000000" w:rsidRPr="00000000">
          <w:rPr>
            <w:rFonts w:ascii="Times New Roman" w:cs="Times New Roman" w:eastAsia="Times New Roman" w:hAnsi="Times New Roman"/>
            <w:color w:val="1155cc"/>
            <w:sz w:val="24"/>
            <w:szCs w:val="24"/>
            <w:u w:val="single"/>
            <w:rtl w:val="0"/>
          </w:rPr>
          <w:t xml:space="preserve">https://pmc.ncbi.nlm.nih.gov/articles/PMC9990565/pdf/13132_2023_Article_1214.pdf</w:t>
        </w:r>
      </w:hyperlink>
      <w:r w:rsidDel="00000000" w:rsidR="00000000" w:rsidRPr="00000000">
        <w:rPr>
          <w:rFonts w:ascii="Times New Roman" w:cs="Times New Roman" w:eastAsia="Times New Roman" w:hAnsi="Times New Roman"/>
          <w:sz w:val="24"/>
          <w:szCs w:val="24"/>
          <w:rtl w:val="0"/>
        </w:rPr>
        <w:t xml:space="preserve"> [Accessed 18 March 2026].</w:t>
      </w:r>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84">
      <w:pPr>
        <w:spacing w:after="240" w:line="360" w:lineRule="auto"/>
        <w:rPr>
          <w:rFonts w:ascii="Times New Roman" w:cs="Times New Roman" w:eastAsia="Times New Roman" w:hAnsi="Times New Roman"/>
          <w:color w:val="222222"/>
          <w:sz w:val="20"/>
          <w:szCs w:val="20"/>
          <w:highlight w:val="white"/>
        </w:rPr>
      </w:pPr>
      <w:r w:rsidDel="00000000" w:rsidR="00000000" w:rsidRPr="00000000">
        <w:rPr>
          <w:rFonts w:ascii="Times New Roman" w:cs="Times New Roman" w:eastAsia="Times New Roman" w:hAnsi="Times New Roman"/>
          <w:color w:val="222222"/>
          <w:sz w:val="20"/>
          <w:szCs w:val="20"/>
          <w:highlight w:val="white"/>
          <w:rtl w:val="0"/>
        </w:rPr>
        <w:t xml:space="preserve"> </w:t>
      </w:r>
    </w:p>
    <w:p w:rsidR="00000000" w:rsidDel="00000000" w:rsidP="00000000" w:rsidRDefault="00000000" w:rsidRPr="00000000" w14:paraId="00000085">
      <w:pPr>
        <w:spacing w:line="360" w:lineRule="auto"/>
        <w:jc w:val="both"/>
        <w:rPr>
          <w:rFonts w:ascii="Times New Roman" w:cs="Times New Roman" w:eastAsia="Times New Roman" w:hAnsi="Times New Roman"/>
          <w:sz w:val="24"/>
          <w:szCs w:val="24"/>
        </w:rPr>
      </w:pPr>
      <w:r w:rsidDel="00000000" w:rsidR="00000000" w:rsidRPr="00000000">
        <w:rPr>
          <w:rtl w:val="0"/>
        </w:rPr>
      </w:r>
    </w:p>
    <w:sectPr>
      <w:footerReference r:id="rId33"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Page </w:t>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of </w:t>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line="360" w:lineRule="auto"/>
      <w:jc w:val="both"/>
    </w:pPr>
    <w:rPr>
      <w:rFonts w:ascii="Times New Roman" w:cs="Times New Roman" w:eastAsia="Times New Roman" w:hAnsi="Times New Roman"/>
      <w:b w:val="1"/>
      <w:bCs w:val="1"/>
      <w:sz w:val="28"/>
      <w:szCs w:val="28"/>
    </w:rPr>
  </w:style>
  <w:style w:type="paragraph" w:styleId="Heading2">
    <w:name w:val="heading 2"/>
    <w:basedOn w:val="Normal"/>
    <w:next w:val="Normal"/>
    <w:pPr>
      <w:keepNext w:val="1"/>
      <w:keepLines w:val="1"/>
      <w:spacing w:after="120" w:before="360" w:lineRule="auto"/>
    </w:pPr>
    <w:rPr>
      <w:rFonts w:ascii="Times New Roman" w:cs="Times New Roman" w:eastAsia="Times New Roman" w:hAnsi="Times New Roman"/>
      <w:b w:val="1"/>
      <w:bCs w:val="1"/>
      <w:sz w:val="24"/>
      <w:szCs w:val="24"/>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iCs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researchgate.net/profile/Faraz-Madanchi/publication/395875357_Integrating_Objectives_and_Key_Results_OKRs_and_Key_Performance_Indicators_KPIs_in_Supply_Chain_Performance_Management/links/68dc49a4220a341aa150f5f6/Integrating-Objectives-and-Key-Results-OKRs-and-Key-Performance-Indicators-KPIs-in-Supply-Chain-Performance-Management.pdf" TargetMode="External"/><Relationship Id="rId22" Type="http://schemas.openxmlformats.org/officeDocument/2006/relationships/hyperlink" Target="https://www.simplypsychology.org/learning-kolb.html" TargetMode="External"/><Relationship Id="rId21" Type="http://schemas.openxmlformats.org/officeDocument/2006/relationships/hyperlink" Target="https://market.us/report/360-degree-feedback-software-market/" TargetMode="External"/><Relationship Id="rId24" Type="http://schemas.openxmlformats.org/officeDocument/2006/relationships/hyperlink" Target="https://openaccess.bilgi.edu.tr/bitstreams/28d8976b-6463-4e39-ae37-035c8abf0fcd/downloa" TargetMode="External"/><Relationship Id="rId23" Type="http://schemas.openxmlformats.org/officeDocument/2006/relationships/hyperlink" Target="https://www.researchgate.net/profile/Michael-Neumann-11/publication/392963963_Unlocking_the_OKR_framework_Insights_into_Benefits_and_Barriers_for_an_Effective_Implementation_in_Practice/links/685a7dfacdf1a35eb174f139/Unlocking-the-OKR-framework-Insights-into-Benefits-and-Barriers-for-an-Effective-Implementation-in-Practice.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26" Type="http://schemas.openxmlformats.org/officeDocument/2006/relationships/hyperlink" Target="https://iaap-journals.onlinelibrary.wiley.com/doi/pdfdirect/10.1111/apps.12241" TargetMode="External"/><Relationship Id="rId25" Type="http://schemas.openxmlformats.org/officeDocument/2006/relationships/hyperlink" Target="https://scholarindexing.com/uploads/files/lhn_omk86iqyv01.pdf" TargetMode="External"/><Relationship Id="rId28" Type="http://schemas.openxmlformats.org/officeDocument/2006/relationships/hyperlink" Target="https://papers.ssrn.com/sol3/Delivery.cfm?abstractid=3199866" TargetMode="External"/><Relationship Id="rId27" Type="http://schemas.openxmlformats.org/officeDocument/2006/relationships/hyperlink" Target="https://www.academia.edu/download/122407035/1._Material_Today.pdf" TargetMode="External"/><Relationship Id="rId5" Type="http://schemas.openxmlformats.org/officeDocument/2006/relationships/styles" Target="styles.xml"/><Relationship Id="rId6" Type="http://schemas.openxmlformats.org/officeDocument/2006/relationships/image" Target="media/image6.png"/><Relationship Id="rId29" Type="http://schemas.openxmlformats.org/officeDocument/2006/relationships/hyperlink" Target="https://doi.org/10.1108/IJOA-12-2023-4146" TargetMode="External"/><Relationship Id="rId7" Type="http://schemas.openxmlformats.org/officeDocument/2006/relationships/image" Target="media/image3.png"/><Relationship Id="rId8" Type="http://schemas.openxmlformats.org/officeDocument/2006/relationships/image" Target="media/image5.png"/><Relationship Id="rId31" Type="http://schemas.openxmlformats.org/officeDocument/2006/relationships/hyperlink" Target="https://www.technavio.com/report/performance-appraisal-software-market-industry-analysis" TargetMode="External"/><Relationship Id="rId30" Type="http://schemas.openxmlformats.org/officeDocument/2006/relationships/hyperlink" Target="https://online.hbs.edu/blog/post/human-skills-ai-cant-replace" TargetMode="External"/><Relationship Id="rId11" Type="http://schemas.openxmlformats.org/officeDocument/2006/relationships/image" Target="media/image2.png"/><Relationship Id="rId33" Type="http://schemas.openxmlformats.org/officeDocument/2006/relationships/footer" Target="footer1.xml"/><Relationship Id="rId10" Type="http://schemas.openxmlformats.org/officeDocument/2006/relationships/image" Target="media/image4.png"/><Relationship Id="rId32" Type="http://schemas.openxmlformats.org/officeDocument/2006/relationships/hyperlink" Target="https://pmc.ncbi.nlm.nih.gov/articles/PMC9990565/pdf/13132_2023_Article_1214.pdf" TargetMode="External"/><Relationship Id="rId13" Type="http://schemas.openxmlformats.org/officeDocument/2006/relationships/hyperlink" Target="https://pmc.ncbi.nlm.nih.gov/articles/PMC9483390/pdf/41469_2022_Article_126.pdf" TargetMode="External"/><Relationship Id="rId12" Type="http://schemas.openxmlformats.org/officeDocument/2006/relationships/hyperlink" Target="https://doi.org/10.3390/appliedmath5030099" TargetMode="External"/><Relationship Id="rId15" Type="http://schemas.openxmlformats.org/officeDocument/2006/relationships/hyperlink" Target="https://portal.sinteza.singidunum.ac.rs/Media/files/2024/240-245.pdf" TargetMode="External"/><Relationship Id="rId14" Type="http://schemas.openxmlformats.org/officeDocument/2006/relationships/hyperlink" Target="https://okrinstitute.org/the-four-superpowers-of-okrs-the-potent-formula-to-sustainable-success/" TargetMode="External"/><Relationship Id="rId17" Type="http://schemas.openxmlformats.org/officeDocument/2006/relationships/hyperlink" Target="https://www.growthcapitalventures.co.uk/insights/blog/uk-tech-jobs-spike-since-peak-lockdown" TargetMode="External"/><Relationship Id="rId16" Type="http://schemas.openxmlformats.org/officeDocument/2006/relationships/hyperlink" Target="https://www.academia.edu/download/80045944/Emotional_Intelligence_in_Business_Leaders_a_tool_for_Workforce_Motivation.pdf" TargetMode="External"/><Relationship Id="rId19" Type="http://schemas.openxmlformats.org/officeDocument/2006/relationships/hyperlink" Target="https://www.researchgate.net/profile/Sheed-Iseal/publication/387075467_OKRs_as_a_Framework_for_Balancing_Creativity_and_Accountability_in_Project_Teams/links/675f3e3d2547a96a923c3e64/OKRs-as-a-Framework-for-Balancing-Creativity-and-Accountability-in-Project-Teams.pdf" TargetMode="External"/><Relationship Id="rId18" Type="http://schemas.openxmlformats.org/officeDocument/2006/relationships/hyperlink" Target="https://www.jobscan.co/blog/8-things-you-need-to-know-about-applicant-tracking-syste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