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2C0F70E" w14:textId="77777777" w:rsidR="00262620" w:rsidRPr="001F6B0B" w:rsidRDefault="00262620" w:rsidP="00262620">
      <w:pPr>
        <w:shd w:val="clear" w:color="auto" w:fill="FFFFFF" w:themeFill="background1"/>
        <w:rPr>
          <w:b/>
          <w:bCs/>
        </w:rPr>
      </w:pPr>
      <w:r w:rsidRPr="001F6B0B">
        <w:rPr>
          <w:b/>
          <w:bCs/>
        </w:rPr>
        <w:t xml:space="preserve">Compare the structures of an aspect of heritage protection and management in Wales and the other parts of the United Kingdom and discuss the advantages and disadvantages of the Welsh arrangements. </w:t>
      </w:r>
    </w:p>
    <w:p w14:paraId="5F4844D6" w14:textId="6E936034" w:rsidR="00272E72" w:rsidRDefault="00262620">
      <w:r>
        <w:t>Heritage is an ever-changing and opinionated term to define and the difficulties are further exemplified when trying to discern further characterisation of its purpose, contribution and management.</w:t>
      </w:r>
      <w:r w:rsidR="0054095E">
        <w:t xml:space="preserve"> </w:t>
      </w:r>
    </w:p>
    <w:p w14:paraId="780B8978" w14:textId="368057E0" w:rsidR="0015754D" w:rsidRDefault="0054095E">
      <w:r>
        <w:t xml:space="preserve">The </w:t>
      </w:r>
      <w:r w:rsidR="00574EBC">
        <w:t xml:space="preserve">Ancient Monuments Act 1882 was the first UK wide legislation in the area of heritage, </w:t>
      </w:r>
      <w:r w:rsidR="00E10838">
        <w:t xml:space="preserve">white the act does not specify it protects </w:t>
      </w:r>
      <w:r w:rsidR="00E10838">
        <w:rPr>
          <w:i/>
          <w:iCs/>
        </w:rPr>
        <w:t xml:space="preserve">heritage, </w:t>
      </w:r>
      <w:r w:rsidR="00E10838">
        <w:t>it values the historic environment and its protection and so the modern term heritage</w:t>
      </w:r>
      <w:r w:rsidR="00DF0588">
        <w:t xml:space="preserve"> </w:t>
      </w:r>
      <w:r w:rsidR="00E10838">
        <w:t xml:space="preserve">is applicable.  </w:t>
      </w:r>
      <w:r w:rsidR="00DF0588">
        <w:t>For the first time, there is legislation specifying the need for preservation of ancient monuments through inspection and where appropriate, funds to spent ‘out of money’s by Parliament.</w:t>
      </w:r>
      <w:r w:rsidR="00DF0588">
        <w:rPr>
          <w:rStyle w:val="FootnoteReference"/>
        </w:rPr>
        <w:footnoteReference w:id="1"/>
      </w:r>
      <w:r w:rsidR="00DF0588">
        <w:t xml:space="preserve"> Furthermore, there is now penalty for ‘if any person injures or deface any ancient monument for which this Act applies’</w:t>
      </w:r>
      <w:r w:rsidR="00DF0588">
        <w:rPr>
          <w:rStyle w:val="FootnoteReference"/>
        </w:rPr>
        <w:footnoteReference w:id="2"/>
      </w:r>
      <w:r w:rsidR="00DF0588">
        <w:t xml:space="preserve">. The implication is that heritage or in this case, monuments, is </w:t>
      </w:r>
      <w:r w:rsidR="00671960">
        <w:t>a physical being that can be contained and protected. Heritage finds its roots in protection, yet the ambiguity of what defines a monument/building/site as historic led to further definition in 1892, and 1900 creating confusion in several overlapping pieces of legislation (Belford, 2018, p.105) and attempts to re-define the legislation to achieve clarity were repeated through the 20</w:t>
      </w:r>
      <w:r w:rsidR="00671960" w:rsidRPr="00671960">
        <w:rPr>
          <w:vertAlign w:val="superscript"/>
        </w:rPr>
        <w:t>th</w:t>
      </w:r>
      <w:r w:rsidR="00671960">
        <w:t xml:space="preserve"> century for England and Wales collectively, until 1997 where The National Assembly for Wales was founded.  The proce</w:t>
      </w:r>
      <w:r w:rsidR="00A527A9">
        <w:t>ss</w:t>
      </w:r>
      <w:r w:rsidR="00671960">
        <w:t xml:space="preserve"> of devolution i</w:t>
      </w:r>
      <w:r w:rsidR="00A527A9">
        <w:t>n</w:t>
      </w:r>
      <w:r w:rsidR="00671960">
        <w:t xml:space="preserve"> Wales saw the </w:t>
      </w:r>
      <w:r w:rsidR="00A527A9">
        <w:t>growth in celebration for welsh culture, language and national identity.</w:t>
      </w:r>
      <w:r w:rsidR="0044627C">
        <w:t xml:space="preserve"> The Welsh Language Standard came into effect February 2017 and bilingual services became compulsory to avoid discrimination against welsh speakers. </w:t>
      </w:r>
      <w:r w:rsidR="00716057">
        <w:t xml:space="preserve">The devolution of power is significant in two ways. </w:t>
      </w:r>
    </w:p>
    <w:p w14:paraId="46FEB0AE" w14:textId="6B7CCFA3" w:rsidR="007248DE" w:rsidRDefault="0015754D">
      <w:r>
        <w:t>Firstly</w:t>
      </w:r>
      <w:r w:rsidR="004452C5">
        <w:t xml:space="preserve">, the granted competence to pass laws, later acts, allowed Wales freedom to initiate strategy and policy that they deemed fit for the healthy progress and sustainability for Wales and </w:t>
      </w:r>
      <w:proofErr w:type="gramStart"/>
      <w:r w:rsidR="004452C5">
        <w:t>it’s</w:t>
      </w:r>
      <w:proofErr w:type="gramEnd"/>
      <w:r w:rsidR="004452C5">
        <w:t xml:space="preserve"> people.  It began with the Historic Act 2016 and policies began to cultivate to concept of culture and cultural heritage. ‘Cultural Heritage operates </w:t>
      </w:r>
      <w:r w:rsidR="004D7C3D">
        <w:t>i</w:t>
      </w:r>
      <w:r w:rsidR="004452C5">
        <w:t>n a synchronised relationship involving society and norms and values’</w:t>
      </w:r>
      <w:r w:rsidR="004452C5">
        <w:rPr>
          <w:rStyle w:val="FootnoteReference"/>
        </w:rPr>
        <w:footnoteReference w:id="3"/>
      </w:r>
      <w:r w:rsidR="004452C5">
        <w:t>.</w:t>
      </w:r>
      <w:r w:rsidR="004D7C3D">
        <w:t xml:space="preserve"> Of course, how to preserve a non-physical being? Preserving and protecting monuments, sites and buildings all requires a material approach, understanding the preservation of heritage </w:t>
      </w:r>
      <w:r w:rsidR="007248DE">
        <w:t xml:space="preserve">and how it operates in a modern-day climate requires a social perspective. </w:t>
      </w:r>
      <w:r w:rsidR="004452C5">
        <w:t xml:space="preserve"> </w:t>
      </w:r>
      <w:r w:rsidR="002F58CC">
        <w:t>This concept is further exemplified in the Welsh Government strategy of ‘Taking Wales Forward’ (2016-2021). The emotional foreword by First Minister Carwyn Jones laments on the uncertainty of Brexit and promises ‘consigned to a scrapheap’</w:t>
      </w:r>
      <w:r w:rsidR="002F58CC">
        <w:rPr>
          <w:rStyle w:val="FootnoteReference"/>
        </w:rPr>
        <w:footnoteReference w:id="4"/>
      </w:r>
      <w:r w:rsidR="002F58CC">
        <w:t xml:space="preserve"> he expressed a determination to ‘build a united, connected and sustainable Wales’</w:t>
      </w:r>
      <w:r w:rsidR="002F58CC">
        <w:rPr>
          <w:rStyle w:val="FootnoteReference"/>
        </w:rPr>
        <w:footnoteReference w:id="5"/>
      </w:r>
      <w:r w:rsidR="002F58CC">
        <w:t>. The policy strives to ‘protect local facilities that bring people together, including pubs, libraries, museums, art centres and leisure centre centres</w:t>
      </w:r>
      <w:r w:rsidR="003452D7">
        <w:t xml:space="preserve"> […] [m]</w:t>
      </w:r>
      <w:proofErr w:type="spellStart"/>
      <w:r w:rsidR="003452D7">
        <w:t>aintain</w:t>
      </w:r>
      <w:proofErr w:type="spellEnd"/>
      <w:r w:rsidR="003452D7">
        <w:t xml:space="preserve"> a policy of free access to the national museums.</w:t>
      </w:r>
      <w:r w:rsidR="002F58CC">
        <w:t>’</w:t>
      </w:r>
      <w:r w:rsidR="002F58CC">
        <w:rPr>
          <w:rStyle w:val="FootnoteReference"/>
        </w:rPr>
        <w:footnoteReference w:id="6"/>
      </w:r>
      <w:r w:rsidR="002F58CC">
        <w:t xml:space="preserve"> – it’s becoming apparent that heritage is being absorbed and adopted by local communities to become sustainable; heritage is now a community asset</w:t>
      </w:r>
      <w:r w:rsidR="007248DE">
        <w:t>.  As a community asset.</w:t>
      </w:r>
    </w:p>
    <w:p w14:paraId="54504ED9" w14:textId="2D436806" w:rsidR="007248DE" w:rsidRDefault="007248DE">
      <w:r>
        <w:t>CADW wonderfully surmises heritage in a way that combines the social</w:t>
      </w:r>
      <w:r w:rsidR="00FF425B">
        <w:t>, cultural</w:t>
      </w:r>
      <w:r>
        <w:t xml:space="preserve"> and physical aspect of heritage</w:t>
      </w:r>
      <w:r w:rsidR="00FF425B">
        <w:t>.</w:t>
      </w:r>
    </w:p>
    <w:p w14:paraId="0DFA7F68" w14:textId="41A717F3" w:rsidR="00FF425B" w:rsidRDefault="00FF425B">
      <w:r>
        <w:lastRenderedPageBreak/>
        <w:t>‘The historical environment is the physical manifestation of Wales’ cultural heritage – a precious inheritance that we must care for […] The historic environment sits at the very centre of our cultural identity as a nation’.</w:t>
      </w:r>
      <w:r>
        <w:rPr>
          <w:rStyle w:val="FootnoteReference"/>
        </w:rPr>
        <w:footnoteReference w:id="7"/>
      </w:r>
    </w:p>
    <w:p w14:paraId="32E62B28" w14:textId="6A2B86A1" w:rsidR="005F2BAE" w:rsidRDefault="008D5E70">
      <w:r>
        <w:t xml:space="preserve">CADW are responsible for preserving and enhancing heritage of the physical aspect.  They have over 250 staff across Wales who are dedicated to the conservation of Wales’ history. </w:t>
      </w:r>
      <w:r w:rsidR="00E2574D">
        <w:t xml:space="preserve"> CADW serves as an arm of the Welsh Government</w:t>
      </w:r>
      <w:r w:rsidR="00BF15D0">
        <w:t xml:space="preserve">, </w:t>
      </w:r>
      <w:r w:rsidR="00CD4D28">
        <w:t>as a part of the Welsh Government’s Culture, Sport and Tourism Department. While CADW are responsible for the maintenance of a large part of Wales’ historic environment, they also provide a commercial function to heritage through the organisation of events, wedding rentals, and general days out available to the public who either have an active membership, or pay a ticket price at the door.  The commercial function also enables them to achieve one of their *four* objectives to ‘make a real difference to people’s wellbeing in Wales’.</w:t>
      </w:r>
      <w:r w:rsidR="00CD4D28">
        <w:rPr>
          <w:rStyle w:val="FootnoteReference"/>
        </w:rPr>
        <w:footnoteReference w:id="8"/>
      </w:r>
      <w:r w:rsidR="00CD4D28">
        <w:t xml:space="preserve"> </w:t>
      </w:r>
      <w:r w:rsidR="005F2BAE">
        <w:t xml:space="preserve"> Their involvement with wellbeing is understood when looking at the bigger picture of strategy and policy when discussing Wales as a whole.  The reference of heritage as ‘cultural heritage’</w:t>
      </w:r>
      <w:r w:rsidR="005F2BAE">
        <w:rPr>
          <w:rStyle w:val="FootnoteReference"/>
        </w:rPr>
        <w:footnoteReference w:id="9"/>
      </w:r>
      <w:r w:rsidR="005F2BAE">
        <w:t xml:space="preserve"> in CADW’s Heritage Interpretation Plan distinctively puts CADW in synchronisation with Taking Wales Forward.  </w:t>
      </w:r>
    </w:p>
    <w:p w14:paraId="32EDF20D" w14:textId="77777777" w:rsidR="005F2BAE" w:rsidRDefault="005F2BAE"/>
    <w:p w14:paraId="2155B624" w14:textId="77777777" w:rsidR="00001508" w:rsidRDefault="00CD4D28">
      <w:r>
        <w:t xml:space="preserve">The involvement with wellbeing is likely to coincide with the Taking Wales Forward 2015 strategy as well as The Well-being of Future Generations (Wales) Act 2015. CADW have therefore provided The Pan-Wales Heritage Interpretation Plan with the </w:t>
      </w:r>
      <w:r w:rsidR="00945C27">
        <w:t>goal of making stories accessible and relevant to the public, with longer term goals including ‘making Wales more competitive within the global tourism market’</w:t>
      </w:r>
      <w:r w:rsidR="00945C27">
        <w:rPr>
          <w:rStyle w:val="FootnoteReference"/>
        </w:rPr>
        <w:footnoteReference w:id="10"/>
      </w:r>
      <w:r w:rsidR="00945C27">
        <w:t xml:space="preserve"> and ‘provide opportunities for people to learn something new’</w:t>
      </w:r>
      <w:r w:rsidR="00945C27">
        <w:rPr>
          <w:rStyle w:val="FootnoteReference"/>
        </w:rPr>
        <w:footnoteReference w:id="11"/>
      </w:r>
      <w:r w:rsidR="00945C27">
        <w:t>. Wellbeing in Wales has become a prominent feature in a variety of sectors</w:t>
      </w:r>
      <w:r w:rsidR="005F2BAE">
        <w:t xml:space="preserve">, </w:t>
      </w:r>
      <w:r w:rsidR="00E07786">
        <w:t>encouraged by the Well-being of Future Generations (Wales) Act 2015 and one of their five goals to create ‘A Wales of vibrant culture and thriving welsh language</w:t>
      </w:r>
      <w:r w:rsidR="00E07786">
        <w:rPr>
          <w:rStyle w:val="FootnoteReference"/>
        </w:rPr>
        <w:footnoteReference w:id="12"/>
      </w:r>
      <w:r w:rsidR="00E07786">
        <w:t>.  In order to preserve heritage, it appears to have become imperative to intertwine it with national identity, ultimately, our culture, rather than preserve it as a stand alone physical being, it can be argued that it is in fact more spiritual in nature.  The goal for the Future Generations Act is determined to create a ‘</w:t>
      </w:r>
      <w:r w:rsidR="00E07786" w:rsidRPr="00E07786">
        <w:t>society that promotes and protects culture, heritage and the Welsh language, and which encourages people to participate in the arts, and sports and recreation.</w:t>
      </w:r>
      <w:r w:rsidR="00E07786">
        <w:t>’</w:t>
      </w:r>
      <w:r w:rsidR="00E07786">
        <w:rPr>
          <w:rStyle w:val="FootnoteReference"/>
        </w:rPr>
        <w:footnoteReference w:id="13"/>
      </w:r>
      <w:r w:rsidR="00E07786">
        <w:t xml:space="preserve"> </w:t>
      </w:r>
      <w:r w:rsidR="00001508">
        <w:t xml:space="preserve"> </w:t>
      </w:r>
    </w:p>
    <w:p w14:paraId="7B81CF51" w14:textId="27F1A025" w:rsidR="00C23716" w:rsidRDefault="00001508">
      <w:r>
        <w:t>Participation in the welsh languag</w:t>
      </w:r>
      <w:r w:rsidR="009E38C2">
        <w:t xml:space="preserve">e was initially restricted and made illegal following English imperialism in Wales, where national identity was </w:t>
      </w:r>
      <w:proofErr w:type="gramStart"/>
      <w:r w:rsidR="009E38C2">
        <w:t>stripped</w:t>
      </w:r>
      <w:proofErr w:type="gramEnd"/>
      <w:r w:rsidR="009E38C2">
        <w:t xml:space="preserve"> and the native tongue criminalised and the English spoken word replaced it.  Animosity between the English and the Welsh is still infamous to this day, national identity made a poignant element to contribute to our </w:t>
      </w:r>
      <w:r w:rsidR="009E38C2">
        <w:rPr>
          <w:i/>
          <w:iCs/>
        </w:rPr>
        <w:t xml:space="preserve">regional </w:t>
      </w:r>
      <w:r w:rsidR="009E38C2">
        <w:t>identity which is celebrated throug</w:t>
      </w:r>
      <w:r w:rsidR="00C23716">
        <w:t>h.</w:t>
      </w:r>
    </w:p>
    <w:p w14:paraId="7B9963A2" w14:textId="513E256D" w:rsidR="00C23716" w:rsidRPr="009E38C2" w:rsidRDefault="00C23716">
      <w:r>
        <w:t xml:space="preserve">The Heritage Interpretation Plan is endorsed by the Minister for Housing, Regeneration and Heritage in his Historic Environment Strategy for Wales.  </w:t>
      </w:r>
      <w:r w:rsidR="00F27D3E">
        <w:t xml:space="preserve">It is well established that the targeted demographic for commercial gain are families;  but memberships are Lord Elis identifies the need to engage younger visitors, </w:t>
      </w:r>
      <w:bookmarkStart w:id="0" w:name="_GoBack"/>
      <w:bookmarkEnd w:id="0"/>
    </w:p>
    <w:p w14:paraId="5D01DE66" w14:textId="2BBDD795" w:rsidR="003452D7" w:rsidRDefault="003452D7"/>
    <w:p w14:paraId="2D043184" w14:textId="77777777" w:rsidR="003452D7" w:rsidRDefault="003452D7"/>
    <w:p w14:paraId="56A794BE" w14:textId="77777777" w:rsidR="0015754D" w:rsidRDefault="0015754D"/>
    <w:p w14:paraId="4C3C0B0A" w14:textId="77777777" w:rsidR="0015754D" w:rsidRDefault="0015754D"/>
    <w:p w14:paraId="400B79B2" w14:textId="76022B17" w:rsidR="00A527A9" w:rsidRDefault="00716057">
      <w:r>
        <w:t xml:space="preserve">Firstly, the creation of the National Assembly for Wales, later, The Welsh Government (as of 2014), granted the Assembly the power to pass laws, some of which had direct historic environment implications and </w:t>
      </w:r>
      <w:r w:rsidR="0015754D">
        <w:t>have resulted in the Historic Monuments of Wales Act (2016) and CADW. The Act 2016 provided an amendment to a previous unsuitable legislation, while CADW has broadened the preservation field u</w:t>
      </w:r>
    </w:p>
    <w:p w14:paraId="2624194A" w14:textId="51EAED12" w:rsidR="00E10838" w:rsidRDefault="00E10838"/>
    <w:p w14:paraId="3C95A66D" w14:textId="1595AF7B" w:rsidR="00E10838" w:rsidRPr="00E10838" w:rsidRDefault="00E10838">
      <w:r>
        <w:t>While it could be argued that we use our current definition to categorise this act to befit our own interpretations and meaning</w:t>
      </w:r>
      <w:r>
        <w:rPr>
          <w:rStyle w:val="FootnoteReference"/>
        </w:rPr>
        <w:footnoteReference w:id="14"/>
      </w:r>
      <w:r>
        <w:t xml:space="preserve"> it’s more appropriate to assume the word is an umbrella term in which the definition can be used broadly as opposed to </w:t>
      </w:r>
      <w:r w:rsidR="00DF0588">
        <w:t>constantly changed according to present-day needs’.</w:t>
      </w:r>
      <w:r w:rsidR="00DF0588">
        <w:rPr>
          <w:rStyle w:val="FootnoteReference"/>
        </w:rPr>
        <w:footnoteReference w:id="15"/>
      </w:r>
      <w:r w:rsidR="00DF0588">
        <w:t xml:space="preserve"> </w:t>
      </w:r>
    </w:p>
    <w:sectPr w:rsidR="00E10838" w:rsidRPr="00E1083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12713E4" w14:textId="77777777" w:rsidR="00897CC1" w:rsidRDefault="00897CC1" w:rsidP="00E10838">
      <w:pPr>
        <w:spacing w:after="0" w:line="240" w:lineRule="auto"/>
      </w:pPr>
      <w:r>
        <w:separator/>
      </w:r>
    </w:p>
  </w:endnote>
  <w:endnote w:type="continuationSeparator" w:id="0">
    <w:p w14:paraId="5A33440C" w14:textId="77777777" w:rsidR="00897CC1" w:rsidRDefault="00897CC1" w:rsidP="00E1083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459CB69" w14:textId="77777777" w:rsidR="00897CC1" w:rsidRDefault="00897CC1" w:rsidP="00E10838">
      <w:pPr>
        <w:spacing w:after="0" w:line="240" w:lineRule="auto"/>
      </w:pPr>
      <w:r>
        <w:separator/>
      </w:r>
    </w:p>
  </w:footnote>
  <w:footnote w:type="continuationSeparator" w:id="0">
    <w:p w14:paraId="2C2663D3" w14:textId="77777777" w:rsidR="00897CC1" w:rsidRDefault="00897CC1" w:rsidP="00E10838">
      <w:pPr>
        <w:spacing w:after="0" w:line="240" w:lineRule="auto"/>
      </w:pPr>
      <w:r>
        <w:continuationSeparator/>
      </w:r>
    </w:p>
  </w:footnote>
  <w:footnote w:id="1">
    <w:p w14:paraId="70786746" w14:textId="0635FC36" w:rsidR="00F27D3E" w:rsidRDefault="00F27D3E">
      <w:pPr>
        <w:pStyle w:val="FootnoteText"/>
      </w:pPr>
      <w:r>
        <w:rPr>
          <w:rStyle w:val="FootnoteReference"/>
        </w:rPr>
        <w:footnoteRef/>
      </w:r>
      <w:r>
        <w:t xml:space="preserve"> HA 1882</w:t>
      </w:r>
    </w:p>
  </w:footnote>
  <w:footnote w:id="2">
    <w:p w14:paraId="3117223F" w14:textId="30F580DF" w:rsidR="00F27D3E" w:rsidRDefault="00F27D3E">
      <w:pPr>
        <w:pStyle w:val="FootnoteText"/>
      </w:pPr>
      <w:r>
        <w:rPr>
          <w:rStyle w:val="FootnoteReference"/>
        </w:rPr>
        <w:footnoteRef/>
      </w:r>
      <w:r>
        <w:t xml:space="preserve"> Ibid.</w:t>
      </w:r>
    </w:p>
  </w:footnote>
  <w:footnote w:id="3">
    <w:p w14:paraId="14B0B340" w14:textId="32F1438A" w:rsidR="00F27D3E" w:rsidRDefault="00F27D3E">
      <w:pPr>
        <w:pStyle w:val="FootnoteText"/>
      </w:pPr>
      <w:r>
        <w:rPr>
          <w:rStyle w:val="FootnoteReference"/>
        </w:rPr>
        <w:footnoteRef/>
      </w:r>
      <w:r>
        <w:t xml:space="preserve"> </w:t>
      </w:r>
      <w:proofErr w:type="spellStart"/>
      <w:r>
        <w:t>bemis</w:t>
      </w:r>
      <w:proofErr w:type="spellEnd"/>
    </w:p>
  </w:footnote>
  <w:footnote w:id="4">
    <w:p w14:paraId="127F2BEE" w14:textId="27A7ACD5" w:rsidR="00F27D3E" w:rsidRDefault="00F27D3E">
      <w:pPr>
        <w:pStyle w:val="FootnoteText"/>
      </w:pPr>
      <w:r>
        <w:rPr>
          <w:rStyle w:val="FootnoteReference"/>
        </w:rPr>
        <w:footnoteRef/>
      </w:r>
      <w:r>
        <w:t xml:space="preserve"> Taking Wales Forward </w:t>
      </w:r>
    </w:p>
  </w:footnote>
  <w:footnote w:id="5">
    <w:p w14:paraId="0183FDE3" w14:textId="2566EEB4" w:rsidR="00F27D3E" w:rsidRDefault="00F27D3E">
      <w:pPr>
        <w:pStyle w:val="FootnoteText"/>
      </w:pPr>
      <w:r>
        <w:rPr>
          <w:rStyle w:val="FootnoteReference"/>
        </w:rPr>
        <w:footnoteRef/>
      </w:r>
      <w:r>
        <w:t xml:space="preserve"> Ibid. </w:t>
      </w:r>
    </w:p>
  </w:footnote>
  <w:footnote w:id="6">
    <w:p w14:paraId="69C052E8" w14:textId="521E6D80" w:rsidR="00F27D3E" w:rsidRDefault="00F27D3E">
      <w:pPr>
        <w:pStyle w:val="FootnoteText"/>
      </w:pPr>
      <w:r>
        <w:rPr>
          <w:rStyle w:val="FootnoteReference"/>
        </w:rPr>
        <w:footnoteRef/>
      </w:r>
      <w:r>
        <w:t xml:space="preserve"> Ibid. </w:t>
      </w:r>
    </w:p>
  </w:footnote>
  <w:footnote w:id="7">
    <w:p w14:paraId="0DDA83F0" w14:textId="43D79CCC" w:rsidR="00F27D3E" w:rsidRDefault="00F27D3E">
      <w:pPr>
        <w:pStyle w:val="FootnoteText"/>
      </w:pPr>
      <w:r>
        <w:rPr>
          <w:rStyle w:val="FootnoteReference"/>
        </w:rPr>
        <w:footnoteRef/>
      </w:r>
      <w:r>
        <w:t xml:space="preserve"> CADW website</w:t>
      </w:r>
    </w:p>
  </w:footnote>
  <w:footnote w:id="8">
    <w:p w14:paraId="17671A08" w14:textId="7B43A527" w:rsidR="00F27D3E" w:rsidRDefault="00F27D3E">
      <w:pPr>
        <w:pStyle w:val="FootnoteText"/>
      </w:pPr>
      <w:r>
        <w:rPr>
          <w:rStyle w:val="FootnoteReference"/>
        </w:rPr>
        <w:footnoteRef/>
      </w:r>
      <w:r>
        <w:t xml:space="preserve"> </w:t>
      </w:r>
      <w:proofErr w:type="spellStart"/>
      <w:r>
        <w:t>Cadw</w:t>
      </w:r>
      <w:proofErr w:type="spellEnd"/>
      <w:r>
        <w:t xml:space="preserve"> WEBSITE</w:t>
      </w:r>
    </w:p>
  </w:footnote>
  <w:footnote w:id="9">
    <w:p w14:paraId="72440FD8" w14:textId="2510C945" w:rsidR="00F27D3E" w:rsidRDefault="00F27D3E">
      <w:pPr>
        <w:pStyle w:val="FootnoteText"/>
      </w:pPr>
      <w:r>
        <w:rPr>
          <w:rStyle w:val="FootnoteReference"/>
        </w:rPr>
        <w:footnoteRef/>
      </w:r>
      <w:r>
        <w:t xml:space="preserve"> ?</w:t>
      </w:r>
    </w:p>
  </w:footnote>
  <w:footnote w:id="10">
    <w:p w14:paraId="7CCF51DF" w14:textId="30C24FC7" w:rsidR="00F27D3E" w:rsidRDefault="00F27D3E">
      <w:pPr>
        <w:pStyle w:val="FootnoteText"/>
      </w:pPr>
      <w:r>
        <w:rPr>
          <w:rStyle w:val="FootnoteReference"/>
        </w:rPr>
        <w:footnoteRef/>
      </w:r>
      <w:r>
        <w:t xml:space="preserve"> HI Plan</w:t>
      </w:r>
    </w:p>
  </w:footnote>
  <w:footnote w:id="11">
    <w:p w14:paraId="0FF0CEA1" w14:textId="2A4C9FCB" w:rsidR="00F27D3E" w:rsidRDefault="00F27D3E">
      <w:pPr>
        <w:pStyle w:val="FootnoteText"/>
      </w:pPr>
      <w:r>
        <w:rPr>
          <w:rStyle w:val="FootnoteReference"/>
        </w:rPr>
        <w:footnoteRef/>
      </w:r>
      <w:r>
        <w:t xml:space="preserve"> Ibid. </w:t>
      </w:r>
    </w:p>
  </w:footnote>
  <w:footnote w:id="12">
    <w:p w14:paraId="2B17F773" w14:textId="325F19FD" w:rsidR="00F27D3E" w:rsidRDefault="00F27D3E">
      <w:pPr>
        <w:pStyle w:val="FootnoteText"/>
      </w:pPr>
      <w:r>
        <w:rPr>
          <w:rStyle w:val="FootnoteReference"/>
        </w:rPr>
        <w:footnoteRef/>
      </w:r>
      <w:r>
        <w:t xml:space="preserve"> Well being of future generations act 2015</w:t>
      </w:r>
    </w:p>
  </w:footnote>
  <w:footnote w:id="13">
    <w:p w14:paraId="0B2E3D6D" w14:textId="14A7A4E3" w:rsidR="00F27D3E" w:rsidRDefault="00F27D3E">
      <w:pPr>
        <w:pStyle w:val="FootnoteText"/>
      </w:pPr>
      <w:r>
        <w:rPr>
          <w:rStyle w:val="FootnoteReference"/>
        </w:rPr>
        <w:footnoteRef/>
      </w:r>
      <w:r>
        <w:t xml:space="preserve"> Ibid.</w:t>
      </w:r>
    </w:p>
  </w:footnote>
  <w:footnote w:id="14">
    <w:p w14:paraId="5D4EF07C" w14:textId="2044E9F9" w:rsidR="00F27D3E" w:rsidRDefault="00F27D3E">
      <w:pPr>
        <w:pStyle w:val="FootnoteText"/>
      </w:pPr>
      <w:r>
        <w:rPr>
          <w:rStyle w:val="FootnoteReference"/>
        </w:rPr>
        <w:footnoteRef/>
      </w:r>
      <w:r>
        <w:t xml:space="preserve"> Find def</w:t>
      </w:r>
    </w:p>
  </w:footnote>
  <w:footnote w:id="15">
    <w:p w14:paraId="00543D0A" w14:textId="635D83C9" w:rsidR="00F27D3E" w:rsidRDefault="00F27D3E">
      <w:pPr>
        <w:pStyle w:val="FootnoteText"/>
      </w:pPr>
      <w:r>
        <w:rPr>
          <w:rStyle w:val="FootnoteReference"/>
        </w:rPr>
        <w:footnoteRef/>
      </w:r>
      <w:r>
        <w:t xml:space="preserve"> Sommer?</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2620"/>
    <w:rsid w:val="00001508"/>
    <w:rsid w:val="0015754D"/>
    <w:rsid w:val="001700C2"/>
    <w:rsid w:val="00262620"/>
    <w:rsid w:val="00272E72"/>
    <w:rsid w:val="002F58CC"/>
    <w:rsid w:val="003452D7"/>
    <w:rsid w:val="004452C5"/>
    <w:rsid w:val="0044627C"/>
    <w:rsid w:val="004D7C3D"/>
    <w:rsid w:val="0054095E"/>
    <w:rsid w:val="00574EBC"/>
    <w:rsid w:val="005F2BAE"/>
    <w:rsid w:val="00671960"/>
    <w:rsid w:val="00716057"/>
    <w:rsid w:val="007248DE"/>
    <w:rsid w:val="00897CC1"/>
    <w:rsid w:val="008D5E70"/>
    <w:rsid w:val="00945C27"/>
    <w:rsid w:val="009E38C2"/>
    <w:rsid w:val="00A527A9"/>
    <w:rsid w:val="00BF15D0"/>
    <w:rsid w:val="00C23716"/>
    <w:rsid w:val="00CD4D28"/>
    <w:rsid w:val="00DF0588"/>
    <w:rsid w:val="00E07786"/>
    <w:rsid w:val="00E10838"/>
    <w:rsid w:val="00E2574D"/>
    <w:rsid w:val="00EB23E9"/>
    <w:rsid w:val="00EE1DD2"/>
    <w:rsid w:val="00F27D3E"/>
    <w:rsid w:val="00FF42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EE85F08"/>
  <w15:chartTrackingRefBased/>
  <w15:docId w15:val="{B9EC1731-6455-464E-B155-B2E8CE1E9B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62620"/>
  </w:style>
  <w:style w:type="paragraph" w:styleId="Heading1">
    <w:name w:val="heading 1"/>
    <w:basedOn w:val="Normal"/>
    <w:next w:val="Normal"/>
    <w:link w:val="Heading1Char"/>
    <w:uiPriority w:val="9"/>
    <w:qFormat/>
    <w:rsid w:val="00E1083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10838"/>
    <w:rPr>
      <w:rFonts w:asciiTheme="majorHAnsi" w:eastAsiaTheme="majorEastAsia" w:hAnsiTheme="majorHAnsi" w:cstheme="majorBidi"/>
      <w:color w:val="2F5496" w:themeColor="accent1" w:themeShade="BF"/>
      <w:sz w:val="32"/>
      <w:szCs w:val="32"/>
    </w:rPr>
  </w:style>
  <w:style w:type="paragraph" w:styleId="FootnoteText">
    <w:name w:val="footnote text"/>
    <w:basedOn w:val="Normal"/>
    <w:link w:val="FootnoteTextChar"/>
    <w:uiPriority w:val="99"/>
    <w:semiHidden/>
    <w:unhideWhenUsed/>
    <w:rsid w:val="00E1083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10838"/>
    <w:rPr>
      <w:sz w:val="20"/>
      <w:szCs w:val="20"/>
    </w:rPr>
  </w:style>
  <w:style w:type="character" w:styleId="FootnoteReference">
    <w:name w:val="footnote reference"/>
    <w:basedOn w:val="DefaultParagraphFont"/>
    <w:uiPriority w:val="99"/>
    <w:semiHidden/>
    <w:unhideWhenUsed/>
    <w:rsid w:val="00E10838"/>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D332876-91E7-4BDB-9335-7B22BB2357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3233</TotalTime>
  <Pages>3</Pages>
  <Words>1083</Words>
  <Characters>6177</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Shauni Waller (1904380)</dc:creator>
  <cp:keywords/>
  <dc:description/>
  <cp:lastModifiedBy>Shauni Waller (1904380)</cp:lastModifiedBy>
  <cp:revision>2</cp:revision>
  <dcterms:created xsi:type="dcterms:W3CDTF">2020-03-05T22:36:00Z</dcterms:created>
  <dcterms:modified xsi:type="dcterms:W3CDTF">2020-03-05T22:36:00Z</dcterms:modified>
</cp:coreProperties>
</file>