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91554F" w:rsidP="0091554F" w:rsidRDefault="0091554F" w14:paraId="672A6659" wp14:textId="77777777">
      <w:pPr>
        <w:spacing w:before="400" w:line="360" w:lineRule="auto"/>
        <w:jc w:val="both"/>
        <w:rPr>
          <w:rFonts w:ascii="Arial" w:hAnsi="Arial" w:eastAsia="Arial" w:cs="Arial"/>
          <w:b/>
          <w:bCs/>
          <w:sz w:val="22"/>
          <w:szCs w:val="22"/>
        </w:rPr>
      </w:pPr>
    </w:p>
    <w:p xmlns:wp14="http://schemas.microsoft.com/office/word/2010/wordml" w:rsidR="0091554F" w:rsidP="0091554F" w:rsidRDefault="0091554F" w14:paraId="0A37501D" wp14:textId="77777777">
      <w:pPr>
        <w:spacing w:before="400" w:line="360" w:lineRule="auto"/>
        <w:jc w:val="both"/>
        <w:rPr>
          <w:rFonts w:ascii="Arial" w:hAnsi="Arial" w:eastAsia="Arial" w:cs="Arial"/>
          <w:b/>
          <w:bCs/>
          <w:sz w:val="22"/>
          <w:szCs w:val="22"/>
        </w:rPr>
      </w:pPr>
    </w:p>
    <w:p xmlns:wp14="http://schemas.microsoft.com/office/word/2010/wordml" w:rsidR="0091554F" w:rsidP="0091554F" w:rsidRDefault="0091554F" w14:paraId="5DAB6C7B" wp14:textId="77777777">
      <w:pPr>
        <w:spacing w:before="400" w:line="360" w:lineRule="auto"/>
        <w:jc w:val="both"/>
        <w:rPr>
          <w:rFonts w:ascii="Arial" w:hAnsi="Arial" w:eastAsia="Arial" w:cs="Arial"/>
          <w:b/>
          <w:bCs/>
          <w:sz w:val="22"/>
          <w:szCs w:val="22"/>
        </w:rPr>
      </w:pPr>
    </w:p>
    <w:p xmlns:wp14="http://schemas.microsoft.com/office/word/2010/wordml" w:rsidR="0091554F" w:rsidP="0091554F" w:rsidRDefault="0091554F" w14:paraId="02EB378F" wp14:textId="77777777">
      <w:pPr>
        <w:spacing w:before="400" w:line="360" w:lineRule="auto"/>
        <w:jc w:val="both"/>
        <w:rPr>
          <w:rFonts w:ascii="Arial" w:hAnsi="Arial" w:eastAsia="Arial" w:cs="Arial"/>
          <w:b/>
          <w:bCs/>
          <w:sz w:val="22"/>
          <w:szCs w:val="22"/>
        </w:rPr>
      </w:pPr>
    </w:p>
    <w:p w:rsidR="5BBAB2DD" w:rsidP="2CD93975" w:rsidRDefault="5BBAB2DD" w14:paraId="7D58AD34" w14:textId="2474884E">
      <w:pPr>
        <w:spacing w:before="400" w:line="360" w:lineRule="auto"/>
        <w:jc w:val="center"/>
      </w:pPr>
      <w:r w:rsidRPr="2CD93975" w:rsidR="5BBAB2DD">
        <w:rPr>
          <w:rFonts w:ascii="Arial" w:hAnsi="Arial" w:eastAsia="Arial" w:cs="Arial"/>
          <w:b w:val="1"/>
          <w:bCs w:val="1"/>
          <w:color w:val="000000" w:themeColor="text1" w:themeTint="FF" w:themeShade="FF"/>
          <w:sz w:val="22"/>
          <w:szCs w:val="22"/>
        </w:rPr>
        <w:t>BSc (Hons) Health &amp; Social Care</w:t>
      </w:r>
    </w:p>
    <w:p w:rsidR="5BBAB2DD" w:rsidP="2CD93975" w:rsidRDefault="5BBAB2DD" w14:paraId="75FBB76A" w14:textId="06F6BF83">
      <w:pPr>
        <w:spacing w:before="400" w:line="360" w:lineRule="auto"/>
        <w:jc w:val="center"/>
      </w:pPr>
      <w:r w:rsidRPr="2CD93975" w:rsidR="5BBAB2DD">
        <w:rPr>
          <w:rFonts w:ascii="Arial" w:hAnsi="Arial" w:eastAsia="Arial" w:cs="Arial"/>
          <w:b w:val="1"/>
          <w:bCs w:val="1"/>
          <w:color w:val="000000" w:themeColor="text1" w:themeTint="FF" w:themeShade="FF"/>
          <w:sz w:val="22"/>
          <w:szCs w:val="22"/>
        </w:rPr>
        <w:t>BMHP6029</w:t>
      </w:r>
    </w:p>
    <w:p w:rsidR="5BBAB2DD" w:rsidP="2CD93975" w:rsidRDefault="5BBAB2DD" w14:paraId="7367AB9D" w14:textId="466E1E6B">
      <w:pPr>
        <w:spacing w:before="400" w:line="360" w:lineRule="auto"/>
        <w:jc w:val="center"/>
      </w:pPr>
      <w:r w:rsidRPr="2CD93975" w:rsidR="5BBAB2DD">
        <w:rPr>
          <w:rFonts w:ascii="Arial" w:hAnsi="Arial" w:eastAsia="Arial" w:cs="Arial"/>
          <w:b w:val="1"/>
          <w:bCs w:val="1"/>
          <w:color w:val="000000" w:themeColor="text1" w:themeTint="FF" w:themeShade="FF"/>
          <w:sz w:val="22"/>
          <w:szCs w:val="22"/>
        </w:rPr>
        <w:t xml:space="preserve">Salma </w:t>
      </w:r>
      <w:r w:rsidRPr="2CD93975" w:rsidR="5BBAB2DD">
        <w:rPr>
          <w:rFonts w:ascii="Arial" w:hAnsi="Arial" w:eastAsia="Arial" w:cs="Arial"/>
          <w:b w:val="1"/>
          <w:bCs w:val="1"/>
          <w:color w:val="000000" w:themeColor="text1" w:themeTint="FF" w:themeShade="FF"/>
          <w:sz w:val="22"/>
          <w:szCs w:val="22"/>
        </w:rPr>
        <w:t>Rashid</w:t>
      </w:r>
    </w:p>
    <w:p xmlns:wp14="http://schemas.microsoft.com/office/word/2010/wordml" w:rsidRPr="0091554F" w:rsidR="0091554F" w:rsidP="2CD93975" w:rsidRDefault="0091554F" w14:paraId="70E6B497" wp14:textId="6A247E9C">
      <w:pPr>
        <w:spacing w:before="400" w:line="360" w:lineRule="auto"/>
        <w:jc w:val="center"/>
        <w:rPr>
          <w:rFonts w:ascii="Arial" w:hAnsi="Arial" w:eastAsia="Arial" w:cs="Arial"/>
          <w:b w:val="1"/>
          <w:bCs w:val="1"/>
          <w:color w:val="000000" w:themeColor="text1"/>
          <w:sz w:val="22"/>
          <w:szCs w:val="22"/>
        </w:rPr>
      </w:pPr>
      <w:r w:rsidRPr="2CD93975" w:rsidR="0091554F">
        <w:rPr>
          <w:rFonts w:ascii="Arial" w:hAnsi="Arial" w:eastAsia="Arial" w:cs="Arial"/>
          <w:b w:val="1"/>
          <w:bCs w:val="1"/>
          <w:color w:val="000000" w:themeColor="text1" w:themeTint="FF" w:themeShade="FF"/>
          <w:sz w:val="22"/>
          <w:szCs w:val="22"/>
        </w:rPr>
        <w:t>Student Number</w:t>
      </w:r>
      <w:r w:rsidRPr="2CD93975" w:rsidR="3CAA2FB1">
        <w:rPr>
          <w:rFonts w:ascii="Arial" w:hAnsi="Arial" w:eastAsia="Arial" w:cs="Arial"/>
          <w:b w:val="1"/>
          <w:bCs w:val="1"/>
          <w:color w:val="000000" w:themeColor="text1" w:themeTint="FF" w:themeShade="FF"/>
          <w:sz w:val="22"/>
          <w:szCs w:val="22"/>
        </w:rPr>
        <w:t xml:space="preserve"> 2332571</w:t>
      </w:r>
    </w:p>
    <w:p xmlns:wp14="http://schemas.microsoft.com/office/word/2010/wordml" w:rsidRPr="0091554F" w:rsidR="00895609" w:rsidP="0091554F" w:rsidRDefault="00580319" w14:paraId="27195856" wp14:textId="77777777">
      <w:pPr>
        <w:spacing w:before="200" w:line="360" w:lineRule="auto"/>
        <w:jc w:val="center"/>
      </w:pPr>
      <w:r w:rsidRPr="2CD93975" w:rsidR="00580319">
        <w:rPr>
          <w:rFonts w:ascii="Arial" w:hAnsi="Arial" w:eastAsia="Arial" w:cs="Arial"/>
          <w:b w:val="1"/>
          <w:bCs w:val="1"/>
          <w:color w:val="000000" w:themeColor="text1" w:themeTint="FF" w:themeShade="FF"/>
          <w:sz w:val="22"/>
          <w:szCs w:val="22"/>
        </w:rPr>
        <w:t>Psychological Classifications and Provisions</w:t>
      </w:r>
    </w:p>
    <w:p w:rsidR="00EB8E82" w:rsidP="2CD93975" w:rsidRDefault="00EB8E82" w14:paraId="53FA206F" w14:textId="7FAFE4F2">
      <w:pPr>
        <w:spacing w:before="200" w:line="360" w:lineRule="auto"/>
        <w:jc w:val="center"/>
      </w:pPr>
      <w:r w:rsidRPr="2CD93975" w:rsidR="00EB8E82">
        <w:rPr>
          <w:rFonts w:ascii="Arial" w:hAnsi="Arial" w:eastAsia="Arial" w:cs="Arial"/>
          <w:b w:val="1"/>
          <w:bCs w:val="1"/>
          <w:color w:val="000000" w:themeColor="text1" w:themeTint="FF" w:themeShade="FF"/>
          <w:sz w:val="22"/>
          <w:szCs w:val="22"/>
        </w:rPr>
        <w:t>Lecturer Neale Haddon</w:t>
      </w:r>
    </w:p>
    <w:p xmlns:wp14="http://schemas.microsoft.com/office/word/2010/wordml" w:rsidRPr="0091554F" w:rsidR="00895609" w:rsidP="0091554F" w:rsidRDefault="00580319" w14:paraId="6F295773" wp14:textId="77777777">
      <w:pPr>
        <w:spacing w:before="200" w:line="360" w:lineRule="auto"/>
        <w:jc w:val="center"/>
        <w:rPr>
          <w:rFonts w:ascii="Arial" w:hAnsi="Arial" w:cs="Arial"/>
          <w:b/>
          <w:color w:val="000000" w:themeColor="text1"/>
          <w:sz w:val="22"/>
          <w:szCs w:val="22"/>
        </w:rPr>
      </w:pPr>
      <w:r w:rsidRPr="0091554F">
        <w:rPr>
          <w:rFonts w:ascii="Arial" w:hAnsi="Arial" w:eastAsia="Arial" w:cs="Arial"/>
          <w:b/>
          <w:i/>
          <w:iCs/>
          <w:color w:val="000000" w:themeColor="text1"/>
          <w:sz w:val="22"/>
          <w:szCs w:val="22"/>
        </w:rPr>
        <w:t>A Critical Examination of Panic Disorder (ICD-11: 6B01)</w:t>
      </w:r>
    </w:p>
    <w:p xmlns:wp14="http://schemas.microsoft.com/office/word/2010/wordml" w:rsidRPr="0091554F" w:rsidR="00895609" w:rsidP="0091554F" w:rsidRDefault="00580319" w14:paraId="6A05A809" wp14:textId="77777777">
      <w:pPr>
        <w:spacing w:line="360" w:lineRule="auto"/>
        <w:jc w:val="both"/>
        <w:rPr>
          <w:rFonts w:ascii="Arial" w:hAnsi="Arial" w:cs="Arial"/>
          <w:color w:val="000000" w:themeColor="text1"/>
          <w:sz w:val="22"/>
          <w:szCs w:val="22"/>
        </w:rPr>
      </w:pPr>
      <w:r w:rsidRPr="0091554F">
        <w:rPr>
          <w:rFonts w:ascii="Arial" w:hAnsi="Arial" w:cs="Arial"/>
          <w:color w:val="000000" w:themeColor="text1"/>
          <w:sz w:val="22"/>
          <w:szCs w:val="22"/>
        </w:rPr>
        <w:br w:type="page"/>
      </w:r>
    </w:p>
    <w:p xmlns:wp14="http://schemas.microsoft.com/office/word/2010/wordml" w:rsidRPr="0091554F" w:rsidR="00895609" w:rsidP="0091554F" w:rsidRDefault="00895609" w14:paraId="5A39BBE3" wp14:textId="77777777">
      <w:pPr>
        <w:spacing w:line="360" w:lineRule="auto"/>
        <w:jc w:val="both"/>
        <w:rPr>
          <w:rFonts w:ascii="Arial" w:hAnsi="Arial" w:cs="Arial"/>
          <w:color w:val="000000" w:themeColor="text1"/>
          <w:sz w:val="22"/>
          <w:szCs w:val="22"/>
        </w:rPr>
        <w:sectPr w:rsidRPr="0091554F" w:rsidR="00895609">
          <w:pgSz w:w="11906" w:h="16838" w:orient="portrait"/>
          <w:pgMar w:top="1440" w:right="1440" w:bottom="1440" w:left="1440" w:header="708" w:footer="708" w:gutter="0"/>
          <w:cols w:space="720"/>
          <w:docGrid w:linePitch="360"/>
        </w:sectPr>
      </w:pPr>
    </w:p>
    <w:p xmlns:wp14="http://schemas.microsoft.com/office/word/2010/wordml" w:rsidRPr="0091554F" w:rsidR="00895609" w:rsidP="0091554F" w:rsidRDefault="00580319" w14:paraId="4C32FDCA" wp14:textId="77777777">
      <w:pPr>
        <w:pStyle w:val="Heading1"/>
        <w:spacing w:after="300" w:line="360" w:lineRule="auto"/>
        <w:jc w:val="center"/>
        <w:rPr>
          <w:rFonts w:ascii="Arial" w:hAnsi="Arial" w:cs="Arial"/>
          <w:color w:val="000000" w:themeColor="text1"/>
          <w:sz w:val="22"/>
          <w:szCs w:val="22"/>
        </w:rPr>
      </w:pPr>
      <w:r w:rsidRPr="0091554F">
        <w:rPr>
          <w:rFonts w:ascii="Arial" w:hAnsi="Arial" w:eastAsia="Arial" w:cs="Arial"/>
          <w:b/>
          <w:bCs/>
          <w:color w:val="000000" w:themeColor="text1"/>
          <w:sz w:val="22"/>
          <w:szCs w:val="22"/>
        </w:rPr>
        <w:t>A Critical Examination of Panic Disorder as Classified in ICD-11 (6B01)</w:t>
      </w:r>
    </w:p>
    <w:p xmlns:wp14="http://schemas.microsoft.com/office/word/2010/wordml" w:rsidRPr="0091554F" w:rsidR="00895609" w:rsidP="0091554F" w:rsidRDefault="00580319" w14:paraId="3E7A9F1C" wp14:textId="77777777">
      <w:pPr>
        <w:pStyle w:val="Heading1"/>
        <w:spacing w:before="300" w:after="150" w:line="360" w:lineRule="auto"/>
        <w:jc w:val="both"/>
        <w:rPr>
          <w:rFonts w:ascii="Arial" w:hAnsi="Arial" w:cs="Arial"/>
          <w:color w:val="000000" w:themeColor="text1"/>
          <w:sz w:val="22"/>
          <w:szCs w:val="22"/>
        </w:rPr>
      </w:pPr>
      <w:r w:rsidRPr="0091554F">
        <w:rPr>
          <w:rFonts w:ascii="Arial" w:hAnsi="Arial" w:eastAsia="Arial" w:cs="Arial"/>
          <w:b/>
          <w:bCs/>
          <w:color w:val="000000" w:themeColor="text1"/>
          <w:sz w:val="22"/>
          <w:szCs w:val="22"/>
        </w:rPr>
        <w:t>Introduction</w:t>
      </w:r>
    </w:p>
    <w:p xmlns:wp14="http://schemas.microsoft.com/office/word/2010/wordml" w:rsidRPr="0091554F" w:rsidR="0091554F" w:rsidP="0091554F" w:rsidRDefault="0091554F" w14:paraId="6072CDA8" wp14:textId="77777777">
      <w:pPr>
        <w:spacing w:line="360" w:lineRule="auto"/>
        <w:jc w:val="both"/>
        <w:rPr>
          <w:rFonts w:ascii="Arial" w:hAnsi="Arial" w:cs="Arial"/>
          <w:sz w:val="22"/>
          <w:szCs w:val="22"/>
        </w:rPr>
      </w:pPr>
      <w:r w:rsidRPr="0091554F">
        <w:rPr>
          <w:rFonts w:ascii="Arial" w:hAnsi="Arial" w:cs="Arial"/>
          <w:sz w:val="22"/>
          <w:szCs w:val="22"/>
        </w:rPr>
        <w:t xml:space="preserve">Panic disorder is one of the most widely studied disorders of anxiety and fear in today's psychiatric classification. Unexpected and recurrent panic attacks define it, and people worry about their recurrence (World Health Organization, 2024). Anxiety disorders are estimated to affect an estimated 301 million people worldwide and to account for a large proportion of disability-adjusted life years. A large proportion of those with anxiety disorders are not receiving formal care even in health systems with ample resources (Gray et al., 2024). However, panic disorder is commonly not experienced in specialist mental health services, often misdiagnosed as a physical disorder, such as chest pain or breathlessness, and is associated with a delay in diagnosis (Gray et al., 2024). This report critically reviews the ICD-11 classification (F40.2) of panic disorder in the "Anxiety or fear-related disorders" classification group (code 6B00). It reflects the classification process, the method of diagnosis, treatment, and rehabilitation options, addresses current debate about the issues of </w:t>
      </w:r>
      <w:proofErr w:type="spellStart"/>
      <w:r w:rsidRPr="0091554F">
        <w:rPr>
          <w:rFonts w:ascii="Arial" w:hAnsi="Arial" w:cs="Arial"/>
          <w:sz w:val="22"/>
          <w:szCs w:val="22"/>
        </w:rPr>
        <w:t>overdiagnosis</w:t>
      </w:r>
      <w:proofErr w:type="spellEnd"/>
      <w:r w:rsidRPr="0091554F">
        <w:rPr>
          <w:rFonts w:ascii="Arial" w:hAnsi="Arial" w:cs="Arial"/>
          <w:sz w:val="22"/>
          <w:szCs w:val="22"/>
        </w:rPr>
        <w:t xml:space="preserve"> and </w:t>
      </w:r>
      <w:proofErr w:type="spellStart"/>
      <w:r w:rsidRPr="0091554F">
        <w:rPr>
          <w:rFonts w:ascii="Arial" w:hAnsi="Arial" w:cs="Arial"/>
          <w:sz w:val="22"/>
          <w:szCs w:val="22"/>
        </w:rPr>
        <w:t>neurodivergence</w:t>
      </w:r>
      <w:proofErr w:type="spellEnd"/>
      <w:r w:rsidRPr="0091554F">
        <w:rPr>
          <w:rFonts w:ascii="Arial" w:hAnsi="Arial" w:cs="Arial"/>
          <w:sz w:val="22"/>
          <w:szCs w:val="22"/>
        </w:rPr>
        <w:t>, and provides recommendations for the future on how practice, policy, and future research could be improved.</w:t>
      </w:r>
    </w:p>
    <w:p xmlns:wp14="http://schemas.microsoft.com/office/word/2010/wordml" w:rsidRPr="0091554F" w:rsidR="0091554F" w:rsidP="0091554F" w:rsidRDefault="0091554F" w14:paraId="213D3F3A" wp14:textId="77777777">
      <w:pPr>
        <w:spacing w:line="360" w:lineRule="auto"/>
        <w:jc w:val="both"/>
        <w:rPr>
          <w:rFonts w:ascii="Arial" w:hAnsi="Arial" w:cs="Arial"/>
          <w:sz w:val="22"/>
          <w:szCs w:val="22"/>
        </w:rPr>
      </w:pPr>
      <w:r w:rsidRPr="0091554F">
        <w:rPr>
          <w:rFonts w:ascii="Arial" w:hAnsi="Arial" w:cs="Arial"/>
          <w:b/>
          <w:bCs/>
          <w:sz w:val="22"/>
          <w:szCs w:val="22"/>
        </w:rPr>
        <w:t>Classification and Diagnosis</w:t>
      </w:r>
    </w:p>
    <w:p xmlns:wp14="http://schemas.microsoft.com/office/word/2010/wordml" w:rsidRPr="0091554F" w:rsidR="0091554F" w:rsidP="0091554F" w:rsidRDefault="0091554F" w14:paraId="4065F535" wp14:textId="6C975F06">
      <w:pPr>
        <w:spacing w:line="360" w:lineRule="auto"/>
        <w:jc w:val="both"/>
        <w:rPr>
          <w:rFonts w:ascii="Arial" w:hAnsi="Arial" w:cs="Arial"/>
          <w:sz w:val="22"/>
          <w:szCs w:val="22"/>
        </w:rPr>
      </w:pPr>
      <w:r w:rsidRPr="2CD93975" w:rsidR="0091554F">
        <w:rPr>
          <w:rFonts w:ascii="Arial" w:hAnsi="Arial" w:cs="Arial"/>
          <w:sz w:val="22"/>
          <w:szCs w:val="22"/>
        </w:rPr>
        <w:t xml:space="preserve">This revision of </w:t>
      </w:r>
      <w:r w:rsidRPr="2CD93975" w:rsidR="1D285F2D">
        <w:rPr>
          <w:rFonts w:ascii="Arial" w:hAnsi="Arial" w:cs="Arial"/>
          <w:sz w:val="22"/>
          <w:szCs w:val="22"/>
        </w:rPr>
        <w:t>anxiety</w:t>
      </w:r>
      <w:r w:rsidRPr="2CD93975" w:rsidR="0091554F">
        <w:rPr>
          <w:rFonts w:ascii="Arial" w:hAnsi="Arial" w:cs="Arial"/>
          <w:sz w:val="22"/>
          <w:szCs w:val="22"/>
        </w:rPr>
        <w:t xml:space="preserve"> disorders is a major change in the ICD-10. According to </w:t>
      </w:r>
      <w:r w:rsidRPr="2CD93975" w:rsidR="0091554F">
        <w:rPr>
          <w:rFonts w:ascii="Arial" w:hAnsi="Arial" w:cs="Arial"/>
          <w:sz w:val="22"/>
          <w:szCs w:val="22"/>
        </w:rPr>
        <w:t>Kogan</w:t>
      </w:r>
      <w:r w:rsidRPr="2CD93975" w:rsidR="0091554F">
        <w:rPr>
          <w:rFonts w:ascii="Arial" w:hAnsi="Arial" w:cs="Arial"/>
          <w:sz w:val="22"/>
          <w:szCs w:val="22"/>
        </w:rPr>
        <w:t xml:space="preserve"> et al. (2016), the aim of the separation of panic disorder from ICD-10's “neurotic, stress-related and somatoform disorders” is to provide a more clinically useful and internationally applicable classification. Recurrent unexpected panic attacks (sudden, intense periods of fear with symptoms such as palpitations, sweating, trembling, chest pain, and fear of dying, as well as persistent concerns about further attacks or maladaptive changes in behavior related to avoidance of attacks, which cause significant impairment in personal, social, or occupational functioning) are the core features of the disorder per the WHO diagnostic guidelines (World Health Organization, 2024).</w:t>
      </w:r>
      <w:r w:rsidRPr="2CD93975" w:rsidR="0091554F">
        <w:rPr>
          <w:rFonts w:ascii="Arial" w:hAnsi="Arial" w:cs="Arial"/>
          <w:sz w:val="22"/>
          <w:szCs w:val="22"/>
        </w:rPr>
        <w:t xml:space="preserve"> </w:t>
      </w:r>
      <w:r w:rsidRPr="2CD93975" w:rsidR="0091554F">
        <w:rPr>
          <w:rFonts w:ascii="Arial" w:hAnsi="Arial" w:cs="Arial"/>
          <w:sz w:val="22"/>
          <w:szCs w:val="22"/>
        </w:rPr>
        <w:t xml:space="preserve">One of the typical changes is when panic disorder is separated from agoraphobia. As per the ICD-10, agoraphobia was not seen as a disorder on its own, but as a symptom of panic disorder; ICD-11 will allow for agoraphobic avoidance to be diagnosed alone or concurrently with panic disorder. The change brings ICD-11 closer to the DSM-5 and was the result of a global field study that involved various countries and clinical settings and tested the practical use of the proposed ICD-11 criteria by </w:t>
      </w:r>
      <w:r w:rsidRPr="2CD93975" w:rsidR="0091554F">
        <w:rPr>
          <w:rFonts w:ascii="Arial" w:hAnsi="Arial" w:cs="Arial"/>
          <w:sz w:val="22"/>
          <w:szCs w:val="22"/>
        </w:rPr>
        <w:t>practising</w:t>
      </w:r>
      <w:r w:rsidRPr="2CD93975" w:rsidR="0091554F">
        <w:rPr>
          <w:rFonts w:ascii="Arial" w:hAnsi="Arial" w:cs="Arial"/>
          <w:sz w:val="22"/>
          <w:szCs w:val="22"/>
        </w:rPr>
        <w:t xml:space="preserve"> clinicians. The general findings of the study showed that there was good diagnostic agreement, but also that there were culturally specific symptom presentations of panic that were not easily translated into other clinical settings outside the West (</w:t>
      </w:r>
      <w:r w:rsidRPr="2CD93975" w:rsidR="0091554F">
        <w:rPr>
          <w:rFonts w:ascii="Arial" w:hAnsi="Arial" w:cs="Arial"/>
          <w:sz w:val="22"/>
          <w:szCs w:val="22"/>
        </w:rPr>
        <w:t>Rebello</w:t>
      </w:r>
      <w:r w:rsidRPr="2CD93975" w:rsidR="0091554F">
        <w:rPr>
          <w:rFonts w:ascii="Arial" w:hAnsi="Arial" w:cs="Arial"/>
          <w:sz w:val="22"/>
          <w:szCs w:val="22"/>
        </w:rPr>
        <w:t xml:space="preserve"> et al., 2019).</w:t>
      </w:r>
    </w:p>
    <w:p xmlns:wp14="http://schemas.microsoft.com/office/word/2010/wordml" w:rsidRPr="0091554F" w:rsidR="0091554F" w:rsidP="0091554F" w:rsidRDefault="0091554F" w14:paraId="49FE9C25" wp14:textId="77777777">
      <w:pPr>
        <w:spacing w:line="360" w:lineRule="auto"/>
        <w:jc w:val="both"/>
        <w:rPr>
          <w:rFonts w:ascii="Arial" w:hAnsi="Arial" w:cs="Arial"/>
          <w:sz w:val="22"/>
          <w:szCs w:val="22"/>
        </w:rPr>
      </w:pPr>
      <w:r w:rsidRPr="0091554F">
        <w:rPr>
          <w:rFonts w:ascii="Arial" w:hAnsi="Arial" w:cs="Arial"/>
          <w:sz w:val="22"/>
          <w:szCs w:val="22"/>
        </w:rPr>
        <w:t>The language of the classification is self-explanatory. In line with the medical and categorical orientations of ICD-10 and other ICDs for psychopathology, which have been furthered by the implementation of the associated guidelines in the form of prototype lists, the word "disorder" is used throughout ICD-11 more frequently than "illness" or "condition," with the latter requiring fewer symptoms than the prototype lists in ICD-10 (</w:t>
      </w:r>
      <w:proofErr w:type="spellStart"/>
      <w:r w:rsidRPr="0091554F">
        <w:rPr>
          <w:rFonts w:ascii="Arial" w:hAnsi="Arial" w:cs="Arial"/>
          <w:sz w:val="22"/>
          <w:szCs w:val="22"/>
        </w:rPr>
        <w:t>Domschke</w:t>
      </w:r>
      <w:proofErr w:type="spellEnd"/>
      <w:r w:rsidRPr="0091554F">
        <w:rPr>
          <w:rFonts w:ascii="Arial" w:hAnsi="Arial" w:cs="Arial"/>
          <w:sz w:val="22"/>
          <w:szCs w:val="22"/>
        </w:rPr>
        <w:t xml:space="preserve"> and </w:t>
      </w:r>
      <w:proofErr w:type="spellStart"/>
      <w:r w:rsidRPr="0091554F">
        <w:rPr>
          <w:rFonts w:ascii="Arial" w:hAnsi="Arial" w:cs="Arial"/>
          <w:sz w:val="22"/>
          <w:szCs w:val="22"/>
        </w:rPr>
        <w:t>Zwanzger</w:t>
      </w:r>
      <w:proofErr w:type="spellEnd"/>
      <w:r w:rsidRPr="0091554F">
        <w:rPr>
          <w:rFonts w:ascii="Arial" w:hAnsi="Arial" w:cs="Arial"/>
          <w:sz w:val="22"/>
          <w:szCs w:val="22"/>
        </w:rPr>
        <w:t xml:space="preserve">, 2025). In the clinical context, the diagnosis is usually preceded by a structured interview that first rules out medical causes of the diagnosis, such as cardiac or endocrine dysfunction, and substance-induced anxiety, and then the pattern, frequency, and functional consequences of the panic attacks are confirmed. New instruments like the WHO Flexible Interview for ICD-11 have been recently developed to aid more </w:t>
      </w:r>
      <w:proofErr w:type="spellStart"/>
      <w:r w:rsidRPr="0091554F">
        <w:rPr>
          <w:rFonts w:ascii="Arial" w:hAnsi="Arial" w:cs="Arial"/>
          <w:sz w:val="22"/>
          <w:szCs w:val="22"/>
        </w:rPr>
        <w:t>standardised</w:t>
      </w:r>
      <w:proofErr w:type="spellEnd"/>
      <w:r w:rsidRPr="0091554F">
        <w:rPr>
          <w:rFonts w:ascii="Arial" w:hAnsi="Arial" w:cs="Arial"/>
          <w:sz w:val="22"/>
          <w:szCs w:val="22"/>
        </w:rPr>
        <w:t xml:space="preserve"> assessment. Still, there is uncertainty regarding the availability of clinicians able to use these instruments, particularly in less-resourced areas, and the availability of those instruments themselves (</w:t>
      </w:r>
      <w:proofErr w:type="spellStart"/>
      <w:r w:rsidRPr="0091554F">
        <w:rPr>
          <w:rFonts w:ascii="Arial" w:hAnsi="Arial" w:cs="Arial"/>
          <w:sz w:val="22"/>
          <w:szCs w:val="22"/>
        </w:rPr>
        <w:t>Rebello</w:t>
      </w:r>
      <w:proofErr w:type="spellEnd"/>
      <w:r w:rsidRPr="0091554F">
        <w:rPr>
          <w:rFonts w:ascii="Arial" w:hAnsi="Arial" w:cs="Arial"/>
          <w:sz w:val="22"/>
          <w:szCs w:val="22"/>
        </w:rPr>
        <w:t xml:space="preserve"> et al., 2019).</w:t>
      </w:r>
    </w:p>
    <w:p xmlns:wp14="http://schemas.microsoft.com/office/word/2010/wordml" w:rsidRPr="0091554F" w:rsidR="0091554F" w:rsidP="0091554F" w:rsidRDefault="0091554F" w14:paraId="6B37F49C" wp14:textId="77777777">
      <w:pPr>
        <w:spacing w:line="360" w:lineRule="auto"/>
        <w:jc w:val="both"/>
        <w:rPr>
          <w:rFonts w:ascii="Arial" w:hAnsi="Arial" w:cs="Arial"/>
          <w:sz w:val="22"/>
          <w:szCs w:val="22"/>
        </w:rPr>
      </w:pPr>
      <w:r w:rsidRPr="0091554F">
        <w:rPr>
          <w:rFonts w:ascii="Arial" w:hAnsi="Arial" w:cs="Arial"/>
          <w:b/>
          <w:bCs/>
          <w:sz w:val="22"/>
          <w:szCs w:val="22"/>
        </w:rPr>
        <w:t>Treatment and Rehabilitation</w:t>
      </w:r>
    </w:p>
    <w:p xmlns:wp14="http://schemas.microsoft.com/office/word/2010/wordml" w:rsidRPr="0091554F" w:rsidR="0091554F" w:rsidP="0091554F" w:rsidRDefault="0091554F" w14:paraId="7AAB9366" wp14:textId="77777777">
      <w:pPr>
        <w:spacing w:line="360" w:lineRule="auto"/>
        <w:jc w:val="both"/>
        <w:rPr>
          <w:rFonts w:ascii="Arial" w:hAnsi="Arial" w:cs="Arial"/>
          <w:sz w:val="22"/>
          <w:szCs w:val="22"/>
        </w:rPr>
      </w:pPr>
      <w:r w:rsidRPr="0091554F">
        <w:rPr>
          <w:rFonts w:ascii="Arial" w:hAnsi="Arial" w:cs="Arial"/>
          <w:sz w:val="22"/>
          <w:szCs w:val="22"/>
        </w:rPr>
        <w:t xml:space="preserve">Therapy for panic disorder can be psychological, pharmacological, or a combination of both, and is commonly a combination of both in clinical practice. The large effect size for symptom reduction compared to control conditions (Bhattacharya et al., 2023), as well as the consistent recommendations for the use of cognitive </w:t>
      </w:r>
      <w:proofErr w:type="spellStart"/>
      <w:r w:rsidRPr="0091554F">
        <w:rPr>
          <w:rFonts w:ascii="Arial" w:hAnsi="Arial" w:cs="Arial"/>
          <w:sz w:val="22"/>
          <w:szCs w:val="22"/>
        </w:rPr>
        <w:t>behavioural</w:t>
      </w:r>
      <w:proofErr w:type="spellEnd"/>
      <w:r w:rsidRPr="0091554F">
        <w:rPr>
          <w:rFonts w:ascii="Arial" w:hAnsi="Arial" w:cs="Arial"/>
          <w:sz w:val="22"/>
          <w:szCs w:val="22"/>
        </w:rPr>
        <w:t xml:space="preserve"> therapy (CBT) with components of psychoeducation, cognitive restructuring, and </w:t>
      </w:r>
      <w:proofErr w:type="spellStart"/>
      <w:r w:rsidRPr="0091554F">
        <w:rPr>
          <w:rFonts w:ascii="Arial" w:hAnsi="Arial" w:cs="Arial"/>
          <w:sz w:val="22"/>
          <w:szCs w:val="22"/>
        </w:rPr>
        <w:t>interoceptive</w:t>
      </w:r>
      <w:proofErr w:type="spellEnd"/>
      <w:r w:rsidRPr="0091554F">
        <w:rPr>
          <w:rFonts w:ascii="Arial" w:hAnsi="Arial" w:cs="Arial"/>
          <w:sz w:val="22"/>
          <w:szCs w:val="22"/>
        </w:rPr>
        <w:t xml:space="preserve"> or in-vivo exposure, indicate that this is a first-line psychological intervention. Overall, a network meta-analysis of 74 RCTs that included over 6,600 participants found face-to-face group and individual CBT and guided self-help led to significantly greater improvements than TAU. In comparison, the unguided self-help and unguided digital interventions resulted in considerably lower improvements, suggesting that the amount of therapist contact or guidance matters for positive outcomes (</w:t>
      </w:r>
      <w:proofErr w:type="spellStart"/>
      <w:r w:rsidRPr="0091554F">
        <w:rPr>
          <w:rFonts w:ascii="Arial" w:hAnsi="Arial" w:cs="Arial"/>
          <w:sz w:val="22"/>
          <w:szCs w:val="22"/>
        </w:rPr>
        <w:t>Papola</w:t>
      </w:r>
      <w:proofErr w:type="spellEnd"/>
      <w:r w:rsidRPr="0091554F">
        <w:rPr>
          <w:rFonts w:ascii="Arial" w:hAnsi="Arial" w:cs="Arial"/>
          <w:sz w:val="22"/>
          <w:szCs w:val="22"/>
        </w:rPr>
        <w:t xml:space="preserve"> et al., 2023). Although digital treatment has presented various difficulties, some of these can be addressed using </w:t>
      </w:r>
      <w:proofErr w:type="spellStart"/>
      <w:r w:rsidRPr="0091554F">
        <w:rPr>
          <w:rFonts w:ascii="Arial" w:hAnsi="Arial" w:cs="Arial"/>
          <w:sz w:val="22"/>
          <w:szCs w:val="22"/>
        </w:rPr>
        <w:t>interoceptive</w:t>
      </w:r>
      <w:proofErr w:type="spellEnd"/>
      <w:r w:rsidRPr="0091554F">
        <w:rPr>
          <w:rFonts w:ascii="Arial" w:hAnsi="Arial" w:cs="Arial"/>
          <w:sz w:val="22"/>
          <w:szCs w:val="22"/>
        </w:rPr>
        <w:t xml:space="preserve"> exposure and </w:t>
      </w:r>
      <w:proofErr w:type="spellStart"/>
      <w:r w:rsidRPr="0091554F">
        <w:rPr>
          <w:rFonts w:ascii="Arial" w:hAnsi="Arial" w:cs="Arial"/>
          <w:sz w:val="22"/>
          <w:szCs w:val="22"/>
        </w:rPr>
        <w:t>individualising</w:t>
      </w:r>
      <w:proofErr w:type="spellEnd"/>
      <w:r w:rsidRPr="0091554F">
        <w:rPr>
          <w:rFonts w:ascii="Arial" w:hAnsi="Arial" w:cs="Arial"/>
          <w:sz w:val="22"/>
          <w:szCs w:val="22"/>
        </w:rPr>
        <w:t xml:space="preserve"> treatment content, which leaves digital treatment available without compromising its efficacy if designed carefully (Jung et al., 2025).</w:t>
      </w:r>
    </w:p>
    <w:p xmlns:wp14="http://schemas.microsoft.com/office/word/2010/wordml" w:rsidRPr="0091554F" w:rsidR="0091554F" w:rsidP="0091554F" w:rsidRDefault="0091554F" w14:paraId="43720D7C" wp14:textId="399D6F22">
      <w:pPr>
        <w:spacing w:line="360" w:lineRule="auto"/>
        <w:jc w:val="both"/>
        <w:rPr>
          <w:rFonts w:ascii="Arial" w:hAnsi="Arial" w:cs="Arial"/>
          <w:sz w:val="22"/>
          <w:szCs w:val="22"/>
        </w:rPr>
      </w:pPr>
      <w:r w:rsidRPr="2CD93975" w:rsidR="0091554F">
        <w:rPr>
          <w:rFonts w:ascii="Arial" w:hAnsi="Arial" w:cs="Arial"/>
          <w:sz w:val="22"/>
          <w:szCs w:val="22"/>
        </w:rPr>
        <w:t xml:space="preserve">Panic disorder is treated with the use of selective serotonin reuptake inhibitors (SSRIs) as the first-line drug, and benzodiazepine use is recommended only for acute, severe cases, because of the risk of dependency, as recommended by the WHO's Mental Health Gap Action </w:t>
      </w:r>
      <w:r w:rsidRPr="2CD93975" w:rsidR="018F085D">
        <w:rPr>
          <w:rFonts w:ascii="Arial" w:hAnsi="Arial" w:cs="Arial"/>
          <w:sz w:val="22"/>
          <w:szCs w:val="22"/>
        </w:rPr>
        <w:t>Programmed</w:t>
      </w:r>
      <w:r w:rsidRPr="2CD93975" w:rsidR="0091554F">
        <w:rPr>
          <w:rFonts w:ascii="Arial" w:hAnsi="Arial" w:cs="Arial"/>
          <w:sz w:val="22"/>
          <w:szCs w:val="22"/>
        </w:rPr>
        <w:t xml:space="preserve"> (WHO, 2023) (Grey et al., 2024). This is </w:t>
      </w:r>
      <w:r w:rsidRPr="2CD93975" w:rsidR="0091554F">
        <w:rPr>
          <w:rFonts w:ascii="Arial" w:hAnsi="Arial" w:cs="Arial"/>
          <w:sz w:val="22"/>
          <w:szCs w:val="22"/>
        </w:rPr>
        <w:t>generally consistent</w:t>
      </w:r>
      <w:r w:rsidRPr="2CD93975" w:rsidR="0091554F">
        <w:rPr>
          <w:rFonts w:ascii="Arial" w:hAnsi="Arial" w:cs="Arial"/>
          <w:sz w:val="22"/>
          <w:szCs w:val="22"/>
        </w:rPr>
        <w:t xml:space="preserve"> with a recent evidence review, which found that all SSRIs, serotonin-noradrenaline reuptake inhibitors, and tricyclic antidepressants were effective at improving outcomes. Whilst there has been controversy about the efficacy of benzodiazepines, these medications were still effective in the short term. They prescribed more </w:t>
      </w:r>
      <w:r w:rsidRPr="2CD93975" w:rsidR="0091554F">
        <w:rPr>
          <w:rFonts w:ascii="Arial" w:hAnsi="Arial" w:cs="Arial"/>
          <w:sz w:val="22"/>
          <w:szCs w:val="22"/>
        </w:rPr>
        <w:t>frequently</w:t>
      </w:r>
      <w:r w:rsidRPr="2CD93975" w:rsidR="0091554F">
        <w:rPr>
          <w:rFonts w:ascii="Arial" w:hAnsi="Arial" w:cs="Arial"/>
          <w:sz w:val="22"/>
          <w:szCs w:val="22"/>
        </w:rPr>
        <w:t xml:space="preserve"> than guidelines recommended, possibly because they act faster than antidepressants (</w:t>
      </w:r>
      <w:r w:rsidRPr="2CD93975" w:rsidR="0091554F">
        <w:rPr>
          <w:rFonts w:ascii="Arial" w:hAnsi="Arial" w:cs="Arial"/>
          <w:sz w:val="22"/>
          <w:szCs w:val="22"/>
        </w:rPr>
        <w:t>Guaiana</w:t>
      </w:r>
      <w:r w:rsidRPr="2CD93975" w:rsidR="0091554F">
        <w:rPr>
          <w:rFonts w:ascii="Arial" w:hAnsi="Arial" w:cs="Arial"/>
          <w:sz w:val="22"/>
          <w:szCs w:val="22"/>
        </w:rPr>
        <w:t xml:space="preserve"> and Davies, 2025). A systematic review commissioned by the Brazilian Psychiatric Association also revealed that the best </w:t>
      </w:r>
      <w:r w:rsidRPr="2CD93975" w:rsidR="0091554F">
        <w:rPr>
          <w:rFonts w:ascii="Arial" w:hAnsi="Arial" w:cs="Arial"/>
          <w:sz w:val="22"/>
          <w:szCs w:val="22"/>
        </w:rPr>
        <w:t>remission rates were obtained by combined pharmacotherapy and psychotherapy, and benzodiazepines should not be considered as first-line treatment, as they have risks of dependency and relapse after withdrawal (</w:t>
      </w:r>
      <w:r w:rsidRPr="2CD93975" w:rsidR="0091554F">
        <w:rPr>
          <w:rFonts w:ascii="Arial" w:hAnsi="Arial" w:cs="Arial"/>
          <w:sz w:val="22"/>
          <w:szCs w:val="22"/>
        </w:rPr>
        <w:t>Baldaçara</w:t>
      </w:r>
      <w:r w:rsidRPr="2CD93975" w:rsidR="0091554F">
        <w:rPr>
          <w:rFonts w:ascii="Arial" w:hAnsi="Arial" w:cs="Arial"/>
          <w:sz w:val="22"/>
          <w:szCs w:val="22"/>
        </w:rPr>
        <w:t xml:space="preserve"> et al., 2025).</w:t>
      </w:r>
    </w:p>
    <w:p xmlns:wp14="http://schemas.microsoft.com/office/word/2010/wordml" w:rsidRPr="0091554F" w:rsidR="0091554F" w:rsidP="0091554F" w:rsidRDefault="0091554F" w14:paraId="334B6CEB" wp14:textId="77777777">
      <w:pPr>
        <w:spacing w:line="360" w:lineRule="auto"/>
        <w:jc w:val="both"/>
        <w:rPr>
          <w:rFonts w:ascii="Arial" w:hAnsi="Arial" w:cs="Arial"/>
          <w:sz w:val="22"/>
          <w:szCs w:val="22"/>
        </w:rPr>
      </w:pPr>
      <w:r w:rsidRPr="0091554F">
        <w:rPr>
          <w:rFonts w:ascii="Arial" w:hAnsi="Arial" w:cs="Arial"/>
          <w:sz w:val="22"/>
          <w:szCs w:val="22"/>
        </w:rPr>
        <w:t>ICD-11 is not a treatment or services planning framework, but there is relatively little focus on rehabilitation, beyond symptom remission. Realistically, rehabilitation for panic disorder is targeted at preventing a relapse and involves a gradual re-entry process to the environments that the person has avoided, particularly those where agoraphobic avoidance has developed, and attempts to address and resolve the great functional and occupational dysfunction that is frequently found in chronic persistent presentations of panic disorder (Grey et al., 2024). These interventions are effective for CBT-based relapse prevention, but there are some limitations: drop-out rates are low in intensive exposure-based treatments, but there is not widespread access to psychological specialist treatment outside high-income countries; and there is a global treatment gap, with estimates being that three-quarters of people with anxiety disorders receive no care at all (Grey et al., 2024). The importance of task-shifted mental health approaches is further highlighted in LMICs, where insufficient staffing levels of mental health staff and inadequate resources for mental health services exist, and where provision of shorter and more focused psychological interventions by trained non-specialists under supervision (Grey et al., 2024) is provided. In addition, workplace and school accommodations, including flexible schedules when actively seeking treatment, are also now seen as another form of rehabilitation; disruptions to the workplace and school are among the most long-lasting effects of untreated panic disorder (Grey et al., 2024).</w:t>
      </w:r>
    </w:p>
    <w:p xmlns:wp14="http://schemas.microsoft.com/office/word/2010/wordml" w:rsidRPr="0091554F" w:rsidR="0091554F" w:rsidP="0091554F" w:rsidRDefault="0091554F" w14:paraId="042F258B" wp14:textId="77777777">
      <w:pPr>
        <w:spacing w:line="360" w:lineRule="auto"/>
        <w:jc w:val="both"/>
        <w:rPr>
          <w:rFonts w:ascii="Arial" w:hAnsi="Arial" w:cs="Arial"/>
          <w:sz w:val="22"/>
          <w:szCs w:val="22"/>
        </w:rPr>
      </w:pPr>
      <w:r w:rsidRPr="0091554F">
        <w:rPr>
          <w:rFonts w:ascii="Arial" w:hAnsi="Arial" w:cs="Arial"/>
          <w:b/>
          <w:bCs/>
          <w:sz w:val="22"/>
          <w:szCs w:val="22"/>
        </w:rPr>
        <w:t>Current Debates and Emerging Issues</w:t>
      </w:r>
    </w:p>
    <w:p xmlns:wp14="http://schemas.microsoft.com/office/word/2010/wordml" w:rsidRPr="0091554F" w:rsidR="0091554F" w:rsidP="0091554F" w:rsidRDefault="0091554F" w14:paraId="5524E9F4" wp14:textId="30C20455">
      <w:pPr>
        <w:spacing w:line="360" w:lineRule="auto"/>
        <w:jc w:val="both"/>
        <w:rPr>
          <w:rFonts w:ascii="Arial" w:hAnsi="Arial" w:cs="Arial"/>
          <w:sz w:val="22"/>
          <w:szCs w:val="22"/>
        </w:rPr>
      </w:pPr>
      <w:r w:rsidRPr="2CD93975" w:rsidR="0091554F">
        <w:rPr>
          <w:rFonts w:ascii="Arial" w:hAnsi="Arial" w:cs="Arial"/>
          <w:sz w:val="22"/>
          <w:szCs w:val="22"/>
        </w:rPr>
        <w:t xml:space="preserve">From a classification perspective, there are several debates </w:t>
      </w:r>
      <w:r w:rsidRPr="2CD93975" w:rsidR="0091554F">
        <w:rPr>
          <w:rFonts w:ascii="Arial" w:hAnsi="Arial" w:cs="Arial"/>
          <w:sz w:val="22"/>
          <w:szCs w:val="22"/>
        </w:rPr>
        <w:t>regarding</w:t>
      </w:r>
      <w:r w:rsidRPr="2CD93975" w:rsidR="0091554F">
        <w:rPr>
          <w:rFonts w:ascii="Arial" w:hAnsi="Arial" w:cs="Arial"/>
          <w:sz w:val="22"/>
          <w:szCs w:val="22"/>
        </w:rPr>
        <w:t xml:space="preserve"> panic </w:t>
      </w:r>
      <w:r w:rsidRPr="2CD93975" w:rsidR="0C99A78D">
        <w:rPr>
          <w:rFonts w:ascii="Arial" w:hAnsi="Arial" w:cs="Arial"/>
          <w:sz w:val="22"/>
          <w:szCs w:val="22"/>
        </w:rPr>
        <w:t>disorders</w:t>
      </w:r>
      <w:r w:rsidRPr="2CD93975" w:rsidR="0091554F">
        <w:rPr>
          <w:rFonts w:ascii="Arial" w:hAnsi="Arial" w:cs="Arial"/>
          <w:sz w:val="22"/>
          <w:szCs w:val="22"/>
        </w:rPr>
        <w:t xml:space="preserve">, as well as from a treatment perspective. The first relates to the general issue of psychiatric </w:t>
      </w:r>
      <w:r w:rsidRPr="2CD93975" w:rsidR="0091554F">
        <w:rPr>
          <w:rFonts w:ascii="Arial" w:hAnsi="Arial" w:cs="Arial"/>
          <w:sz w:val="22"/>
          <w:szCs w:val="22"/>
        </w:rPr>
        <w:t>overdiagnosis</w:t>
      </w:r>
      <w:r w:rsidRPr="2CD93975" w:rsidR="0091554F">
        <w:rPr>
          <w:rFonts w:ascii="Arial" w:hAnsi="Arial" w:cs="Arial"/>
          <w:sz w:val="22"/>
          <w:szCs w:val="22"/>
        </w:rPr>
        <w:t>. Others have proposed that the various revisions of the classifications over time have reduced the requirements for exhibiting symptoms but increased the number of diagnostic classifications, which can cause normal emotional reactions to stress to be "</w:t>
      </w:r>
      <w:r w:rsidRPr="2CD93975" w:rsidR="0091554F">
        <w:rPr>
          <w:rFonts w:ascii="Arial" w:hAnsi="Arial" w:cs="Arial"/>
          <w:sz w:val="22"/>
          <w:szCs w:val="22"/>
        </w:rPr>
        <w:t>pathologised</w:t>
      </w:r>
      <w:r w:rsidRPr="2CD93975" w:rsidR="0091554F">
        <w:rPr>
          <w:rFonts w:ascii="Arial" w:hAnsi="Arial" w:cs="Arial"/>
          <w:sz w:val="22"/>
          <w:szCs w:val="22"/>
        </w:rPr>
        <w:t>" and so over-</w:t>
      </w:r>
      <w:r w:rsidRPr="2CD93975" w:rsidR="0091554F">
        <w:rPr>
          <w:rFonts w:ascii="Arial" w:hAnsi="Arial" w:cs="Arial"/>
          <w:sz w:val="22"/>
          <w:szCs w:val="22"/>
        </w:rPr>
        <w:t>pathologise</w:t>
      </w:r>
      <w:r w:rsidRPr="2CD93975" w:rsidR="0091554F">
        <w:rPr>
          <w:rFonts w:ascii="Arial" w:hAnsi="Arial" w:cs="Arial"/>
          <w:sz w:val="22"/>
          <w:szCs w:val="22"/>
        </w:rPr>
        <w:t xml:space="preserve"> the fear response to stress (Paris, 2015). Others suggest that the apparent increase in the number of cases diagnosed is attributable to increased recognition, reduced stigma, and increased epidemiological surveillance rather than </w:t>
      </w:r>
      <w:r w:rsidRPr="2CD93975" w:rsidR="0091554F">
        <w:rPr>
          <w:rFonts w:ascii="Arial" w:hAnsi="Arial" w:cs="Arial"/>
          <w:sz w:val="22"/>
          <w:szCs w:val="22"/>
        </w:rPr>
        <w:t>overdiagnosis</w:t>
      </w:r>
      <w:r w:rsidRPr="2CD93975" w:rsidR="0091554F">
        <w:rPr>
          <w:rFonts w:ascii="Arial" w:hAnsi="Arial" w:cs="Arial"/>
          <w:sz w:val="22"/>
          <w:szCs w:val="22"/>
        </w:rPr>
        <w:t>, and that the performance of diagnostic accuracy is not necessarily linked to the increasing number of cases being diagnosed, as it is a facet of the problem in this discussion (</w:t>
      </w:r>
      <w:r w:rsidRPr="2CD93975" w:rsidR="0091554F">
        <w:rPr>
          <w:rFonts w:ascii="Arial" w:hAnsi="Arial" w:cs="Arial"/>
          <w:sz w:val="22"/>
          <w:szCs w:val="22"/>
        </w:rPr>
        <w:t>Aftab</w:t>
      </w:r>
      <w:r w:rsidRPr="2CD93975" w:rsidR="0091554F">
        <w:rPr>
          <w:rFonts w:ascii="Arial" w:hAnsi="Arial" w:cs="Arial"/>
          <w:sz w:val="22"/>
          <w:szCs w:val="22"/>
        </w:rPr>
        <w:t xml:space="preserve"> 2025). </w:t>
      </w:r>
      <w:r w:rsidRPr="2CD93975" w:rsidR="0091554F">
        <w:rPr>
          <w:rFonts w:ascii="Arial" w:hAnsi="Arial" w:cs="Arial"/>
          <w:sz w:val="22"/>
          <w:szCs w:val="22"/>
        </w:rPr>
        <w:t>This tension is echoed across the psychiatry field, in a parallel way with a number of other conditions, including an advocacy for more conservative diagnostic thresholds (impairment-based) across the field (The Lancet, 2023).</w:t>
      </w:r>
    </w:p>
    <w:p xmlns:wp14="http://schemas.microsoft.com/office/word/2010/wordml" w:rsidRPr="0091554F" w:rsidR="0091554F" w:rsidP="0091554F" w:rsidRDefault="0091554F" w14:paraId="7433E782" wp14:textId="37B21F8B">
      <w:pPr>
        <w:spacing w:line="360" w:lineRule="auto"/>
        <w:jc w:val="both"/>
        <w:rPr>
          <w:rFonts w:ascii="Arial" w:hAnsi="Arial" w:cs="Arial"/>
          <w:sz w:val="22"/>
          <w:szCs w:val="22"/>
        </w:rPr>
      </w:pPr>
      <w:r w:rsidRPr="2CD93975" w:rsidR="0091554F">
        <w:rPr>
          <w:rFonts w:ascii="Arial" w:hAnsi="Arial" w:cs="Arial"/>
          <w:sz w:val="22"/>
          <w:szCs w:val="22"/>
        </w:rPr>
        <w:t xml:space="preserve">Another related debacle is the influence of </w:t>
      </w:r>
      <w:r w:rsidRPr="2CD93975" w:rsidR="0091554F">
        <w:rPr>
          <w:rFonts w:ascii="Arial" w:hAnsi="Arial" w:cs="Arial"/>
          <w:sz w:val="22"/>
          <w:szCs w:val="22"/>
        </w:rPr>
        <w:t>neurodivergence</w:t>
      </w:r>
      <w:r w:rsidRPr="2CD93975" w:rsidR="0091554F">
        <w:rPr>
          <w:rFonts w:ascii="Arial" w:hAnsi="Arial" w:cs="Arial"/>
          <w:sz w:val="22"/>
          <w:szCs w:val="22"/>
        </w:rPr>
        <w:t xml:space="preserve"> and the broader neurodiversity movement on the understanding of anxiety-related conditions. The concept of neurodiversity </w:t>
      </w:r>
      <w:r w:rsidRPr="2CD93975" w:rsidR="0091554F">
        <w:rPr>
          <w:rFonts w:ascii="Arial" w:hAnsi="Arial" w:cs="Arial"/>
          <w:sz w:val="22"/>
          <w:szCs w:val="22"/>
        </w:rPr>
        <w:t>was initially very much related to autism and attention-deficit/hyperactivity disorder (ADHD</w:t>
      </w:r>
      <w:r w:rsidRPr="2CD93975" w:rsidR="53F8AEFB">
        <w:rPr>
          <w:rFonts w:ascii="Arial" w:hAnsi="Arial" w:cs="Arial"/>
          <w:sz w:val="22"/>
          <w:szCs w:val="22"/>
        </w:rPr>
        <w:t>) but</w:t>
      </w:r>
      <w:r w:rsidRPr="2CD93975" w:rsidR="0091554F">
        <w:rPr>
          <w:rFonts w:ascii="Arial" w:hAnsi="Arial" w:cs="Arial"/>
          <w:sz w:val="22"/>
          <w:szCs w:val="22"/>
        </w:rPr>
        <w:t xml:space="preserve"> has implications for the framing and diagnosis of panic disorder (</w:t>
      </w:r>
      <w:r w:rsidRPr="2CD93975" w:rsidR="0091554F">
        <w:rPr>
          <w:rFonts w:ascii="Arial" w:hAnsi="Arial" w:cs="Arial"/>
          <w:sz w:val="22"/>
          <w:szCs w:val="22"/>
        </w:rPr>
        <w:t>Troisi</w:t>
      </w:r>
      <w:r w:rsidRPr="2CD93975" w:rsidR="0091554F">
        <w:rPr>
          <w:rFonts w:ascii="Arial" w:hAnsi="Arial" w:cs="Arial"/>
          <w:sz w:val="22"/>
          <w:szCs w:val="22"/>
        </w:rPr>
        <w:t xml:space="preserve">, 2025). Such increased anxiety sensitivity as a natural variation of </w:t>
      </w:r>
      <w:r w:rsidRPr="2CD93975" w:rsidR="0091554F">
        <w:rPr>
          <w:rFonts w:ascii="Arial" w:hAnsi="Arial" w:cs="Arial"/>
          <w:sz w:val="22"/>
          <w:szCs w:val="22"/>
        </w:rPr>
        <w:t>neurocognition</w:t>
      </w:r>
      <w:r w:rsidRPr="2CD93975" w:rsidR="0091554F">
        <w:rPr>
          <w:rFonts w:ascii="Arial" w:hAnsi="Arial" w:cs="Arial"/>
          <w:sz w:val="22"/>
          <w:szCs w:val="22"/>
        </w:rPr>
        <w:t xml:space="preserve"> may also help to reduce the stigma of this phenomenon and help </w:t>
      </w:r>
      <w:r w:rsidRPr="2CD93975" w:rsidR="0091554F">
        <w:rPr>
          <w:rFonts w:ascii="Arial" w:hAnsi="Arial" w:cs="Arial"/>
          <w:sz w:val="22"/>
          <w:szCs w:val="22"/>
        </w:rPr>
        <w:t>identify</w:t>
      </w:r>
      <w:r w:rsidRPr="2CD93975" w:rsidR="0091554F">
        <w:rPr>
          <w:rFonts w:ascii="Arial" w:hAnsi="Arial" w:cs="Arial"/>
          <w:sz w:val="22"/>
          <w:szCs w:val="22"/>
        </w:rPr>
        <w:t xml:space="preserve"> individuals who have been underdiagnosed due to biased diagnostic criteria and clinician assumptions, especially for </w:t>
      </w:r>
      <w:r w:rsidRPr="2CD93975" w:rsidR="0091554F">
        <w:rPr>
          <w:rFonts w:ascii="Arial" w:hAnsi="Arial" w:cs="Arial"/>
          <w:sz w:val="22"/>
          <w:szCs w:val="22"/>
        </w:rPr>
        <w:t>marginalised</w:t>
      </w:r>
      <w:r w:rsidRPr="2CD93975" w:rsidR="0091554F">
        <w:rPr>
          <w:rFonts w:ascii="Arial" w:hAnsi="Arial" w:cs="Arial"/>
          <w:sz w:val="22"/>
          <w:szCs w:val="22"/>
        </w:rPr>
        <w:t xml:space="preserve"> groups. On the other hand, critics claim that at the very extreme end of the spectrum, this description may fall into the trap of diagnostic nihilism, the idea that there are no real disorders that give rise to cognitive strengths for a person that persist in their life and that this could lead individuals to avoid effective and evidence-based treatments, as panic disorder is typically not linked to persistent cognitive strengths but to acute distress and overt dysfunction (</w:t>
      </w:r>
      <w:r w:rsidRPr="2CD93975" w:rsidR="0091554F">
        <w:rPr>
          <w:rFonts w:ascii="Arial" w:hAnsi="Arial" w:cs="Arial"/>
          <w:sz w:val="22"/>
          <w:szCs w:val="22"/>
        </w:rPr>
        <w:t>Troisi</w:t>
      </w:r>
      <w:r w:rsidRPr="2CD93975" w:rsidR="0091554F">
        <w:rPr>
          <w:rFonts w:ascii="Arial" w:hAnsi="Arial" w:cs="Arial"/>
          <w:sz w:val="22"/>
          <w:szCs w:val="22"/>
        </w:rPr>
        <w:t>, 2025).</w:t>
      </w:r>
    </w:p>
    <w:p xmlns:wp14="http://schemas.microsoft.com/office/word/2010/wordml" w:rsidRPr="0091554F" w:rsidR="0091554F" w:rsidP="0091554F" w:rsidRDefault="0091554F" w14:paraId="6CAF0186" wp14:textId="77777777">
      <w:pPr>
        <w:spacing w:line="360" w:lineRule="auto"/>
        <w:jc w:val="both"/>
        <w:rPr>
          <w:rFonts w:ascii="Arial" w:hAnsi="Arial" w:cs="Arial"/>
          <w:sz w:val="22"/>
          <w:szCs w:val="22"/>
        </w:rPr>
      </w:pPr>
      <w:r w:rsidRPr="0091554F">
        <w:rPr>
          <w:rFonts w:ascii="Arial" w:hAnsi="Arial" w:cs="Arial"/>
          <w:sz w:val="22"/>
          <w:szCs w:val="22"/>
        </w:rPr>
        <w:t>The third debating point is that of access to and equity in treatment. Both CBT formats (digital and guided) have been effective in addressing the global treatment gap; however, results indicating that unguided digital interventions may be less effective than guided versions suggest that, if the global treatment gap is not addressed with guided versions, it could be widened by low-cost, unguided digital versions (</w:t>
      </w:r>
      <w:proofErr w:type="spellStart"/>
      <w:r w:rsidRPr="0091554F">
        <w:rPr>
          <w:rFonts w:ascii="Arial" w:hAnsi="Arial" w:cs="Arial"/>
          <w:sz w:val="22"/>
          <w:szCs w:val="22"/>
        </w:rPr>
        <w:t>Papola</w:t>
      </w:r>
      <w:proofErr w:type="spellEnd"/>
      <w:r w:rsidRPr="0091554F">
        <w:rPr>
          <w:rFonts w:ascii="Arial" w:hAnsi="Arial" w:cs="Arial"/>
          <w:sz w:val="22"/>
          <w:szCs w:val="22"/>
        </w:rPr>
        <w:t xml:space="preserve"> et al., 2023). Likewise, while the guidelines have agreed that there is no evidence to support routine prescribing of benzodiazepines, this is not reflected in the practices of many health systems, which prescribe benzodiazepines for the convenience of their users and their efficacy in alleviating symptoms (</w:t>
      </w:r>
      <w:proofErr w:type="spellStart"/>
      <w:r w:rsidRPr="0091554F">
        <w:rPr>
          <w:rFonts w:ascii="Arial" w:hAnsi="Arial" w:cs="Arial"/>
          <w:sz w:val="22"/>
          <w:szCs w:val="22"/>
        </w:rPr>
        <w:t>Guaiana</w:t>
      </w:r>
      <w:proofErr w:type="spellEnd"/>
      <w:r w:rsidRPr="0091554F">
        <w:rPr>
          <w:rFonts w:ascii="Arial" w:hAnsi="Arial" w:cs="Arial"/>
          <w:sz w:val="22"/>
          <w:szCs w:val="22"/>
        </w:rPr>
        <w:t xml:space="preserve"> and Davies, 2025). These debates have repercussions beyond the technical, as these systems of classification impact funding priorities, reimbursement for mental health services, and public perceptions of conditions, with real-world implications on who receives care and how (</w:t>
      </w:r>
      <w:proofErr w:type="spellStart"/>
      <w:r w:rsidRPr="0091554F">
        <w:rPr>
          <w:rFonts w:ascii="Arial" w:hAnsi="Arial" w:cs="Arial"/>
          <w:sz w:val="22"/>
          <w:szCs w:val="22"/>
        </w:rPr>
        <w:t>Kogan</w:t>
      </w:r>
      <w:proofErr w:type="spellEnd"/>
      <w:r w:rsidRPr="0091554F">
        <w:rPr>
          <w:rFonts w:ascii="Arial" w:hAnsi="Arial" w:cs="Arial"/>
          <w:sz w:val="22"/>
          <w:szCs w:val="22"/>
        </w:rPr>
        <w:t xml:space="preserve"> et al., 2016).</w:t>
      </w:r>
    </w:p>
    <w:p xmlns:wp14="http://schemas.microsoft.com/office/word/2010/wordml" w:rsidRPr="0091554F" w:rsidR="0091554F" w:rsidP="0091554F" w:rsidRDefault="0091554F" w14:paraId="6F18CB14" wp14:textId="77777777">
      <w:pPr>
        <w:spacing w:line="360" w:lineRule="auto"/>
        <w:jc w:val="both"/>
        <w:rPr>
          <w:rFonts w:ascii="Arial" w:hAnsi="Arial" w:cs="Arial"/>
          <w:sz w:val="22"/>
          <w:szCs w:val="22"/>
        </w:rPr>
      </w:pPr>
      <w:r w:rsidRPr="0091554F">
        <w:rPr>
          <w:rFonts w:ascii="Arial" w:hAnsi="Arial" w:cs="Arial"/>
          <w:b/>
          <w:bCs/>
          <w:sz w:val="22"/>
          <w:szCs w:val="22"/>
        </w:rPr>
        <w:t>Recommendations</w:t>
      </w:r>
    </w:p>
    <w:p xmlns:wp14="http://schemas.microsoft.com/office/word/2010/wordml" w:rsidRPr="0091554F" w:rsidR="0091554F" w:rsidP="0091554F" w:rsidRDefault="0091554F" w14:paraId="211D8438" wp14:textId="77777777">
      <w:pPr>
        <w:spacing w:line="360" w:lineRule="auto"/>
        <w:jc w:val="both"/>
        <w:rPr>
          <w:rFonts w:ascii="Arial" w:hAnsi="Arial" w:cs="Arial"/>
          <w:sz w:val="22"/>
          <w:szCs w:val="22"/>
        </w:rPr>
      </w:pPr>
      <w:r w:rsidRPr="0091554F">
        <w:rPr>
          <w:rFonts w:ascii="Arial" w:hAnsi="Arial" w:cs="Arial"/>
          <w:sz w:val="22"/>
          <w:szCs w:val="22"/>
        </w:rPr>
        <w:t>The analysis has a number of recommendations. First, more investment in clinician training on the WHO Flexible Interview and ICD-11 diagnostic criteria would help to overcome the cross-cultural inconsistencies found during the global field trials, thus reducing the risk that the development of diagnostic reliability may be limited to high-resource settings (</w:t>
      </w:r>
      <w:proofErr w:type="spellStart"/>
      <w:r w:rsidRPr="0091554F">
        <w:rPr>
          <w:rFonts w:ascii="Arial" w:hAnsi="Arial" w:cs="Arial"/>
          <w:sz w:val="22"/>
          <w:szCs w:val="22"/>
        </w:rPr>
        <w:t>Rebello</w:t>
      </w:r>
      <w:proofErr w:type="spellEnd"/>
      <w:r w:rsidRPr="0091554F">
        <w:rPr>
          <w:rFonts w:ascii="Arial" w:hAnsi="Arial" w:cs="Arial"/>
          <w:sz w:val="22"/>
          <w:szCs w:val="22"/>
        </w:rPr>
        <w:t xml:space="preserve"> et al., 2019). Second, health systems introducing digital tools to health and wellbeing or implementing telehealth or app-based CBT should account for models that allow for some level of guidance or supervision, as models that seem to only be cost-effective because they are digital have been shown to be riskier (</w:t>
      </w:r>
      <w:proofErr w:type="spellStart"/>
      <w:r w:rsidRPr="0091554F">
        <w:rPr>
          <w:rFonts w:ascii="Arial" w:hAnsi="Arial" w:cs="Arial"/>
          <w:sz w:val="22"/>
          <w:szCs w:val="22"/>
        </w:rPr>
        <w:t>Papola</w:t>
      </w:r>
      <w:proofErr w:type="spellEnd"/>
      <w:r w:rsidRPr="0091554F">
        <w:rPr>
          <w:rFonts w:ascii="Arial" w:hAnsi="Arial" w:cs="Arial"/>
          <w:sz w:val="22"/>
          <w:szCs w:val="22"/>
        </w:rPr>
        <w:t xml:space="preserve"> et al., 2023). Third, prescribing guidelines alone do not seem to have a significant effect on prescribing practice in the real world; structural incentives, audit and feedback processes, and greater access to SSRIs should be combined with prescribing guidelines against the use of benzodiazepines (</w:t>
      </w:r>
      <w:proofErr w:type="spellStart"/>
      <w:r w:rsidRPr="0091554F">
        <w:rPr>
          <w:rFonts w:ascii="Arial" w:hAnsi="Arial" w:cs="Arial"/>
          <w:sz w:val="22"/>
          <w:szCs w:val="22"/>
        </w:rPr>
        <w:t>Guaiana</w:t>
      </w:r>
      <w:proofErr w:type="spellEnd"/>
      <w:r w:rsidRPr="0091554F">
        <w:rPr>
          <w:rFonts w:ascii="Arial" w:hAnsi="Arial" w:cs="Arial"/>
          <w:sz w:val="22"/>
          <w:szCs w:val="22"/>
        </w:rPr>
        <w:t xml:space="preserve"> and Davies, 2025). Lastly, future revisions to ICD should aim to include more explicit guidelines on how to differentiate clinical from non-clinical anxiety sensitivity in order to </w:t>
      </w:r>
      <w:proofErr w:type="spellStart"/>
      <w:r w:rsidRPr="0091554F">
        <w:rPr>
          <w:rFonts w:ascii="Arial" w:hAnsi="Arial" w:cs="Arial"/>
          <w:sz w:val="22"/>
          <w:szCs w:val="22"/>
        </w:rPr>
        <w:t>destigmatise</w:t>
      </w:r>
      <w:proofErr w:type="spellEnd"/>
      <w:r w:rsidRPr="0091554F">
        <w:rPr>
          <w:rFonts w:ascii="Arial" w:hAnsi="Arial" w:cs="Arial"/>
          <w:sz w:val="22"/>
          <w:szCs w:val="22"/>
        </w:rPr>
        <w:t xml:space="preserve"> </w:t>
      </w:r>
      <w:r w:rsidRPr="0091554F">
        <w:rPr>
          <w:rFonts w:ascii="Arial" w:hAnsi="Arial" w:cs="Arial"/>
          <w:sz w:val="22"/>
          <w:szCs w:val="22"/>
        </w:rPr>
        <w:t xml:space="preserve">panic disorder while ensuring that people who truly need it continue to have access to it; this balance needs to be struck between </w:t>
      </w:r>
      <w:proofErr w:type="spellStart"/>
      <w:r w:rsidRPr="0091554F">
        <w:rPr>
          <w:rFonts w:ascii="Arial" w:hAnsi="Arial" w:cs="Arial"/>
          <w:sz w:val="22"/>
          <w:szCs w:val="22"/>
        </w:rPr>
        <w:t>destigmatisation</w:t>
      </w:r>
      <w:proofErr w:type="spellEnd"/>
      <w:r w:rsidRPr="0091554F">
        <w:rPr>
          <w:rFonts w:ascii="Arial" w:hAnsi="Arial" w:cs="Arial"/>
          <w:sz w:val="22"/>
          <w:szCs w:val="22"/>
        </w:rPr>
        <w:t xml:space="preserve"> and the need for continuing access to effective treatments for those who need them (</w:t>
      </w:r>
      <w:proofErr w:type="spellStart"/>
      <w:r w:rsidRPr="0091554F">
        <w:rPr>
          <w:rFonts w:ascii="Arial" w:hAnsi="Arial" w:cs="Arial"/>
          <w:sz w:val="22"/>
          <w:szCs w:val="22"/>
        </w:rPr>
        <w:t>Troisi</w:t>
      </w:r>
      <w:proofErr w:type="spellEnd"/>
      <w:r w:rsidRPr="0091554F">
        <w:rPr>
          <w:rFonts w:ascii="Arial" w:hAnsi="Arial" w:cs="Arial"/>
          <w:sz w:val="22"/>
          <w:szCs w:val="22"/>
        </w:rPr>
        <w:t>, 2025).</w:t>
      </w:r>
    </w:p>
    <w:p xmlns:wp14="http://schemas.microsoft.com/office/word/2010/wordml" w:rsidRPr="0091554F" w:rsidR="0091554F" w:rsidP="0091554F" w:rsidRDefault="0091554F" w14:paraId="2B2A7A39" wp14:textId="77777777">
      <w:pPr>
        <w:spacing w:line="360" w:lineRule="auto"/>
        <w:jc w:val="both"/>
        <w:rPr>
          <w:rFonts w:ascii="Arial" w:hAnsi="Arial" w:cs="Arial"/>
          <w:sz w:val="22"/>
          <w:szCs w:val="22"/>
        </w:rPr>
      </w:pPr>
      <w:r w:rsidRPr="0091554F">
        <w:rPr>
          <w:rFonts w:ascii="Arial" w:hAnsi="Arial" w:cs="Arial"/>
          <w:b/>
          <w:bCs/>
          <w:sz w:val="22"/>
          <w:szCs w:val="22"/>
        </w:rPr>
        <w:t>Conclusion</w:t>
      </w:r>
    </w:p>
    <w:p xmlns:wp14="http://schemas.microsoft.com/office/word/2010/wordml" w:rsidRPr="0091554F" w:rsidR="0091554F" w:rsidP="0091554F" w:rsidRDefault="0091554F" w14:paraId="60F8E368" wp14:textId="77777777">
      <w:pPr>
        <w:spacing w:line="360" w:lineRule="auto"/>
        <w:jc w:val="both"/>
        <w:rPr>
          <w:rFonts w:ascii="Arial" w:hAnsi="Arial" w:cs="Arial"/>
          <w:sz w:val="22"/>
          <w:szCs w:val="22"/>
        </w:rPr>
      </w:pPr>
      <w:r w:rsidRPr="0091554F">
        <w:rPr>
          <w:rFonts w:ascii="Arial" w:hAnsi="Arial" w:cs="Arial"/>
          <w:sz w:val="22"/>
          <w:szCs w:val="22"/>
        </w:rPr>
        <w:t xml:space="preserve">The ICD-11 classification of panic disorder is the fruit of the </w:t>
      </w:r>
      <w:proofErr w:type="spellStart"/>
      <w:r w:rsidRPr="0091554F">
        <w:rPr>
          <w:rFonts w:ascii="Arial" w:hAnsi="Arial" w:cs="Arial"/>
          <w:sz w:val="22"/>
          <w:szCs w:val="22"/>
        </w:rPr>
        <w:t>labours</w:t>
      </w:r>
      <w:proofErr w:type="spellEnd"/>
      <w:r w:rsidRPr="0091554F">
        <w:rPr>
          <w:rFonts w:ascii="Arial" w:hAnsi="Arial" w:cs="Arial"/>
          <w:sz w:val="22"/>
          <w:szCs w:val="22"/>
        </w:rPr>
        <w:t xml:space="preserve"> of careful efforts to make the diagnosis more precise, more useful, and more applicable across cultures, and more importantly, by distinguishing panic disorder from agoraphobia. Although there is good evidence for the effectiveness of CBT and SSRIs as first-line treatments for depression, in practice, these drugs are not always used as recommended, and rehabilitation-type support is not readily available internationally. The discussions about the phenomenon of </w:t>
      </w:r>
      <w:proofErr w:type="spellStart"/>
      <w:r w:rsidRPr="0091554F">
        <w:rPr>
          <w:rFonts w:ascii="Arial" w:hAnsi="Arial" w:cs="Arial"/>
          <w:sz w:val="22"/>
          <w:szCs w:val="22"/>
        </w:rPr>
        <w:t>overdiagnosis</w:t>
      </w:r>
      <w:proofErr w:type="spellEnd"/>
      <w:r w:rsidRPr="0091554F">
        <w:rPr>
          <w:rFonts w:ascii="Arial" w:hAnsi="Arial" w:cs="Arial"/>
          <w:sz w:val="22"/>
          <w:szCs w:val="22"/>
        </w:rPr>
        <w:t xml:space="preserve"> and the consequences of the neurodiversity movement illustrate that psychiatric classification is an ongoing enterprise rather than an accomplished science, and has significance for practice, policy, and lived experience for those who seek psychiatric assistance.</w:t>
      </w:r>
    </w:p>
    <w:p xmlns:wp14="http://schemas.microsoft.com/office/word/2010/wordml" w:rsidRPr="0091554F" w:rsidR="00895609" w:rsidP="0091554F" w:rsidRDefault="00580319" w14:paraId="41C8F396" wp14:textId="77777777">
      <w:pPr>
        <w:spacing w:line="360" w:lineRule="auto"/>
        <w:jc w:val="both"/>
        <w:rPr>
          <w:rFonts w:ascii="Arial" w:hAnsi="Arial" w:cs="Arial"/>
          <w:sz w:val="22"/>
          <w:szCs w:val="22"/>
        </w:rPr>
      </w:pPr>
      <w:r w:rsidRPr="0091554F">
        <w:rPr>
          <w:rFonts w:ascii="Arial" w:hAnsi="Arial" w:cs="Arial"/>
          <w:sz w:val="22"/>
          <w:szCs w:val="22"/>
        </w:rPr>
        <w:br w:type="page"/>
      </w:r>
      <w:bookmarkStart w:name="_GoBack" w:id="0"/>
      <w:bookmarkEnd w:id="0"/>
    </w:p>
    <w:p xmlns:wp14="http://schemas.microsoft.com/office/word/2010/wordml" w:rsidRPr="0091554F" w:rsidR="00895609" w:rsidP="0091554F" w:rsidRDefault="0091554F" w14:paraId="071E4E01" wp14:textId="77777777">
      <w:pPr>
        <w:pStyle w:val="Heading1"/>
        <w:spacing w:before="300" w:after="150" w:line="360" w:lineRule="auto"/>
        <w:jc w:val="center"/>
        <w:rPr>
          <w:rFonts w:ascii="Arial" w:hAnsi="Arial" w:cs="Arial"/>
          <w:color w:val="000000" w:themeColor="text1"/>
          <w:sz w:val="22"/>
          <w:szCs w:val="22"/>
        </w:rPr>
      </w:pPr>
      <w:r w:rsidRPr="0091554F">
        <w:rPr>
          <w:rFonts w:ascii="Arial" w:hAnsi="Arial" w:eastAsia="Arial" w:cs="Arial"/>
          <w:b/>
          <w:bCs/>
          <w:color w:val="000000" w:themeColor="text1"/>
          <w:sz w:val="22"/>
          <w:szCs w:val="22"/>
        </w:rPr>
        <w:t>References</w:t>
      </w:r>
    </w:p>
    <w:p xmlns:wp14="http://schemas.microsoft.com/office/word/2010/wordml" w:rsidRPr="0091554F" w:rsidR="00895609" w:rsidP="0091554F" w:rsidRDefault="00580319" w14:paraId="2E05F757"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Aftab</w:t>
      </w:r>
      <w:proofErr w:type="spellEnd"/>
      <w:r w:rsidRPr="0091554F">
        <w:rPr>
          <w:rFonts w:ascii="Arial" w:hAnsi="Arial" w:eastAsia="Arial" w:cs="Arial"/>
          <w:sz w:val="22"/>
          <w:szCs w:val="22"/>
        </w:rPr>
        <w:t>, A. (2025) 'The "</w:t>
      </w:r>
      <w:proofErr w:type="spellStart"/>
      <w:r w:rsidRPr="0091554F">
        <w:rPr>
          <w:rFonts w:ascii="Arial" w:hAnsi="Arial" w:eastAsia="Arial" w:cs="Arial"/>
          <w:sz w:val="22"/>
          <w:szCs w:val="22"/>
        </w:rPr>
        <w:t>overdiagnosis</w:t>
      </w:r>
      <w:proofErr w:type="spellEnd"/>
      <w:r w:rsidRPr="0091554F">
        <w:rPr>
          <w:rFonts w:ascii="Arial" w:hAnsi="Arial" w:eastAsia="Arial" w:cs="Arial"/>
          <w:sz w:val="22"/>
          <w:szCs w:val="22"/>
        </w:rPr>
        <w:t xml:space="preserve">" confusion', Psychiatry Margins </w:t>
      </w:r>
      <w:r w:rsidRPr="0091554F">
        <w:rPr>
          <w:rFonts w:ascii="Arial" w:hAnsi="Arial" w:eastAsia="Arial" w:cs="Arial"/>
          <w:sz w:val="22"/>
          <w:szCs w:val="22"/>
        </w:rPr>
        <w:t>[Online]. Available at: https://www.psychiatrymargins.com/p/the-overdiagnosis-confusion (Accessed: 7 July 2026).</w:t>
      </w:r>
    </w:p>
    <w:p xmlns:wp14="http://schemas.microsoft.com/office/word/2010/wordml" w:rsidRPr="0091554F" w:rsidR="00895609" w:rsidP="0091554F" w:rsidRDefault="00580319" w14:paraId="7A888461"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Baldaçara</w:t>
      </w:r>
      <w:proofErr w:type="spellEnd"/>
      <w:r w:rsidRPr="0091554F">
        <w:rPr>
          <w:rFonts w:ascii="Arial" w:hAnsi="Arial" w:eastAsia="Arial" w:cs="Arial"/>
          <w:sz w:val="22"/>
          <w:szCs w:val="22"/>
        </w:rPr>
        <w:t xml:space="preserve">, L., </w:t>
      </w:r>
      <w:proofErr w:type="spellStart"/>
      <w:r w:rsidRPr="0091554F">
        <w:rPr>
          <w:rFonts w:ascii="Arial" w:hAnsi="Arial" w:eastAsia="Arial" w:cs="Arial"/>
          <w:sz w:val="22"/>
          <w:szCs w:val="22"/>
        </w:rPr>
        <w:t>Veiga</w:t>
      </w:r>
      <w:proofErr w:type="spellEnd"/>
      <w:r w:rsidRPr="0091554F">
        <w:rPr>
          <w:rFonts w:ascii="Arial" w:hAnsi="Arial" w:eastAsia="Arial" w:cs="Arial"/>
          <w:sz w:val="22"/>
          <w:szCs w:val="22"/>
        </w:rPr>
        <w:t xml:space="preserve">, D.L., </w:t>
      </w:r>
      <w:proofErr w:type="spellStart"/>
      <w:r w:rsidRPr="0091554F">
        <w:rPr>
          <w:rFonts w:ascii="Arial" w:hAnsi="Arial" w:eastAsia="Arial" w:cs="Arial"/>
          <w:sz w:val="22"/>
          <w:szCs w:val="22"/>
        </w:rPr>
        <w:t>Gaiotto</w:t>
      </w:r>
      <w:proofErr w:type="spellEnd"/>
      <w:r w:rsidRPr="0091554F">
        <w:rPr>
          <w:rFonts w:ascii="Arial" w:hAnsi="Arial" w:eastAsia="Arial" w:cs="Arial"/>
          <w:sz w:val="22"/>
          <w:szCs w:val="22"/>
        </w:rPr>
        <w:t xml:space="preserve">, L.A.V., </w:t>
      </w:r>
      <w:proofErr w:type="spellStart"/>
      <w:r w:rsidRPr="0091554F">
        <w:rPr>
          <w:rFonts w:ascii="Arial" w:hAnsi="Arial" w:eastAsia="Arial" w:cs="Arial"/>
          <w:sz w:val="22"/>
          <w:szCs w:val="22"/>
        </w:rPr>
        <w:t>Paschoal</w:t>
      </w:r>
      <w:proofErr w:type="spellEnd"/>
      <w:r w:rsidRPr="0091554F">
        <w:rPr>
          <w:rFonts w:ascii="Arial" w:hAnsi="Arial" w:eastAsia="Arial" w:cs="Arial"/>
          <w:sz w:val="22"/>
          <w:szCs w:val="22"/>
        </w:rPr>
        <w:t xml:space="preserve">, A.B., Pinto, A.F., Almeida, T.M., Dos Santos, D.C., </w:t>
      </w:r>
      <w:proofErr w:type="spellStart"/>
      <w:r w:rsidRPr="0091554F">
        <w:rPr>
          <w:rFonts w:ascii="Arial" w:hAnsi="Arial" w:eastAsia="Arial" w:cs="Arial"/>
          <w:sz w:val="22"/>
          <w:szCs w:val="22"/>
        </w:rPr>
        <w:t>Loureiro</w:t>
      </w:r>
      <w:proofErr w:type="spellEnd"/>
      <w:r w:rsidRPr="0091554F">
        <w:rPr>
          <w:rFonts w:ascii="Arial" w:hAnsi="Arial" w:eastAsia="Arial" w:cs="Arial"/>
          <w:sz w:val="22"/>
          <w:szCs w:val="22"/>
        </w:rPr>
        <w:t>, F.F., Malloy-</w:t>
      </w:r>
      <w:proofErr w:type="spellStart"/>
      <w:r w:rsidRPr="0091554F">
        <w:rPr>
          <w:rFonts w:ascii="Arial" w:hAnsi="Arial" w:eastAsia="Arial" w:cs="Arial"/>
          <w:sz w:val="22"/>
          <w:szCs w:val="22"/>
        </w:rPr>
        <w:t>Diniz</w:t>
      </w:r>
      <w:proofErr w:type="spellEnd"/>
      <w:r w:rsidRPr="0091554F">
        <w:rPr>
          <w:rFonts w:ascii="Arial" w:hAnsi="Arial" w:eastAsia="Arial" w:cs="Arial"/>
          <w:sz w:val="22"/>
          <w:szCs w:val="22"/>
        </w:rPr>
        <w:t xml:space="preserve">, L.F., </w:t>
      </w:r>
      <w:proofErr w:type="spellStart"/>
      <w:r w:rsidRPr="0091554F">
        <w:rPr>
          <w:rFonts w:ascii="Arial" w:hAnsi="Arial" w:eastAsia="Arial" w:cs="Arial"/>
          <w:sz w:val="22"/>
          <w:szCs w:val="22"/>
        </w:rPr>
        <w:t>Lacerda</w:t>
      </w:r>
      <w:proofErr w:type="spellEnd"/>
      <w:r w:rsidRPr="0091554F">
        <w:rPr>
          <w:rFonts w:ascii="Arial" w:hAnsi="Arial" w:eastAsia="Arial" w:cs="Arial"/>
          <w:sz w:val="22"/>
          <w:szCs w:val="22"/>
        </w:rPr>
        <w:t xml:space="preserve">, A.L.T., </w:t>
      </w:r>
      <w:proofErr w:type="spellStart"/>
      <w:r w:rsidRPr="0091554F">
        <w:rPr>
          <w:rFonts w:ascii="Arial" w:hAnsi="Arial" w:eastAsia="Arial" w:cs="Arial"/>
          <w:sz w:val="22"/>
          <w:szCs w:val="22"/>
        </w:rPr>
        <w:t>Nardi</w:t>
      </w:r>
      <w:proofErr w:type="spellEnd"/>
      <w:r w:rsidRPr="0091554F">
        <w:rPr>
          <w:rFonts w:ascii="Arial" w:hAnsi="Arial" w:eastAsia="Arial" w:cs="Arial"/>
          <w:sz w:val="22"/>
          <w:szCs w:val="22"/>
        </w:rPr>
        <w:t>, A.E., Silva, A.G.</w:t>
      </w:r>
      <w:r w:rsidRPr="0091554F" w:rsidR="0091554F">
        <w:rPr>
          <w:rFonts w:ascii="Arial" w:hAnsi="Arial" w:eastAsia="Arial" w:cs="Arial"/>
          <w:sz w:val="22"/>
          <w:szCs w:val="22"/>
        </w:rPr>
        <w:t>,</w:t>
      </w:r>
      <w:r w:rsidRPr="0091554F">
        <w:rPr>
          <w:rFonts w:ascii="Arial" w:hAnsi="Arial" w:eastAsia="Arial" w:cs="Arial"/>
          <w:sz w:val="22"/>
          <w:szCs w:val="22"/>
        </w:rPr>
        <w:t xml:space="preserve"> and Uchida, R.R. (2025) 'Brazilian Psychiatric Association guidelines for the treatment of panic disorder. An overview of systematic reviews', Brazilian Journal of Psychiatry, Online ahead of print.</w:t>
      </w:r>
    </w:p>
    <w:p xmlns:wp14="http://schemas.microsoft.com/office/word/2010/wordml" w:rsidRPr="0091554F" w:rsidR="00895609" w:rsidP="0091554F" w:rsidRDefault="00580319" w14:paraId="7DC936C3"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Bhattacharya, S</w:t>
      </w:r>
      <w:r w:rsidRPr="0091554F">
        <w:rPr>
          <w:rFonts w:ascii="Arial" w:hAnsi="Arial" w:eastAsia="Arial" w:cs="Arial"/>
          <w:sz w:val="22"/>
          <w:szCs w:val="22"/>
        </w:rPr>
        <w:t xml:space="preserve">., </w:t>
      </w:r>
      <w:proofErr w:type="spellStart"/>
      <w:r w:rsidRPr="0091554F">
        <w:rPr>
          <w:rFonts w:ascii="Arial" w:hAnsi="Arial" w:eastAsia="Arial" w:cs="Arial"/>
          <w:sz w:val="22"/>
          <w:szCs w:val="22"/>
        </w:rPr>
        <w:t>Goicoechea</w:t>
      </w:r>
      <w:proofErr w:type="spellEnd"/>
      <w:r w:rsidRPr="0091554F">
        <w:rPr>
          <w:rFonts w:ascii="Arial" w:hAnsi="Arial" w:eastAsia="Arial" w:cs="Arial"/>
          <w:sz w:val="22"/>
          <w:szCs w:val="22"/>
        </w:rPr>
        <w:t xml:space="preserve">, C., </w:t>
      </w:r>
      <w:proofErr w:type="spellStart"/>
      <w:r w:rsidRPr="0091554F">
        <w:rPr>
          <w:rFonts w:ascii="Arial" w:hAnsi="Arial" w:eastAsia="Arial" w:cs="Arial"/>
          <w:sz w:val="22"/>
          <w:szCs w:val="22"/>
        </w:rPr>
        <w:t>Heshmati</w:t>
      </w:r>
      <w:proofErr w:type="spellEnd"/>
      <w:r w:rsidRPr="0091554F">
        <w:rPr>
          <w:rFonts w:ascii="Arial" w:hAnsi="Arial" w:eastAsia="Arial" w:cs="Arial"/>
          <w:sz w:val="22"/>
          <w:szCs w:val="22"/>
        </w:rPr>
        <w:t>, S., Carpenter, J.K. and Hofmann, S.G. (2023) 'Efficacy of cognitive behavioral therapy for anxiety-related disorders: a meta-analysis of recent literature', Current Psychiatry Reports, 25(1), pp.19-30.</w:t>
      </w:r>
    </w:p>
    <w:p xmlns:wp14="http://schemas.microsoft.com/office/word/2010/wordml" w:rsidRPr="0091554F" w:rsidR="00895609" w:rsidP="0091554F" w:rsidRDefault="00580319" w14:paraId="637854C8"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Domschke</w:t>
      </w:r>
      <w:proofErr w:type="spellEnd"/>
      <w:r w:rsidRPr="0091554F">
        <w:rPr>
          <w:rFonts w:ascii="Arial" w:hAnsi="Arial" w:eastAsia="Arial" w:cs="Arial"/>
          <w:sz w:val="22"/>
          <w:szCs w:val="22"/>
        </w:rPr>
        <w:t xml:space="preserve">, K. and </w:t>
      </w:r>
      <w:proofErr w:type="spellStart"/>
      <w:r w:rsidRPr="0091554F">
        <w:rPr>
          <w:rFonts w:ascii="Arial" w:hAnsi="Arial" w:eastAsia="Arial" w:cs="Arial"/>
          <w:sz w:val="22"/>
          <w:szCs w:val="22"/>
        </w:rPr>
        <w:t>Zwanzger</w:t>
      </w:r>
      <w:proofErr w:type="spellEnd"/>
      <w:r w:rsidRPr="0091554F">
        <w:rPr>
          <w:rFonts w:ascii="Arial" w:hAnsi="Arial" w:eastAsia="Arial" w:cs="Arial"/>
          <w:sz w:val="22"/>
          <w:szCs w:val="22"/>
        </w:rPr>
        <w:t xml:space="preserve">, P. (2025) 'Taxonomy of anxiety disorders – a comparison of ICD-10 and ICD-11', Der </w:t>
      </w:r>
      <w:proofErr w:type="spellStart"/>
      <w:r w:rsidRPr="0091554F">
        <w:rPr>
          <w:rFonts w:ascii="Arial" w:hAnsi="Arial" w:eastAsia="Arial" w:cs="Arial"/>
          <w:sz w:val="22"/>
          <w:szCs w:val="22"/>
        </w:rPr>
        <w:t>Nervenarzt</w:t>
      </w:r>
      <w:proofErr w:type="spellEnd"/>
      <w:r w:rsidRPr="0091554F">
        <w:rPr>
          <w:rFonts w:ascii="Arial" w:hAnsi="Arial" w:eastAsia="Arial" w:cs="Arial"/>
          <w:sz w:val="22"/>
          <w:szCs w:val="22"/>
        </w:rPr>
        <w:t>, Online ahead of print.</w:t>
      </w:r>
    </w:p>
    <w:p xmlns:wp14="http://schemas.microsoft.com/office/word/2010/wordml" w:rsidRPr="0091554F" w:rsidR="00895609" w:rsidP="0091554F" w:rsidRDefault="00580319" w14:paraId="62F5D1DA"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 xml:space="preserve">Gray, B., </w:t>
      </w:r>
      <w:proofErr w:type="spellStart"/>
      <w:r w:rsidRPr="0091554F">
        <w:rPr>
          <w:rFonts w:ascii="Arial" w:hAnsi="Arial" w:eastAsia="Arial" w:cs="Arial"/>
          <w:sz w:val="22"/>
          <w:szCs w:val="22"/>
        </w:rPr>
        <w:t>Asrat</w:t>
      </w:r>
      <w:proofErr w:type="spellEnd"/>
      <w:r w:rsidRPr="0091554F">
        <w:rPr>
          <w:rFonts w:ascii="Arial" w:hAnsi="Arial" w:eastAsia="Arial" w:cs="Arial"/>
          <w:sz w:val="22"/>
          <w:szCs w:val="22"/>
        </w:rPr>
        <w:t xml:space="preserve">, B., </w:t>
      </w:r>
      <w:proofErr w:type="spellStart"/>
      <w:r w:rsidRPr="0091554F">
        <w:rPr>
          <w:rFonts w:ascii="Arial" w:hAnsi="Arial" w:eastAsia="Arial" w:cs="Arial"/>
          <w:sz w:val="22"/>
          <w:szCs w:val="22"/>
        </w:rPr>
        <w:t>Brohan</w:t>
      </w:r>
      <w:proofErr w:type="spellEnd"/>
      <w:r w:rsidRPr="0091554F">
        <w:rPr>
          <w:rFonts w:ascii="Arial" w:hAnsi="Arial" w:eastAsia="Arial" w:cs="Arial"/>
          <w:sz w:val="22"/>
          <w:szCs w:val="22"/>
        </w:rPr>
        <w:t xml:space="preserve">, E., Chowdhury, N., </w:t>
      </w:r>
      <w:proofErr w:type="spellStart"/>
      <w:r w:rsidRPr="0091554F">
        <w:rPr>
          <w:rFonts w:ascii="Arial" w:hAnsi="Arial" w:eastAsia="Arial" w:cs="Arial"/>
          <w:sz w:val="22"/>
          <w:szCs w:val="22"/>
        </w:rPr>
        <w:t>Dua</w:t>
      </w:r>
      <w:proofErr w:type="spellEnd"/>
      <w:r w:rsidRPr="0091554F">
        <w:rPr>
          <w:rFonts w:ascii="Arial" w:hAnsi="Arial" w:eastAsia="Arial" w:cs="Arial"/>
          <w:sz w:val="22"/>
          <w:szCs w:val="22"/>
        </w:rPr>
        <w:t xml:space="preserve">, T. and van </w:t>
      </w:r>
      <w:proofErr w:type="spellStart"/>
      <w:r w:rsidRPr="0091554F">
        <w:rPr>
          <w:rFonts w:ascii="Arial" w:hAnsi="Arial" w:eastAsia="Arial" w:cs="Arial"/>
          <w:sz w:val="22"/>
          <w:szCs w:val="22"/>
        </w:rPr>
        <w:t>Ommeren</w:t>
      </w:r>
      <w:proofErr w:type="spellEnd"/>
      <w:r w:rsidRPr="0091554F">
        <w:rPr>
          <w:rFonts w:ascii="Arial" w:hAnsi="Arial" w:eastAsia="Arial" w:cs="Arial"/>
          <w:sz w:val="22"/>
          <w:szCs w:val="22"/>
        </w:rPr>
        <w:t>, M. (2024) 'Management of generalized anxiety disorder and panic</w:t>
      </w:r>
      <w:r w:rsidRPr="0091554F">
        <w:rPr>
          <w:rFonts w:ascii="Arial" w:hAnsi="Arial" w:eastAsia="Arial" w:cs="Arial"/>
          <w:sz w:val="22"/>
          <w:szCs w:val="22"/>
        </w:rPr>
        <w:t xml:space="preserve"> disorder in general health care settings: new WHO recommendations', World Psychiatry, 23(1), pp.160-161.</w:t>
      </w:r>
    </w:p>
    <w:p xmlns:wp14="http://schemas.microsoft.com/office/word/2010/wordml" w:rsidRPr="0091554F" w:rsidR="00895609" w:rsidP="0091554F" w:rsidRDefault="00580319" w14:paraId="1058701B"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Guaiana</w:t>
      </w:r>
      <w:proofErr w:type="spellEnd"/>
      <w:r w:rsidRPr="0091554F">
        <w:rPr>
          <w:rFonts w:ascii="Arial" w:hAnsi="Arial" w:eastAsia="Arial" w:cs="Arial"/>
          <w:sz w:val="22"/>
          <w:szCs w:val="22"/>
        </w:rPr>
        <w:t xml:space="preserve">, G. and Davies, S.J.C. (2025) 'Pharmacological management of panic disorder', </w:t>
      </w:r>
      <w:proofErr w:type="spellStart"/>
      <w:r w:rsidRPr="0091554F">
        <w:rPr>
          <w:rFonts w:ascii="Arial" w:hAnsi="Arial" w:eastAsia="Arial" w:cs="Arial"/>
          <w:sz w:val="22"/>
          <w:szCs w:val="22"/>
        </w:rPr>
        <w:t>BJPsych</w:t>
      </w:r>
      <w:proofErr w:type="spellEnd"/>
      <w:r w:rsidRPr="0091554F">
        <w:rPr>
          <w:rFonts w:ascii="Arial" w:hAnsi="Arial" w:eastAsia="Arial" w:cs="Arial"/>
          <w:sz w:val="22"/>
          <w:szCs w:val="22"/>
        </w:rPr>
        <w:t xml:space="preserve"> Advances, Online ahead of print.</w:t>
      </w:r>
    </w:p>
    <w:p xmlns:wp14="http://schemas.microsoft.com/office/word/2010/wordml" w:rsidRPr="0091554F" w:rsidR="00895609" w:rsidP="0091554F" w:rsidRDefault="00580319" w14:paraId="5CEDA3B9"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Jung, H.W., Jang, K.W.,</w:t>
      </w:r>
      <w:r w:rsidRPr="0091554F">
        <w:rPr>
          <w:rFonts w:ascii="Arial" w:hAnsi="Arial" w:eastAsia="Arial" w:cs="Arial"/>
          <w:sz w:val="22"/>
          <w:szCs w:val="22"/>
        </w:rPr>
        <w:t xml:space="preserve"> Nam, S., Kim, A., Lee, J., </w:t>
      </w:r>
      <w:proofErr w:type="spellStart"/>
      <w:r w:rsidRPr="0091554F">
        <w:rPr>
          <w:rFonts w:ascii="Arial" w:hAnsi="Arial" w:eastAsia="Arial" w:cs="Arial"/>
          <w:sz w:val="22"/>
          <w:szCs w:val="22"/>
        </w:rPr>
        <w:t>Ahn</w:t>
      </w:r>
      <w:proofErr w:type="spellEnd"/>
      <w:r w:rsidRPr="0091554F">
        <w:rPr>
          <w:rFonts w:ascii="Arial" w:hAnsi="Arial" w:eastAsia="Arial" w:cs="Arial"/>
          <w:sz w:val="22"/>
          <w:szCs w:val="22"/>
        </w:rPr>
        <w:t xml:space="preserve">, M.E., Lee, S-K., Kim, Y.J., Shin, J-K. and </w:t>
      </w:r>
      <w:proofErr w:type="spellStart"/>
      <w:r w:rsidRPr="0091554F">
        <w:rPr>
          <w:rFonts w:ascii="Arial" w:hAnsi="Arial" w:eastAsia="Arial" w:cs="Arial"/>
          <w:sz w:val="22"/>
          <w:szCs w:val="22"/>
        </w:rPr>
        <w:t>Roh</w:t>
      </w:r>
      <w:proofErr w:type="spellEnd"/>
      <w:r w:rsidRPr="0091554F">
        <w:rPr>
          <w:rFonts w:ascii="Arial" w:hAnsi="Arial" w:eastAsia="Arial" w:cs="Arial"/>
          <w:sz w:val="22"/>
          <w:szCs w:val="22"/>
        </w:rPr>
        <w:t>, D. (2025) 'Digital cognitive behavioral therapy for panic disorder and agoraphobia: a meta-analytic review of clinical components to maximize efficacy', Journal of Clinical Me</w:t>
      </w:r>
      <w:r w:rsidRPr="0091554F">
        <w:rPr>
          <w:rFonts w:ascii="Arial" w:hAnsi="Arial" w:eastAsia="Arial" w:cs="Arial"/>
          <w:sz w:val="22"/>
          <w:szCs w:val="22"/>
        </w:rPr>
        <w:t>dicine, 14(5), 1771.</w:t>
      </w:r>
    </w:p>
    <w:p xmlns:wp14="http://schemas.microsoft.com/office/word/2010/wordml" w:rsidRPr="0091554F" w:rsidR="00895609" w:rsidP="0091554F" w:rsidRDefault="00580319" w14:paraId="33469CF0"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Kogan</w:t>
      </w:r>
      <w:proofErr w:type="spellEnd"/>
      <w:r w:rsidRPr="0091554F">
        <w:rPr>
          <w:rFonts w:ascii="Arial" w:hAnsi="Arial" w:eastAsia="Arial" w:cs="Arial"/>
          <w:sz w:val="22"/>
          <w:szCs w:val="22"/>
        </w:rPr>
        <w:t xml:space="preserve">, C.S., Stein, D.J., Maj, M., First, M.B., </w:t>
      </w:r>
      <w:proofErr w:type="spellStart"/>
      <w:r w:rsidRPr="0091554F">
        <w:rPr>
          <w:rFonts w:ascii="Arial" w:hAnsi="Arial" w:eastAsia="Arial" w:cs="Arial"/>
          <w:sz w:val="22"/>
          <w:szCs w:val="22"/>
        </w:rPr>
        <w:t>Emmelkamp</w:t>
      </w:r>
      <w:proofErr w:type="spellEnd"/>
      <w:r w:rsidRPr="0091554F">
        <w:rPr>
          <w:rFonts w:ascii="Arial" w:hAnsi="Arial" w:eastAsia="Arial" w:cs="Arial"/>
          <w:sz w:val="22"/>
          <w:szCs w:val="22"/>
        </w:rPr>
        <w:t>, P.M.G. and Reed, G.M. (2016) 'The classification of anxiety and fear-related disorders in the ICD-11', Depression and Anxiety, 33(12), pp.1141-1154.</w:t>
      </w:r>
    </w:p>
    <w:p xmlns:wp14="http://schemas.microsoft.com/office/word/2010/wordml" w:rsidRPr="0091554F" w:rsidR="00895609" w:rsidP="0091554F" w:rsidRDefault="00580319" w14:paraId="5814B00C"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Papola</w:t>
      </w:r>
      <w:proofErr w:type="spellEnd"/>
      <w:r w:rsidRPr="0091554F">
        <w:rPr>
          <w:rFonts w:ascii="Arial" w:hAnsi="Arial" w:eastAsia="Arial" w:cs="Arial"/>
          <w:sz w:val="22"/>
          <w:szCs w:val="22"/>
        </w:rPr>
        <w:t xml:space="preserve">, D., </w:t>
      </w:r>
      <w:proofErr w:type="spellStart"/>
      <w:r w:rsidRPr="0091554F">
        <w:rPr>
          <w:rFonts w:ascii="Arial" w:hAnsi="Arial" w:eastAsia="Arial" w:cs="Arial"/>
          <w:sz w:val="22"/>
          <w:szCs w:val="22"/>
        </w:rPr>
        <w:t>Ostuzzi</w:t>
      </w:r>
      <w:proofErr w:type="spellEnd"/>
      <w:r w:rsidRPr="0091554F">
        <w:rPr>
          <w:rFonts w:ascii="Arial" w:hAnsi="Arial" w:eastAsia="Arial" w:cs="Arial"/>
          <w:sz w:val="22"/>
          <w:szCs w:val="22"/>
        </w:rPr>
        <w:t xml:space="preserve">, G., </w:t>
      </w:r>
      <w:proofErr w:type="spellStart"/>
      <w:r w:rsidRPr="0091554F">
        <w:rPr>
          <w:rFonts w:ascii="Arial" w:hAnsi="Arial" w:eastAsia="Arial" w:cs="Arial"/>
          <w:sz w:val="22"/>
          <w:szCs w:val="22"/>
        </w:rPr>
        <w:t>Tedeschi</w:t>
      </w:r>
      <w:proofErr w:type="spellEnd"/>
      <w:r w:rsidRPr="0091554F">
        <w:rPr>
          <w:rFonts w:ascii="Arial" w:hAnsi="Arial" w:eastAsia="Arial" w:cs="Arial"/>
          <w:sz w:val="22"/>
          <w:szCs w:val="22"/>
        </w:rPr>
        <w:t xml:space="preserve">, F., </w:t>
      </w:r>
      <w:proofErr w:type="spellStart"/>
      <w:r w:rsidRPr="0091554F">
        <w:rPr>
          <w:rFonts w:ascii="Arial" w:hAnsi="Arial" w:eastAsia="Arial" w:cs="Arial"/>
          <w:sz w:val="22"/>
          <w:szCs w:val="22"/>
        </w:rPr>
        <w:t>Gastaldon</w:t>
      </w:r>
      <w:proofErr w:type="spellEnd"/>
      <w:r w:rsidRPr="0091554F">
        <w:rPr>
          <w:rFonts w:ascii="Arial" w:hAnsi="Arial" w:eastAsia="Arial" w:cs="Arial"/>
          <w:sz w:val="22"/>
          <w:szCs w:val="22"/>
        </w:rPr>
        <w:t xml:space="preserve">, C., </w:t>
      </w:r>
      <w:proofErr w:type="spellStart"/>
      <w:r w:rsidRPr="0091554F">
        <w:rPr>
          <w:rFonts w:ascii="Arial" w:hAnsi="Arial" w:eastAsia="Arial" w:cs="Arial"/>
          <w:sz w:val="22"/>
          <w:szCs w:val="22"/>
        </w:rPr>
        <w:t>Purgato</w:t>
      </w:r>
      <w:proofErr w:type="spellEnd"/>
      <w:r w:rsidRPr="0091554F">
        <w:rPr>
          <w:rFonts w:ascii="Arial" w:hAnsi="Arial" w:eastAsia="Arial" w:cs="Arial"/>
          <w:sz w:val="22"/>
          <w:szCs w:val="22"/>
        </w:rPr>
        <w:t xml:space="preserve">, M., Del </w:t>
      </w:r>
      <w:proofErr w:type="spellStart"/>
      <w:r w:rsidRPr="0091554F">
        <w:rPr>
          <w:rFonts w:ascii="Arial" w:hAnsi="Arial" w:eastAsia="Arial" w:cs="Arial"/>
          <w:sz w:val="22"/>
          <w:szCs w:val="22"/>
        </w:rPr>
        <w:t>Giovane</w:t>
      </w:r>
      <w:proofErr w:type="spellEnd"/>
      <w:r w:rsidRPr="0091554F">
        <w:rPr>
          <w:rFonts w:ascii="Arial" w:hAnsi="Arial" w:eastAsia="Arial" w:cs="Arial"/>
          <w:sz w:val="22"/>
          <w:szCs w:val="22"/>
        </w:rPr>
        <w:t xml:space="preserve">, C., </w:t>
      </w:r>
      <w:proofErr w:type="spellStart"/>
      <w:r w:rsidRPr="0091554F">
        <w:rPr>
          <w:rFonts w:ascii="Arial" w:hAnsi="Arial" w:eastAsia="Arial" w:cs="Arial"/>
          <w:sz w:val="22"/>
          <w:szCs w:val="22"/>
        </w:rPr>
        <w:t>Pompoli</w:t>
      </w:r>
      <w:proofErr w:type="spellEnd"/>
      <w:r w:rsidRPr="0091554F">
        <w:rPr>
          <w:rFonts w:ascii="Arial" w:hAnsi="Arial" w:eastAsia="Arial" w:cs="Arial"/>
          <w:sz w:val="22"/>
          <w:szCs w:val="22"/>
        </w:rPr>
        <w:t xml:space="preserve">, A., Pauley, D., </w:t>
      </w:r>
      <w:proofErr w:type="spellStart"/>
      <w:r w:rsidRPr="0091554F">
        <w:rPr>
          <w:rFonts w:ascii="Arial" w:hAnsi="Arial" w:eastAsia="Arial" w:cs="Arial"/>
          <w:sz w:val="22"/>
          <w:szCs w:val="22"/>
        </w:rPr>
        <w:t>Karyotaki</w:t>
      </w:r>
      <w:proofErr w:type="spellEnd"/>
      <w:r w:rsidRPr="0091554F">
        <w:rPr>
          <w:rFonts w:ascii="Arial" w:hAnsi="Arial" w:eastAsia="Arial" w:cs="Arial"/>
          <w:sz w:val="22"/>
          <w:szCs w:val="22"/>
        </w:rPr>
        <w:t xml:space="preserve">, E., </w:t>
      </w:r>
      <w:proofErr w:type="spellStart"/>
      <w:r w:rsidRPr="0091554F">
        <w:rPr>
          <w:rFonts w:ascii="Arial" w:hAnsi="Arial" w:eastAsia="Arial" w:cs="Arial"/>
          <w:sz w:val="22"/>
          <w:szCs w:val="22"/>
        </w:rPr>
        <w:t>Sijbrandij</w:t>
      </w:r>
      <w:proofErr w:type="spellEnd"/>
      <w:r w:rsidRPr="0091554F">
        <w:rPr>
          <w:rFonts w:ascii="Arial" w:hAnsi="Arial" w:eastAsia="Arial" w:cs="Arial"/>
          <w:sz w:val="22"/>
          <w:szCs w:val="22"/>
        </w:rPr>
        <w:t xml:space="preserve">, M., Furukawa, T.A., </w:t>
      </w:r>
      <w:proofErr w:type="spellStart"/>
      <w:r w:rsidRPr="0091554F">
        <w:rPr>
          <w:rFonts w:ascii="Arial" w:hAnsi="Arial" w:eastAsia="Arial" w:cs="Arial"/>
          <w:sz w:val="22"/>
          <w:szCs w:val="22"/>
        </w:rPr>
        <w:t>Cuijpers</w:t>
      </w:r>
      <w:proofErr w:type="spellEnd"/>
      <w:r w:rsidRPr="0091554F">
        <w:rPr>
          <w:rFonts w:ascii="Arial" w:hAnsi="Arial" w:eastAsia="Arial" w:cs="Arial"/>
          <w:sz w:val="22"/>
          <w:szCs w:val="22"/>
        </w:rPr>
        <w:t xml:space="preserve">, P. and </w:t>
      </w:r>
      <w:proofErr w:type="spellStart"/>
      <w:r w:rsidRPr="0091554F">
        <w:rPr>
          <w:rFonts w:ascii="Arial" w:hAnsi="Arial" w:eastAsia="Arial" w:cs="Arial"/>
          <w:sz w:val="22"/>
          <w:szCs w:val="22"/>
        </w:rPr>
        <w:t>Barbui</w:t>
      </w:r>
      <w:proofErr w:type="spellEnd"/>
      <w:r w:rsidRPr="0091554F">
        <w:rPr>
          <w:rFonts w:ascii="Arial" w:hAnsi="Arial" w:eastAsia="Arial" w:cs="Arial"/>
          <w:sz w:val="22"/>
          <w:szCs w:val="22"/>
        </w:rPr>
        <w:t xml:space="preserve">, C. (2023) 'CBT treatment delivery formats for panic disorder: a systematic </w:t>
      </w:r>
      <w:r w:rsidRPr="0091554F">
        <w:rPr>
          <w:rFonts w:ascii="Arial" w:hAnsi="Arial" w:eastAsia="Arial" w:cs="Arial"/>
          <w:sz w:val="22"/>
          <w:szCs w:val="22"/>
        </w:rPr>
        <w:t xml:space="preserve">review and network meta-analysis of </w:t>
      </w:r>
      <w:proofErr w:type="spellStart"/>
      <w:r w:rsidRPr="0091554F">
        <w:rPr>
          <w:rFonts w:ascii="Arial" w:hAnsi="Arial" w:eastAsia="Arial" w:cs="Arial"/>
          <w:sz w:val="22"/>
          <w:szCs w:val="22"/>
        </w:rPr>
        <w:t>randomised</w:t>
      </w:r>
      <w:proofErr w:type="spellEnd"/>
      <w:r w:rsidRPr="0091554F">
        <w:rPr>
          <w:rFonts w:ascii="Arial" w:hAnsi="Arial" w:eastAsia="Arial" w:cs="Arial"/>
          <w:sz w:val="22"/>
          <w:szCs w:val="22"/>
        </w:rPr>
        <w:t xml:space="preserve"> controlled trials', Psychological Medicine, 53(3), pp.614-624.</w:t>
      </w:r>
    </w:p>
    <w:p xmlns:wp14="http://schemas.microsoft.com/office/word/2010/wordml" w:rsidRPr="0091554F" w:rsidR="00895609" w:rsidP="0091554F" w:rsidRDefault="00580319" w14:paraId="2E13F87C"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 xml:space="preserve">Paris, J. (2015) </w:t>
      </w:r>
      <w:proofErr w:type="spellStart"/>
      <w:r w:rsidRPr="0091554F">
        <w:rPr>
          <w:rFonts w:ascii="Arial" w:hAnsi="Arial" w:eastAsia="Arial" w:cs="Arial"/>
          <w:sz w:val="22"/>
          <w:szCs w:val="22"/>
        </w:rPr>
        <w:t>Overdiagnosis</w:t>
      </w:r>
      <w:proofErr w:type="spellEnd"/>
      <w:r w:rsidRPr="0091554F">
        <w:rPr>
          <w:rFonts w:ascii="Arial" w:hAnsi="Arial" w:eastAsia="Arial" w:cs="Arial"/>
          <w:sz w:val="22"/>
          <w:szCs w:val="22"/>
        </w:rPr>
        <w:t xml:space="preserve"> in Psychiatry: How Modern Psychiatry Lost Its Way While Creating a Diagnosis for Almost All of Life's Misfortunes. </w:t>
      </w:r>
      <w:r w:rsidRPr="0091554F">
        <w:rPr>
          <w:rFonts w:ascii="Arial" w:hAnsi="Arial" w:eastAsia="Arial" w:cs="Arial"/>
          <w:sz w:val="22"/>
          <w:szCs w:val="22"/>
        </w:rPr>
        <w:t>Oxford: Oxford University Press.</w:t>
      </w:r>
    </w:p>
    <w:p xmlns:wp14="http://schemas.microsoft.com/office/word/2010/wordml" w:rsidRPr="0091554F" w:rsidR="00895609" w:rsidP="0091554F" w:rsidRDefault="00580319" w14:paraId="320CE97D"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Rebello</w:t>
      </w:r>
      <w:proofErr w:type="spellEnd"/>
      <w:r w:rsidRPr="0091554F">
        <w:rPr>
          <w:rFonts w:ascii="Arial" w:hAnsi="Arial" w:eastAsia="Arial" w:cs="Arial"/>
          <w:sz w:val="22"/>
          <w:szCs w:val="22"/>
        </w:rPr>
        <w:t xml:space="preserve">, T.J., Keeley, J.W., </w:t>
      </w:r>
      <w:proofErr w:type="spellStart"/>
      <w:r w:rsidRPr="0091554F">
        <w:rPr>
          <w:rFonts w:ascii="Arial" w:hAnsi="Arial" w:eastAsia="Arial" w:cs="Arial"/>
          <w:sz w:val="22"/>
          <w:szCs w:val="22"/>
        </w:rPr>
        <w:t>Kogan</w:t>
      </w:r>
      <w:proofErr w:type="spellEnd"/>
      <w:r w:rsidRPr="0091554F">
        <w:rPr>
          <w:rFonts w:ascii="Arial" w:hAnsi="Arial" w:eastAsia="Arial" w:cs="Arial"/>
          <w:sz w:val="22"/>
          <w:szCs w:val="22"/>
        </w:rPr>
        <w:t xml:space="preserve">, C.S., Peterson, D.B., </w:t>
      </w:r>
      <w:proofErr w:type="spellStart"/>
      <w:r w:rsidRPr="0091554F">
        <w:rPr>
          <w:rFonts w:ascii="Arial" w:hAnsi="Arial" w:eastAsia="Arial" w:cs="Arial"/>
          <w:sz w:val="22"/>
          <w:szCs w:val="22"/>
        </w:rPr>
        <w:t>Krasnov</w:t>
      </w:r>
      <w:proofErr w:type="spellEnd"/>
      <w:r w:rsidRPr="0091554F">
        <w:rPr>
          <w:rFonts w:ascii="Arial" w:hAnsi="Arial" w:eastAsia="Arial" w:cs="Arial"/>
          <w:sz w:val="22"/>
          <w:szCs w:val="22"/>
        </w:rPr>
        <w:t xml:space="preserve">, V.N., Fiestas, F., Ruiz, M.C., Ahuja, N., </w:t>
      </w:r>
      <w:proofErr w:type="spellStart"/>
      <w:r w:rsidRPr="0091554F">
        <w:rPr>
          <w:rFonts w:ascii="Arial" w:hAnsi="Arial" w:eastAsia="Arial" w:cs="Arial"/>
          <w:sz w:val="22"/>
          <w:szCs w:val="22"/>
        </w:rPr>
        <w:t>Sharan</w:t>
      </w:r>
      <w:proofErr w:type="spellEnd"/>
      <w:r w:rsidRPr="0091554F">
        <w:rPr>
          <w:rFonts w:ascii="Arial" w:hAnsi="Arial" w:eastAsia="Arial" w:cs="Arial"/>
          <w:sz w:val="22"/>
          <w:szCs w:val="22"/>
        </w:rPr>
        <w:t xml:space="preserve">, P., </w:t>
      </w:r>
      <w:proofErr w:type="spellStart"/>
      <w:r w:rsidRPr="0091554F">
        <w:rPr>
          <w:rFonts w:ascii="Arial" w:hAnsi="Arial" w:eastAsia="Arial" w:cs="Arial"/>
          <w:sz w:val="22"/>
          <w:szCs w:val="22"/>
        </w:rPr>
        <w:t>Untu</w:t>
      </w:r>
      <w:proofErr w:type="spellEnd"/>
      <w:r w:rsidRPr="0091554F">
        <w:rPr>
          <w:rFonts w:ascii="Arial" w:hAnsi="Arial" w:eastAsia="Arial" w:cs="Arial"/>
          <w:sz w:val="22"/>
          <w:szCs w:val="22"/>
        </w:rPr>
        <w:t xml:space="preserve">, I., </w:t>
      </w:r>
      <w:proofErr w:type="spellStart"/>
      <w:r w:rsidRPr="0091554F">
        <w:rPr>
          <w:rFonts w:ascii="Arial" w:hAnsi="Arial" w:eastAsia="Arial" w:cs="Arial"/>
          <w:sz w:val="22"/>
          <w:szCs w:val="22"/>
        </w:rPr>
        <w:t>Gureje</w:t>
      </w:r>
      <w:proofErr w:type="spellEnd"/>
      <w:r w:rsidRPr="0091554F">
        <w:rPr>
          <w:rFonts w:ascii="Arial" w:hAnsi="Arial" w:eastAsia="Arial" w:cs="Arial"/>
          <w:sz w:val="22"/>
          <w:szCs w:val="22"/>
        </w:rPr>
        <w:t xml:space="preserve">, O., </w:t>
      </w:r>
      <w:proofErr w:type="spellStart"/>
      <w:r w:rsidRPr="0091554F">
        <w:rPr>
          <w:rFonts w:ascii="Arial" w:hAnsi="Arial" w:eastAsia="Arial" w:cs="Arial"/>
          <w:sz w:val="22"/>
          <w:szCs w:val="22"/>
        </w:rPr>
        <w:t>Kulygina</w:t>
      </w:r>
      <w:proofErr w:type="spellEnd"/>
      <w:r w:rsidRPr="0091554F">
        <w:rPr>
          <w:rFonts w:ascii="Arial" w:hAnsi="Arial" w:eastAsia="Arial" w:cs="Arial"/>
          <w:sz w:val="22"/>
          <w:szCs w:val="22"/>
        </w:rPr>
        <w:t>, M., Robles, R., Andrews, H.F., Zhao, M. and Reed, G.M. (2019) 'Anxiety</w:t>
      </w:r>
      <w:r w:rsidRPr="0091554F">
        <w:rPr>
          <w:rFonts w:ascii="Arial" w:hAnsi="Arial" w:eastAsia="Arial" w:cs="Arial"/>
          <w:sz w:val="22"/>
          <w:szCs w:val="22"/>
        </w:rPr>
        <w:t xml:space="preserve"> and fear-related disorders in the ICD-11: results from a global case-controlled field study', Archives of Medical Research, 50(8), pp.490-501.</w:t>
      </w:r>
    </w:p>
    <w:p xmlns:wp14="http://schemas.microsoft.com/office/word/2010/wordml" w:rsidRPr="0091554F" w:rsidR="00895609" w:rsidP="0091554F" w:rsidRDefault="00580319" w14:paraId="16C18133"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The Lancet (2023) 'Over-diagnosis of psychiatric disorders', The Lancet, 401(10389), pp.1562-1563.</w:t>
      </w:r>
    </w:p>
    <w:p xmlns:wp14="http://schemas.microsoft.com/office/word/2010/wordml" w:rsidRPr="0091554F" w:rsidR="00895609" w:rsidP="0091554F" w:rsidRDefault="00580319" w14:paraId="5F2A32B3" wp14:textId="77777777">
      <w:pPr>
        <w:spacing w:after="150" w:line="360" w:lineRule="auto"/>
        <w:ind w:left="720" w:hanging="720"/>
        <w:jc w:val="both"/>
        <w:rPr>
          <w:rFonts w:ascii="Arial" w:hAnsi="Arial" w:cs="Arial"/>
          <w:sz w:val="22"/>
          <w:szCs w:val="22"/>
        </w:rPr>
      </w:pPr>
      <w:proofErr w:type="spellStart"/>
      <w:r w:rsidRPr="0091554F">
        <w:rPr>
          <w:rFonts w:ascii="Arial" w:hAnsi="Arial" w:eastAsia="Arial" w:cs="Arial"/>
          <w:sz w:val="22"/>
          <w:szCs w:val="22"/>
        </w:rPr>
        <w:t>Troisi</w:t>
      </w:r>
      <w:proofErr w:type="spellEnd"/>
      <w:r w:rsidRPr="0091554F">
        <w:rPr>
          <w:rFonts w:ascii="Arial" w:hAnsi="Arial" w:eastAsia="Arial" w:cs="Arial"/>
          <w:sz w:val="22"/>
          <w:szCs w:val="22"/>
        </w:rPr>
        <w:t>, A. (2</w:t>
      </w:r>
      <w:r w:rsidRPr="0091554F">
        <w:rPr>
          <w:rFonts w:ascii="Arial" w:hAnsi="Arial" w:eastAsia="Arial" w:cs="Arial"/>
          <w:sz w:val="22"/>
          <w:szCs w:val="22"/>
        </w:rPr>
        <w:t xml:space="preserve">025) '"Are you sick? No, I am </w:t>
      </w:r>
      <w:proofErr w:type="spellStart"/>
      <w:r w:rsidRPr="0091554F">
        <w:rPr>
          <w:rFonts w:ascii="Arial" w:hAnsi="Arial" w:eastAsia="Arial" w:cs="Arial"/>
          <w:sz w:val="22"/>
          <w:szCs w:val="22"/>
        </w:rPr>
        <w:t>neurodivergent</w:t>
      </w:r>
      <w:proofErr w:type="spellEnd"/>
      <w:r w:rsidRPr="0091554F">
        <w:rPr>
          <w:rFonts w:ascii="Arial" w:hAnsi="Arial" w:eastAsia="Arial" w:cs="Arial"/>
          <w:sz w:val="22"/>
          <w:szCs w:val="22"/>
        </w:rPr>
        <w:t>!" The perilous navigation between medicalization and diagnostic nihilism', Clinical Neuropsychiatry, 22(1), pp.5-8.</w:t>
      </w:r>
    </w:p>
    <w:p xmlns:wp14="http://schemas.microsoft.com/office/word/2010/wordml" w:rsidRPr="0091554F" w:rsidR="00895609" w:rsidP="0091554F" w:rsidRDefault="00580319" w14:paraId="72D962EC" wp14:textId="77777777">
      <w:pPr>
        <w:spacing w:after="150" w:line="360" w:lineRule="auto"/>
        <w:ind w:left="720" w:hanging="720"/>
        <w:jc w:val="both"/>
        <w:rPr>
          <w:rFonts w:ascii="Arial" w:hAnsi="Arial" w:cs="Arial"/>
          <w:sz w:val="22"/>
          <w:szCs w:val="22"/>
        </w:rPr>
      </w:pPr>
      <w:r w:rsidRPr="0091554F">
        <w:rPr>
          <w:rFonts w:ascii="Arial" w:hAnsi="Arial" w:eastAsia="Arial" w:cs="Arial"/>
          <w:sz w:val="22"/>
          <w:szCs w:val="22"/>
        </w:rPr>
        <w:t>World Health Organization (2024) ICD-11 for Mortality and Morbidity Statistics: 6B01 Panic Diso</w:t>
      </w:r>
      <w:r w:rsidRPr="0091554F">
        <w:rPr>
          <w:rFonts w:ascii="Arial" w:hAnsi="Arial" w:eastAsia="Arial" w:cs="Arial"/>
          <w:sz w:val="22"/>
          <w:szCs w:val="22"/>
        </w:rPr>
        <w:t>rder. Geneva: World Health Organization. Available at: https://icd.who.int/browse11 (Accessed: 7 July 2026).</w:t>
      </w:r>
    </w:p>
    <w:sectPr w:rsidRPr="0091554F" w:rsidR="00895609">
      <w:headerReference w:type="default" r:id="rId7"/>
      <w:footerReference w:type="default" r:id="rId8"/>
      <w:pgSz w:w="11906" w:h="16838" w:orient="portrait"/>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80319" w:rsidRDefault="00580319" w14:paraId="0E27B00A" wp14:textId="77777777">
      <w:r>
        <w:separator/>
      </w:r>
    </w:p>
  </w:endnote>
  <w:endnote w:type="continuationSeparator" w:id="0">
    <w:p xmlns:wp14="http://schemas.microsoft.com/office/word/2010/wordml" w:rsidR="00580319" w:rsidRDefault="00580319" w14:paraId="60061E4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895609" w:rsidRDefault="00895609" w14:paraId="72A3D3EC" wp14:textId="777777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80319" w:rsidRDefault="00580319" w14:paraId="44EAFD9C" wp14:textId="77777777">
      <w:r>
        <w:separator/>
      </w:r>
    </w:p>
  </w:footnote>
  <w:footnote w:type="continuationSeparator" w:id="0">
    <w:p xmlns:wp14="http://schemas.microsoft.com/office/word/2010/wordml" w:rsidR="00580319" w:rsidRDefault="00580319" w14:paraId="4B94D5A5"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895609" w:rsidRDefault="00895609" w14:paraId="0D0B940D" wp14:textId="7777777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6CD5"/>
    <w:multiLevelType w:val="hybridMultilevel"/>
    <w:tmpl w:val="CD6645D2"/>
    <w:lvl w:ilvl="0" w:tplc="D966C030">
      <w:start w:val="1"/>
      <w:numFmt w:val="bullet"/>
      <w:lvlText w:val="●"/>
      <w:lvlJc w:val="left"/>
      <w:pPr>
        <w:ind w:left="720" w:hanging="360"/>
      </w:pPr>
    </w:lvl>
    <w:lvl w:ilvl="1" w:tplc="983E19A2">
      <w:start w:val="1"/>
      <w:numFmt w:val="bullet"/>
      <w:lvlText w:val="○"/>
      <w:lvlJc w:val="left"/>
      <w:pPr>
        <w:ind w:left="1440" w:hanging="360"/>
      </w:pPr>
    </w:lvl>
    <w:lvl w:ilvl="2" w:tplc="DC86B38C">
      <w:start w:val="1"/>
      <w:numFmt w:val="bullet"/>
      <w:lvlText w:val="■"/>
      <w:lvlJc w:val="left"/>
      <w:pPr>
        <w:ind w:left="2160" w:hanging="360"/>
      </w:pPr>
    </w:lvl>
    <w:lvl w:ilvl="3" w:tplc="B8E60782">
      <w:start w:val="1"/>
      <w:numFmt w:val="bullet"/>
      <w:lvlText w:val="●"/>
      <w:lvlJc w:val="left"/>
      <w:pPr>
        <w:ind w:left="2880" w:hanging="360"/>
      </w:pPr>
    </w:lvl>
    <w:lvl w:ilvl="4" w:tplc="7EB0A6FA">
      <w:start w:val="1"/>
      <w:numFmt w:val="bullet"/>
      <w:lvlText w:val="○"/>
      <w:lvlJc w:val="left"/>
      <w:pPr>
        <w:ind w:left="3600" w:hanging="360"/>
      </w:pPr>
    </w:lvl>
    <w:lvl w:ilvl="5" w:tplc="4D3AFE08">
      <w:start w:val="1"/>
      <w:numFmt w:val="bullet"/>
      <w:lvlText w:val="■"/>
      <w:lvlJc w:val="left"/>
      <w:pPr>
        <w:ind w:left="4320" w:hanging="360"/>
      </w:pPr>
    </w:lvl>
    <w:lvl w:ilvl="6" w:tplc="01E613CA">
      <w:start w:val="1"/>
      <w:numFmt w:val="bullet"/>
      <w:lvlText w:val="●"/>
      <w:lvlJc w:val="left"/>
      <w:pPr>
        <w:ind w:left="5040" w:hanging="360"/>
      </w:pPr>
    </w:lvl>
    <w:lvl w:ilvl="7" w:tplc="A37C5F22">
      <w:start w:val="1"/>
      <w:numFmt w:val="bullet"/>
      <w:lvlText w:val="●"/>
      <w:lvlJc w:val="left"/>
      <w:pPr>
        <w:ind w:left="5760" w:hanging="360"/>
      </w:pPr>
    </w:lvl>
    <w:lvl w:ilvl="8" w:tplc="04161BB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609"/>
    <w:rsid w:val="00580319"/>
    <w:rsid w:val="00673AE2"/>
    <w:rsid w:val="00895609"/>
    <w:rsid w:val="0091554F"/>
    <w:rsid w:val="00B05C9C"/>
    <w:rsid w:val="00EB8E82"/>
    <w:rsid w:val="018F085D"/>
    <w:rsid w:val="0C99A78D"/>
    <w:rsid w:val="1D285F2D"/>
    <w:rsid w:val="2ADD21F2"/>
    <w:rsid w:val="2CD93975"/>
    <w:rsid w:val="35848F83"/>
    <w:rsid w:val="3CAA2FB1"/>
    <w:rsid w:val="53F8AEFB"/>
    <w:rsid w:val="5BBAB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35AD7"/>
  <w15:docId w15:val="{F3D77770-EDE2-41E3-B85F-B572FA967A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1554F"/>
    <w:pPr>
      <w:tabs>
        <w:tab w:val="center" w:pos="4680"/>
        <w:tab w:val="right" w:pos="9360"/>
      </w:tabs>
    </w:pPr>
  </w:style>
  <w:style w:type="character" w:styleId="HeaderChar" w:customStyle="1">
    <w:name w:val="Header Char"/>
    <w:basedOn w:val="DefaultParagraphFont"/>
    <w:link w:val="Header"/>
    <w:uiPriority w:val="99"/>
    <w:rsid w:val="0091554F"/>
  </w:style>
  <w:style w:type="paragraph" w:styleId="Footer">
    <w:name w:val="footer"/>
    <w:basedOn w:val="Normal"/>
    <w:link w:val="FooterChar"/>
    <w:uiPriority w:val="99"/>
    <w:unhideWhenUsed/>
    <w:rsid w:val="0091554F"/>
    <w:pPr>
      <w:tabs>
        <w:tab w:val="center" w:pos="4680"/>
        <w:tab w:val="right" w:pos="9360"/>
      </w:tabs>
    </w:pPr>
  </w:style>
  <w:style w:type="character" w:styleId="FooterChar" w:customStyle="1">
    <w:name w:val="Footer Char"/>
    <w:basedOn w:val="DefaultParagraphFont"/>
    <w:link w:val="Footer"/>
    <w:uiPriority w:val="99"/>
    <w:rsid w:val="00915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1748">
      <w:bodyDiv w:val="1"/>
      <w:marLeft w:val="0"/>
      <w:marRight w:val="0"/>
      <w:marTop w:val="0"/>
      <w:marBottom w:val="0"/>
      <w:divBdr>
        <w:top w:val="none" w:sz="0" w:space="0" w:color="auto"/>
        <w:left w:val="none" w:sz="0" w:space="0" w:color="auto"/>
        <w:bottom w:val="none" w:sz="0" w:space="0" w:color="auto"/>
        <w:right w:val="none" w:sz="0" w:space="0" w:color="auto"/>
      </w:divBdr>
      <w:divsChild>
        <w:div w:id="1090276334">
          <w:marLeft w:val="0"/>
          <w:marRight w:val="0"/>
          <w:marTop w:val="120"/>
          <w:marBottom w:val="120"/>
          <w:divBdr>
            <w:top w:val="none" w:sz="0" w:space="0" w:color="auto"/>
            <w:left w:val="none" w:sz="0" w:space="0" w:color="auto"/>
            <w:bottom w:val="none" w:sz="0" w:space="0" w:color="auto"/>
            <w:right w:val="none" w:sz="0" w:space="0" w:color="auto"/>
          </w:divBdr>
        </w:div>
        <w:div w:id="156263833">
          <w:marLeft w:val="0"/>
          <w:marRight w:val="0"/>
          <w:marTop w:val="120"/>
          <w:marBottom w:val="120"/>
          <w:divBdr>
            <w:top w:val="none" w:sz="0" w:space="0" w:color="auto"/>
            <w:left w:val="none" w:sz="0" w:space="0" w:color="auto"/>
            <w:bottom w:val="none" w:sz="0" w:space="0" w:color="auto"/>
            <w:right w:val="none" w:sz="0" w:space="0" w:color="auto"/>
          </w:divBdr>
        </w:div>
        <w:div w:id="1358046891">
          <w:marLeft w:val="0"/>
          <w:marRight w:val="0"/>
          <w:marTop w:val="120"/>
          <w:marBottom w:val="120"/>
          <w:divBdr>
            <w:top w:val="none" w:sz="0" w:space="0" w:color="auto"/>
            <w:left w:val="none" w:sz="0" w:space="0" w:color="auto"/>
            <w:bottom w:val="none" w:sz="0" w:space="0" w:color="auto"/>
            <w:right w:val="none" w:sz="0" w:space="0" w:color="auto"/>
          </w:divBdr>
        </w:div>
        <w:div w:id="2135058839">
          <w:marLeft w:val="0"/>
          <w:marRight w:val="0"/>
          <w:marTop w:val="120"/>
          <w:marBottom w:val="120"/>
          <w:divBdr>
            <w:top w:val="none" w:sz="0" w:space="0" w:color="auto"/>
            <w:left w:val="none" w:sz="0" w:space="0" w:color="auto"/>
            <w:bottom w:val="none" w:sz="0" w:space="0" w:color="auto"/>
            <w:right w:val="none" w:sz="0" w:space="0" w:color="auto"/>
          </w:divBdr>
        </w:div>
        <w:div w:id="1686443422">
          <w:marLeft w:val="0"/>
          <w:marRight w:val="0"/>
          <w:marTop w:val="120"/>
          <w:marBottom w:val="120"/>
          <w:divBdr>
            <w:top w:val="none" w:sz="0" w:space="0" w:color="auto"/>
            <w:left w:val="none" w:sz="0" w:space="0" w:color="auto"/>
            <w:bottom w:val="none" w:sz="0" w:space="0" w:color="auto"/>
            <w:right w:val="none" w:sz="0" w:space="0" w:color="auto"/>
          </w:divBdr>
        </w:div>
        <w:div w:id="1309938261">
          <w:marLeft w:val="0"/>
          <w:marRight w:val="0"/>
          <w:marTop w:val="120"/>
          <w:marBottom w:val="120"/>
          <w:divBdr>
            <w:top w:val="none" w:sz="0" w:space="0" w:color="auto"/>
            <w:left w:val="none" w:sz="0" w:space="0" w:color="auto"/>
            <w:bottom w:val="none" w:sz="0" w:space="0" w:color="auto"/>
            <w:right w:val="none" w:sz="0" w:space="0" w:color="auto"/>
          </w:divBdr>
        </w:div>
        <w:div w:id="1405880861">
          <w:marLeft w:val="0"/>
          <w:marRight w:val="0"/>
          <w:marTop w:val="120"/>
          <w:marBottom w:val="120"/>
          <w:divBdr>
            <w:top w:val="none" w:sz="0" w:space="0" w:color="auto"/>
            <w:left w:val="none" w:sz="0" w:space="0" w:color="auto"/>
            <w:bottom w:val="none" w:sz="0" w:space="0" w:color="auto"/>
            <w:right w:val="none" w:sz="0" w:space="0" w:color="auto"/>
          </w:divBdr>
        </w:div>
        <w:div w:id="1921718164">
          <w:marLeft w:val="0"/>
          <w:marRight w:val="0"/>
          <w:marTop w:val="120"/>
          <w:marBottom w:val="120"/>
          <w:divBdr>
            <w:top w:val="none" w:sz="0" w:space="0" w:color="auto"/>
            <w:left w:val="none" w:sz="0" w:space="0" w:color="auto"/>
            <w:bottom w:val="none" w:sz="0" w:space="0" w:color="auto"/>
            <w:right w:val="none" w:sz="0" w:space="0" w:color="auto"/>
          </w:divBdr>
        </w:div>
        <w:div w:id="424543010">
          <w:marLeft w:val="0"/>
          <w:marRight w:val="0"/>
          <w:marTop w:val="120"/>
          <w:marBottom w:val="120"/>
          <w:divBdr>
            <w:top w:val="none" w:sz="0" w:space="0" w:color="auto"/>
            <w:left w:val="none" w:sz="0" w:space="0" w:color="auto"/>
            <w:bottom w:val="none" w:sz="0" w:space="0" w:color="auto"/>
            <w:right w:val="none" w:sz="0" w:space="0" w:color="auto"/>
          </w:divBdr>
        </w:div>
        <w:div w:id="735392818">
          <w:marLeft w:val="0"/>
          <w:marRight w:val="0"/>
          <w:marTop w:val="120"/>
          <w:marBottom w:val="120"/>
          <w:divBdr>
            <w:top w:val="none" w:sz="0" w:space="0" w:color="auto"/>
            <w:left w:val="none" w:sz="0" w:space="0" w:color="auto"/>
            <w:bottom w:val="none" w:sz="0" w:space="0" w:color="auto"/>
            <w:right w:val="none" w:sz="0" w:space="0" w:color="auto"/>
          </w:divBdr>
        </w:div>
        <w:div w:id="1996375685">
          <w:marLeft w:val="0"/>
          <w:marRight w:val="0"/>
          <w:marTop w:val="120"/>
          <w:marBottom w:val="120"/>
          <w:divBdr>
            <w:top w:val="none" w:sz="0" w:space="0" w:color="auto"/>
            <w:left w:val="none" w:sz="0" w:space="0" w:color="auto"/>
            <w:bottom w:val="none" w:sz="0" w:space="0" w:color="auto"/>
            <w:right w:val="none" w:sz="0" w:space="0" w:color="auto"/>
          </w:divBdr>
        </w:div>
        <w:div w:id="1999461989">
          <w:marLeft w:val="0"/>
          <w:marRight w:val="0"/>
          <w:marTop w:val="120"/>
          <w:marBottom w:val="120"/>
          <w:divBdr>
            <w:top w:val="none" w:sz="0" w:space="0" w:color="auto"/>
            <w:left w:val="none" w:sz="0" w:space="0" w:color="auto"/>
            <w:bottom w:val="none" w:sz="0" w:space="0" w:color="auto"/>
            <w:right w:val="none" w:sz="0" w:space="0" w:color="auto"/>
          </w:divBdr>
        </w:div>
        <w:div w:id="1742488062">
          <w:marLeft w:val="0"/>
          <w:marRight w:val="0"/>
          <w:marTop w:val="120"/>
          <w:marBottom w:val="120"/>
          <w:divBdr>
            <w:top w:val="none" w:sz="0" w:space="0" w:color="auto"/>
            <w:left w:val="none" w:sz="0" w:space="0" w:color="auto"/>
            <w:bottom w:val="none" w:sz="0" w:space="0" w:color="auto"/>
            <w:right w:val="none" w:sz="0" w:space="0" w:color="auto"/>
          </w:divBdr>
        </w:div>
        <w:div w:id="1440906131">
          <w:marLeft w:val="0"/>
          <w:marRight w:val="0"/>
          <w:marTop w:val="120"/>
          <w:marBottom w:val="120"/>
          <w:divBdr>
            <w:top w:val="none" w:sz="0" w:space="0" w:color="auto"/>
            <w:left w:val="none" w:sz="0" w:space="0" w:color="auto"/>
            <w:bottom w:val="none" w:sz="0" w:space="0" w:color="auto"/>
            <w:right w:val="none" w:sz="0" w:space="0" w:color="auto"/>
          </w:divBdr>
        </w:div>
        <w:div w:id="1964580598">
          <w:marLeft w:val="0"/>
          <w:marRight w:val="0"/>
          <w:marTop w:val="120"/>
          <w:marBottom w:val="120"/>
          <w:divBdr>
            <w:top w:val="none" w:sz="0" w:space="0" w:color="auto"/>
            <w:left w:val="none" w:sz="0" w:space="0" w:color="auto"/>
            <w:bottom w:val="none" w:sz="0" w:space="0" w:color="auto"/>
            <w:right w:val="none" w:sz="0" w:space="0" w:color="auto"/>
          </w:divBdr>
        </w:div>
        <w:div w:id="1168515394">
          <w:marLeft w:val="0"/>
          <w:marRight w:val="0"/>
          <w:marTop w:val="120"/>
          <w:marBottom w:val="120"/>
          <w:divBdr>
            <w:top w:val="none" w:sz="0" w:space="0" w:color="auto"/>
            <w:left w:val="none" w:sz="0" w:space="0" w:color="auto"/>
            <w:bottom w:val="none" w:sz="0" w:space="0" w:color="auto"/>
            <w:right w:val="none" w:sz="0" w:space="0" w:color="auto"/>
          </w:divBdr>
        </w:div>
        <w:div w:id="1893346681">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Salma Rashid (2332571)</lastModifiedBy>
  <revision>3</revision>
  <dcterms:created xsi:type="dcterms:W3CDTF">2026-07-06T21:38:00.0000000Z</dcterms:created>
  <dcterms:modified xsi:type="dcterms:W3CDTF">2026-07-17T17:19:45.3680316Z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1bdbc423-9c80-406b-a528-1e120051baee</vt:lpwstr>
  </property>
</Properties>
</file>