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D5AC4E" w14:textId="4E3E2744" w:rsidR="00BB475F" w:rsidRDefault="001D13D3" w:rsidP="001D13D3">
      <w:pPr>
        <w:jc w:val="center"/>
        <w:rPr>
          <w:rFonts w:ascii="Arial" w:hAnsi="Arial" w:cs="Arial"/>
          <w:b/>
          <w:bCs/>
          <w:sz w:val="28"/>
          <w:szCs w:val="28"/>
        </w:rPr>
      </w:pPr>
      <w:r w:rsidRPr="001D13D3">
        <w:rPr>
          <w:rFonts w:ascii="Arial" w:hAnsi="Arial" w:cs="Arial"/>
          <w:b/>
          <w:bCs/>
          <w:sz w:val="28"/>
          <w:szCs w:val="28"/>
        </w:rPr>
        <w:t>Se</w:t>
      </w:r>
      <w:r w:rsidR="00262FAF">
        <w:rPr>
          <w:rFonts w:ascii="Arial" w:hAnsi="Arial" w:cs="Arial"/>
          <w:b/>
          <w:bCs/>
          <w:sz w:val="28"/>
          <w:szCs w:val="28"/>
        </w:rPr>
        <w:t>lected Studies</w:t>
      </w:r>
      <w:r w:rsidRPr="001D13D3">
        <w:rPr>
          <w:rFonts w:ascii="Arial" w:hAnsi="Arial" w:cs="Arial"/>
          <w:b/>
          <w:bCs/>
          <w:sz w:val="28"/>
          <w:szCs w:val="28"/>
        </w:rPr>
        <w:t xml:space="preserve"> Sheet</w:t>
      </w:r>
      <w:r w:rsidR="00E512FA">
        <w:rPr>
          <w:rFonts w:ascii="Arial" w:hAnsi="Arial" w:cs="Arial"/>
          <w:b/>
          <w:bCs/>
          <w:sz w:val="28"/>
          <w:szCs w:val="28"/>
        </w:rPr>
        <w:t xml:space="preserve"> - ITR</w:t>
      </w:r>
    </w:p>
    <w:p w14:paraId="7C25558B" w14:textId="77777777" w:rsidR="001D13D3" w:rsidRDefault="001D13D3" w:rsidP="001D13D3">
      <w:pPr>
        <w:jc w:val="center"/>
        <w:rPr>
          <w:rFonts w:ascii="Arial" w:hAnsi="Arial" w:cs="Arial"/>
          <w:b/>
          <w:bCs/>
          <w:sz w:val="28"/>
          <w:szCs w:val="28"/>
        </w:rPr>
      </w:pPr>
    </w:p>
    <w:p w14:paraId="4D19C3CF" w14:textId="2490CE3C" w:rsidR="001D13D3" w:rsidRPr="00E67B4D" w:rsidRDefault="001D13D3" w:rsidP="001D13D3">
      <w:pPr>
        <w:rPr>
          <w:rFonts w:ascii="Arial" w:hAnsi="Arial" w:cs="Arial"/>
          <w:szCs w:val="24"/>
        </w:rPr>
      </w:pPr>
      <w:r w:rsidRPr="00E67B4D">
        <w:rPr>
          <w:rFonts w:ascii="Arial" w:hAnsi="Arial" w:cs="Arial"/>
          <w:b/>
          <w:bCs/>
          <w:szCs w:val="24"/>
        </w:rPr>
        <w:t>Name of student:</w:t>
      </w:r>
      <w:r w:rsidRPr="00E67B4D">
        <w:rPr>
          <w:rFonts w:ascii="Arial" w:hAnsi="Arial" w:cs="Arial"/>
          <w:szCs w:val="24"/>
        </w:rPr>
        <w:t xml:space="preserve"> ………………………</w:t>
      </w:r>
    </w:p>
    <w:p w14:paraId="62448DDD" w14:textId="62DA04CF" w:rsidR="001D13D3" w:rsidRPr="00E67B4D" w:rsidRDefault="001D13D3" w:rsidP="001D13D3">
      <w:pPr>
        <w:rPr>
          <w:rFonts w:ascii="Arial" w:hAnsi="Arial" w:cs="Arial"/>
          <w:b/>
          <w:bCs/>
          <w:szCs w:val="24"/>
        </w:rPr>
      </w:pPr>
      <w:r w:rsidRPr="00E67B4D">
        <w:rPr>
          <w:rFonts w:ascii="Arial" w:hAnsi="Arial" w:cs="Arial"/>
          <w:b/>
          <w:bCs/>
          <w:szCs w:val="24"/>
        </w:rPr>
        <w:t>Topic/aim of your research:</w:t>
      </w:r>
      <w:r w:rsidRPr="00E67B4D">
        <w:rPr>
          <w:rFonts w:ascii="Arial" w:hAnsi="Arial" w:cs="Arial"/>
          <w:szCs w:val="24"/>
        </w:rPr>
        <w:t xml:space="preserve"> ………………………………………………</w:t>
      </w:r>
    </w:p>
    <w:p w14:paraId="2B2F1573" w14:textId="6F86B11E" w:rsidR="001D13D3" w:rsidRDefault="001D13D3"/>
    <w:tbl>
      <w:tblPr>
        <w:tblW w:w="12890" w:type="dxa"/>
        <w:tblCellMar>
          <w:left w:w="0" w:type="dxa"/>
          <w:right w:w="0" w:type="dxa"/>
        </w:tblCellMar>
        <w:tblLook w:val="04A0" w:firstRow="1" w:lastRow="0" w:firstColumn="1" w:lastColumn="0" w:noHBand="0" w:noVBand="1"/>
      </w:tblPr>
      <w:tblGrid>
        <w:gridCol w:w="499"/>
        <w:gridCol w:w="2468"/>
        <w:gridCol w:w="2376"/>
        <w:gridCol w:w="3476"/>
        <w:gridCol w:w="4071"/>
      </w:tblGrid>
      <w:tr w:rsidR="00113095" w:rsidRPr="00113095" w14:paraId="5B717C06" w14:textId="77777777" w:rsidTr="00113095">
        <w:trPr>
          <w:trHeight w:val="821"/>
        </w:trPr>
        <w:tc>
          <w:tcPr>
            <w:tcW w:w="557" w:type="dxa"/>
            <w:tcBorders>
              <w:top w:val="single" w:sz="8" w:space="0" w:color="000000"/>
              <w:left w:val="single" w:sz="8" w:space="0" w:color="000000"/>
              <w:bottom w:val="single" w:sz="8" w:space="0" w:color="000000"/>
              <w:right w:val="single" w:sz="8" w:space="0" w:color="000000"/>
            </w:tcBorders>
          </w:tcPr>
          <w:p w14:paraId="7714D0ED" w14:textId="77777777" w:rsidR="00113095" w:rsidRPr="00113095" w:rsidRDefault="00113095" w:rsidP="00113095">
            <w:pPr>
              <w:rPr>
                <w:rFonts w:ascii="Arial" w:hAnsi="Arial" w:cs="Arial"/>
                <w:b/>
                <w:bCs/>
              </w:rPr>
            </w:pP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CC7A6D0" w14:textId="2C0280D2" w:rsidR="00113095" w:rsidRPr="00113095" w:rsidRDefault="00113095" w:rsidP="00113095">
            <w:pPr>
              <w:rPr>
                <w:rFonts w:ascii="Arial" w:hAnsi="Arial" w:cs="Arial"/>
                <w:b/>
                <w:bCs/>
              </w:rPr>
            </w:pPr>
            <w:r w:rsidRPr="00113095">
              <w:rPr>
                <w:rFonts w:ascii="Arial" w:hAnsi="Arial" w:cs="Arial"/>
                <w:b/>
                <w:bCs/>
              </w:rPr>
              <w:t>Author(s), title, and year of publication</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2578708" w14:textId="77777777" w:rsidR="00113095" w:rsidRPr="00113095" w:rsidRDefault="00113095" w:rsidP="00113095">
            <w:pPr>
              <w:rPr>
                <w:rFonts w:ascii="Arial" w:hAnsi="Arial" w:cs="Arial"/>
                <w:b/>
                <w:bCs/>
              </w:rPr>
            </w:pPr>
            <w:r w:rsidRPr="00113095">
              <w:rPr>
                <w:rFonts w:ascii="Arial" w:hAnsi="Arial" w:cs="Arial"/>
                <w:b/>
                <w:bCs/>
              </w:rPr>
              <w:t>Aim of study</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2E3EEFC" w14:textId="5EED79C2" w:rsidR="00113095" w:rsidRPr="00113095" w:rsidRDefault="00113095" w:rsidP="00113095">
            <w:pPr>
              <w:rPr>
                <w:rFonts w:ascii="Arial" w:hAnsi="Arial" w:cs="Arial"/>
                <w:b/>
                <w:bCs/>
              </w:rPr>
            </w:pPr>
            <w:r w:rsidRPr="00113095">
              <w:rPr>
                <w:rFonts w:ascii="Arial" w:hAnsi="Arial" w:cs="Arial"/>
                <w:b/>
                <w:bCs/>
              </w:rPr>
              <w:t>Methods, Sample size and characteristics</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D54126A" w14:textId="77777777" w:rsidR="00113095" w:rsidRPr="00113095" w:rsidRDefault="00113095" w:rsidP="00113095">
            <w:pPr>
              <w:rPr>
                <w:rFonts w:ascii="Arial" w:hAnsi="Arial" w:cs="Arial"/>
                <w:b/>
                <w:bCs/>
              </w:rPr>
            </w:pPr>
            <w:r w:rsidRPr="00113095">
              <w:rPr>
                <w:rFonts w:ascii="Arial" w:hAnsi="Arial" w:cs="Arial"/>
                <w:b/>
                <w:bCs/>
              </w:rPr>
              <w:t>Summary of main findings</w:t>
            </w:r>
          </w:p>
          <w:p w14:paraId="5D533051" w14:textId="77777777" w:rsidR="00113095" w:rsidRPr="00113095" w:rsidRDefault="00113095" w:rsidP="00113095">
            <w:pPr>
              <w:rPr>
                <w:rFonts w:ascii="Arial" w:hAnsi="Arial" w:cs="Arial"/>
                <w:b/>
                <w:bCs/>
              </w:rPr>
            </w:pPr>
            <w:r w:rsidRPr="00113095">
              <w:rPr>
                <w:rFonts w:ascii="Arial" w:hAnsi="Arial" w:cs="Arial"/>
                <w:b/>
                <w:bCs/>
              </w:rPr>
              <w:t xml:space="preserve"> </w:t>
            </w:r>
          </w:p>
        </w:tc>
      </w:tr>
      <w:tr w:rsidR="00113095" w:rsidRPr="00113095" w14:paraId="10858988" w14:textId="77777777" w:rsidTr="00113095">
        <w:trPr>
          <w:trHeight w:val="457"/>
        </w:trPr>
        <w:tc>
          <w:tcPr>
            <w:tcW w:w="557" w:type="dxa"/>
            <w:tcBorders>
              <w:top w:val="single" w:sz="8" w:space="0" w:color="000000"/>
              <w:left w:val="single" w:sz="8" w:space="0" w:color="000000"/>
              <w:bottom w:val="single" w:sz="8" w:space="0" w:color="000000"/>
              <w:right w:val="single" w:sz="8" w:space="0" w:color="000000"/>
            </w:tcBorders>
          </w:tcPr>
          <w:p w14:paraId="3B8847AF" w14:textId="3D4A7F1A" w:rsidR="00113095" w:rsidRPr="00113095" w:rsidRDefault="00113095" w:rsidP="00113095">
            <w:pPr>
              <w:jc w:val="center"/>
              <w:rPr>
                <w:rFonts w:ascii="Arial" w:hAnsi="Arial" w:cs="Arial"/>
                <w:b/>
                <w:bCs/>
              </w:rPr>
            </w:pPr>
            <w:r w:rsidRPr="00113095">
              <w:rPr>
                <w:rFonts w:ascii="Arial" w:hAnsi="Arial" w:cs="Arial"/>
                <w:b/>
                <w:bCs/>
              </w:rPr>
              <w:t>1</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BD979C1" w14:textId="77777777" w:rsidR="00113095" w:rsidRDefault="00575535" w:rsidP="00113095">
            <w:r>
              <w:t>JA Lane1,2, SE Oliver</w:t>
            </w:r>
            <w:proofErr w:type="gramStart"/>
            <w:r>
              <w:t>3 ,</w:t>
            </w:r>
            <w:proofErr w:type="gramEnd"/>
            <w:r>
              <w:t xml:space="preserve"> PN Appleby4 , MAH Lentjes5 , P Emmett1 , D Kuh6 , A Stephen6,7, EJ Brunner8 , MJ Shipley8 , FC Hamdy9 , DE Neal10, JL Donovan1 , K-T Khaw5,11 and TJ Key4</w:t>
            </w:r>
          </w:p>
          <w:p w14:paraId="2BAFE1E6" w14:textId="5B4086BA" w:rsidR="00342AB6" w:rsidRPr="00113095" w:rsidRDefault="00342AB6" w:rsidP="00113095">
            <w:pPr>
              <w:rPr>
                <w:rFonts w:ascii="Arial" w:hAnsi="Arial" w:cs="Arial"/>
              </w:rPr>
            </w:pPr>
            <w:r>
              <w:rPr>
                <w:rFonts w:ascii="Arial" w:hAnsi="Arial" w:cs="Arial"/>
              </w:rPr>
              <w:t>(2016)</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57A07BA" w14:textId="02BB51E7" w:rsidR="00113095" w:rsidRPr="00113095" w:rsidRDefault="00873DA3" w:rsidP="00113095">
            <w:pPr>
              <w:rPr>
                <w:rFonts w:ascii="Arial" w:hAnsi="Arial" w:cs="Arial"/>
              </w:rPr>
            </w:pPr>
            <w:r>
              <w:t>The influence of dietary factors remains controversial for screen-detected prostate cancer and inconclusive for clinically detected disease. We aimed to examine these associations using prospectively collected food diaries.</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58735E1" w14:textId="2D52CFAF" w:rsidR="00113095" w:rsidRPr="00113095" w:rsidRDefault="001A6968" w:rsidP="00113095">
            <w:pPr>
              <w:rPr>
                <w:rFonts w:ascii="Arial" w:hAnsi="Arial" w:cs="Arial"/>
              </w:rPr>
            </w:pPr>
            <w:proofErr w:type="spellStart"/>
            <w:r>
              <w:t>sthe</w:t>
            </w:r>
            <w:proofErr w:type="spellEnd"/>
            <w:r>
              <w:t xml:space="preserve"> five UK Dietary Cohort Consortium studies that contributed data: European Prospective Investigation into Cancer and Nutrition (EPIC)-Norfolk,14 EPIC-Oxford,15 Medical Research Council National Survey of Health and Development (NSHD),16 P</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F2A9AE8" w14:textId="335ACDE8" w:rsidR="00113095" w:rsidRPr="00113095" w:rsidRDefault="001A6968" w:rsidP="00113095">
            <w:pPr>
              <w:rPr>
                <w:rFonts w:ascii="Arial" w:hAnsi="Arial" w:cs="Arial"/>
              </w:rPr>
            </w:pPr>
            <w:r>
              <w:t>In summary, this large study revealed no strong evidence that prostate cancer risk is associated with dietary intake measured prior to diagnosis in middle-aged and older men.</w:t>
            </w:r>
          </w:p>
        </w:tc>
      </w:tr>
      <w:tr w:rsidR="00113095" w:rsidRPr="00113095" w14:paraId="1E0A8FD5"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18016064" w14:textId="6DFAE188" w:rsidR="00113095" w:rsidRPr="00113095" w:rsidRDefault="00113095" w:rsidP="00113095">
            <w:pPr>
              <w:jc w:val="center"/>
              <w:rPr>
                <w:rFonts w:ascii="Arial" w:hAnsi="Arial" w:cs="Arial"/>
                <w:b/>
                <w:bCs/>
              </w:rPr>
            </w:pPr>
            <w:r w:rsidRPr="00113095">
              <w:rPr>
                <w:rFonts w:ascii="Arial" w:hAnsi="Arial" w:cs="Arial"/>
                <w:b/>
                <w:bCs/>
              </w:rPr>
              <w:t>2</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DF9D250" w14:textId="7F55417E" w:rsidR="00113095" w:rsidRPr="00113095" w:rsidRDefault="00342AB6" w:rsidP="00113095">
            <w:pPr>
              <w:rPr>
                <w:rFonts w:ascii="Arial" w:hAnsi="Arial" w:cs="Arial"/>
              </w:rPr>
            </w:pPr>
            <w:r>
              <w:t>Aurora Perez-</w:t>
            </w:r>
            <w:proofErr w:type="spellStart"/>
            <w:r>
              <w:t>Cornago</w:t>
            </w:r>
            <w:proofErr w:type="spellEnd"/>
            <w:r>
              <w:t>*,1, Timothy J Key</w:t>
            </w:r>
            <w:proofErr w:type="gramStart"/>
            <w:r>
              <w:t>1 ,</w:t>
            </w:r>
            <w:proofErr w:type="gramEnd"/>
            <w:r>
              <w:t xml:space="preserve"> Naomi E Allen2 , Georgina K Fensom1 , Kathryn E </w:t>
            </w:r>
            <w:r>
              <w:lastRenderedPageBreak/>
              <w:t>Bradbury1 , Richard M Martin3,4,5 and Ruth C Travis1</w:t>
            </w:r>
            <w:r>
              <w:t>(2017)</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40631D6" w14:textId="1C705268" w:rsidR="00113095" w:rsidRPr="00113095" w:rsidRDefault="00342AB6" w:rsidP="00113095">
            <w:pPr>
              <w:rPr>
                <w:rFonts w:ascii="Arial" w:hAnsi="Arial" w:cs="Arial"/>
              </w:rPr>
            </w:pPr>
            <w:r>
              <w:lastRenderedPageBreak/>
              <w:t>Prospective investigation of risk factors for prostate cancer in the UK Biobank cohort study</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CB2B271" w14:textId="5F90165B" w:rsidR="00113095" w:rsidRPr="00113095" w:rsidRDefault="00342AB6" w:rsidP="00113095">
            <w:pPr>
              <w:rPr>
                <w:rFonts w:ascii="Arial" w:hAnsi="Arial" w:cs="Arial"/>
              </w:rPr>
            </w:pPr>
            <w:r>
              <w:t xml:space="preserve">We studied 219 335 men from the UK Biobank study who were free from cancer at baseline. Exposure data were collected at recruitment. Prostate cancer risk </w:t>
            </w:r>
            <w:r>
              <w:lastRenderedPageBreak/>
              <w:t>by the different exposures was estimated using multivariable-adjusted Cox proportional hazards models.</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E744869" w14:textId="0896AFD4" w:rsidR="00113095" w:rsidRPr="00113095" w:rsidRDefault="00342AB6" w:rsidP="00113095">
            <w:pPr>
              <w:rPr>
                <w:rFonts w:ascii="Arial" w:hAnsi="Arial" w:cs="Arial"/>
              </w:rPr>
            </w:pPr>
            <w:r>
              <w:lastRenderedPageBreak/>
              <w:t xml:space="preserve">: In this new large British prospective study, we identified associations with already-established, putative and possible novel risk factors for being diagnosed with prostate cancer. Future </w:t>
            </w:r>
            <w:r>
              <w:lastRenderedPageBreak/>
              <w:t>research will examine associations by tumour characteristics.</w:t>
            </w:r>
          </w:p>
        </w:tc>
      </w:tr>
      <w:tr w:rsidR="00113095" w:rsidRPr="00113095" w14:paraId="7809E8EE"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0E0319AF" w14:textId="4CAB1D7C" w:rsidR="00113095" w:rsidRPr="00113095" w:rsidRDefault="00113095" w:rsidP="00113095">
            <w:pPr>
              <w:jc w:val="center"/>
              <w:rPr>
                <w:rFonts w:ascii="Arial" w:hAnsi="Arial" w:cs="Arial"/>
                <w:b/>
                <w:bCs/>
              </w:rPr>
            </w:pPr>
            <w:r w:rsidRPr="00113095">
              <w:rPr>
                <w:rFonts w:ascii="Arial" w:hAnsi="Arial" w:cs="Arial"/>
                <w:b/>
                <w:bCs/>
              </w:rPr>
              <w:t>3</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63C8DE3" w14:textId="7234BF46" w:rsidR="00113095" w:rsidRPr="00113095" w:rsidRDefault="00342AB6" w:rsidP="00113095">
            <w:pPr>
              <w:rPr>
                <w:rFonts w:ascii="Arial" w:hAnsi="Arial" w:cs="Arial"/>
              </w:rPr>
            </w:pPr>
            <w:r>
              <w:t>Eleanor L. Watts1 | Georgina K. Fensom1 | Karl Smith Byrne2 | Aurora Perez-Cornago1 | Naomi E. Allen3,4 | Anika Knuppel1 | Marc J. Gunter5 | Michael V. Holmes3,6 | Richard M. Martin7,8,9 | Neil Murphy5 | Konstantinos K. Tsilidis10,11 | Bu B. Yeap12,13 | Timothy J. Key1 | Ruth C. Travis1</w:t>
            </w:r>
            <w:r w:rsidR="00F80677">
              <w:t>(2020)</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C1BF716" w14:textId="7EDADBC5" w:rsidR="00113095" w:rsidRPr="00113095" w:rsidRDefault="00F80677" w:rsidP="00113095">
            <w:pPr>
              <w:rPr>
                <w:rFonts w:ascii="Arial" w:hAnsi="Arial" w:cs="Arial"/>
              </w:rPr>
            </w:pPr>
            <w:r>
              <w:t>Circulating insulin-like growth factor-I, total and free testosterone concentrations and prostate cancer risk in 200 000 men in UK Biobank</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7E2D49E" w14:textId="0C62D98A" w:rsidR="00113095" w:rsidRPr="00113095" w:rsidRDefault="00F80677" w:rsidP="00113095">
            <w:pPr>
              <w:rPr>
                <w:rFonts w:ascii="Arial" w:hAnsi="Arial" w:cs="Arial"/>
              </w:rPr>
            </w:pPr>
            <w:r>
              <w:t>UK Biobank is a prospective cohort with open access for public health research. Details of the study protocol and data collection are available online (http://www.ukbiobank.ac.uk/wp-content/uploads/2011/ 11/UK-Biobank-Protocol.pdf) and elsewhere.12,13 In brief, all participants were registered with the UK National Health Service (NHS) and lived within 40 km of one of the UK Biobank assessment centres. Approximately 9.2 million people were initially invited to participate. Overall, 503 317 men and women aged 40 to 69 years consented to join the cohort and attended one of 22 assessment centres throughout England, Wales and Scotland between 2006 and 2010, a participation rate of 5.5%.13</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4039221" w14:textId="796FC2E3" w:rsidR="00113095" w:rsidRPr="00113095" w:rsidRDefault="00F80677" w:rsidP="00113095">
            <w:pPr>
              <w:rPr>
                <w:rFonts w:ascii="Arial" w:hAnsi="Arial" w:cs="Arial"/>
              </w:rPr>
            </w:pPr>
            <w:r>
              <w:t>, our results implicate IGF-I and free testosterone in prostate cancer development and/or progression. This analysis of 200 000 men enabled us to quantify the associations of circulating hormone concentrations with prostate cancer risk. The complementary MR for IGF-I supports a causal association. Future research will examine hormone associations by tumour stage and grade.</w:t>
            </w:r>
          </w:p>
        </w:tc>
      </w:tr>
      <w:tr w:rsidR="00113095" w:rsidRPr="00113095" w14:paraId="02BF8F9F" w14:textId="77777777" w:rsidTr="00113095">
        <w:trPr>
          <w:trHeight w:val="420"/>
        </w:trPr>
        <w:tc>
          <w:tcPr>
            <w:tcW w:w="557" w:type="dxa"/>
            <w:tcBorders>
              <w:top w:val="single" w:sz="8" w:space="0" w:color="000000"/>
              <w:left w:val="single" w:sz="8" w:space="0" w:color="000000"/>
              <w:bottom w:val="single" w:sz="8" w:space="0" w:color="000000"/>
              <w:right w:val="single" w:sz="8" w:space="0" w:color="000000"/>
            </w:tcBorders>
          </w:tcPr>
          <w:p w14:paraId="2F41CA09" w14:textId="5B96FA48" w:rsidR="00113095" w:rsidRPr="00113095" w:rsidRDefault="00113095" w:rsidP="00113095">
            <w:pPr>
              <w:jc w:val="center"/>
              <w:rPr>
                <w:rFonts w:ascii="Arial" w:hAnsi="Arial" w:cs="Arial"/>
                <w:b/>
                <w:bCs/>
              </w:rPr>
            </w:pPr>
            <w:r w:rsidRPr="00113095">
              <w:rPr>
                <w:rFonts w:ascii="Arial" w:hAnsi="Arial" w:cs="Arial"/>
                <w:b/>
                <w:bCs/>
              </w:rPr>
              <w:lastRenderedPageBreak/>
              <w:t>4</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F39F6B6" w14:textId="27FCFB4F" w:rsidR="00113095" w:rsidRPr="00113095" w:rsidRDefault="00113095" w:rsidP="00113095">
            <w:pPr>
              <w:rPr>
                <w:rFonts w:ascii="Arial" w:hAnsi="Arial" w:cs="Arial"/>
              </w:rPr>
            </w:pPr>
            <w:r w:rsidRPr="00113095">
              <w:rPr>
                <w:rFonts w:ascii="Arial" w:hAnsi="Arial" w:cs="Arial"/>
              </w:rPr>
              <w:t> </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DBA6E85" w14:textId="77777777" w:rsidR="00113095" w:rsidRPr="00113095" w:rsidRDefault="00113095" w:rsidP="00113095">
            <w:pPr>
              <w:rPr>
                <w:rFonts w:ascii="Arial" w:hAnsi="Arial" w:cs="Arial"/>
              </w:rPr>
            </w:pPr>
            <w:r w:rsidRPr="00113095">
              <w:rPr>
                <w:rFonts w:ascii="Arial" w:hAnsi="Arial" w:cs="Arial"/>
              </w:rPr>
              <w:t> </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42ECC51" w14:textId="77777777" w:rsidR="00113095" w:rsidRPr="00113095" w:rsidRDefault="00113095" w:rsidP="00113095">
            <w:pPr>
              <w:rPr>
                <w:rFonts w:ascii="Arial" w:hAnsi="Arial" w:cs="Arial"/>
              </w:rPr>
            </w:pPr>
            <w:r w:rsidRPr="00113095">
              <w:rPr>
                <w:rFonts w:ascii="Arial" w:hAnsi="Arial" w:cs="Arial"/>
              </w:rPr>
              <w:t> </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2611DC3" w14:textId="77777777" w:rsidR="00113095" w:rsidRPr="00113095" w:rsidRDefault="00113095" w:rsidP="00113095">
            <w:pPr>
              <w:rPr>
                <w:rFonts w:ascii="Arial" w:hAnsi="Arial" w:cs="Arial"/>
              </w:rPr>
            </w:pPr>
          </w:p>
        </w:tc>
      </w:tr>
      <w:tr w:rsidR="00113095" w:rsidRPr="00113095" w14:paraId="45AF545F" w14:textId="77777777" w:rsidTr="00113095">
        <w:trPr>
          <w:trHeight w:val="553"/>
        </w:trPr>
        <w:tc>
          <w:tcPr>
            <w:tcW w:w="557" w:type="dxa"/>
            <w:tcBorders>
              <w:top w:val="single" w:sz="8" w:space="0" w:color="000000"/>
              <w:left w:val="single" w:sz="8" w:space="0" w:color="000000"/>
              <w:bottom w:val="single" w:sz="8" w:space="0" w:color="000000"/>
              <w:right w:val="single" w:sz="8" w:space="0" w:color="000000"/>
            </w:tcBorders>
          </w:tcPr>
          <w:p w14:paraId="6B9B3B9A" w14:textId="4A0C8CFF" w:rsidR="00113095" w:rsidRPr="00113095" w:rsidRDefault="00113095" w:rsidP="00113095">
            <w:pPr>
              <w:jc w:val="center"/>
              <w:rPr>
                <w:rFonts w:ascii="Arial" w:hAnsi="Arial" w:cs="Arial"/>
                <w:b/>
                <w:bCs/>
              </w:rPr>
            </w:pPr>
            <w:r w:rsidRPr="00113095">
              <w:rPr>
                <w:rFonts w:ascii="Arial" w:hAnsi="Arial" w:cs="Arial"/>
                <w:b/>
                <w:bCs/>
              </w:rPr>
              <w:t>5</w:t>
            </w:r>
          </w:p>
        </w:tc>
        <w:tc>
          <w:tcPr>
            <w:tcW w:w="2615"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9F568B5" w14:textId="09F087ED" w:rsidR="00113095" w:rsidRPr="00113095" w:rsidRDefault="00113095" w:rsidP="00113095">
            <w:pPr>
              <w:rPr>
                <w:rFonts w:ascii="Arial" w:hAnsi="Arial" w:cs="Arial"/>
              </w:rPr>
            </w:pPr>
            <w:r w:rsidRPr="00113095">
              <w:rPr>
                <w:rFonts w:ascii="Arial" w:hAnsi="Arial" w:cs="Arial"/>
              </w:rPr>
              <w:t> </w:t>
            </w:r>
          </w:p>
        </w:tc>
        <w:tc>
          <w:tcPr>
            <w:tcW w:w="2504"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6BEA619" w14:textId="77777777" w:rsidR="00113095" w:rsidRPr="00113095" w:rsidRDefault="00113095" w:rsidP="00113095">
            <w:pPr>
              <w:rPr>
                <w:rFonts w:ascii="Arial" w:hAnsi="Arial" w:cs="Arial"/>
              </w:rPr>
            </w:pPr>
            <w:r w:rsidRPr="00113095">
              <w:rPr>
                <w:rFonts w:ascii="Arial" w:hAnsi="Arial" w:cs="Arial"/>
              </w:rPr>
              <w:t> </w:t>
            </w:r>
          </w:p>
        </w:tc>
        <w:tc>
          <w:tcPr>
            <w:tcW w:w="274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AF6DC58" w14:textId="77777777" w:rsidR="00113095" w:rsidRPr="00113095" w:rsidRDefault="00113095" w:rsidP="00113095">
            <w:pPr>
              <w:rPr>
                <w:rFonts w:ascii="Arial" w:hAnsi="Arial" w:cs="Arial"/>
              </w:rPr>
            </w:pPr>
            <w:r w:rsidRPr="00113095">
              <w:rPr>
                <w:rFonts w:ascii="Arial" w:hAnsi="Arial" w:cs="Arial"/>
              </w:rPr>
              <w:t> </w:t>
            </w:r>
          </w:p>
        </w:tc>
        <w:tc>
          <w:tcPr>
            <w:tcW w:w="4467"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B7013AA" w14:textId="77777777" w:rsidR="00113095" w:rsidRPr="00113095" w:rsidRDefault="00113095" w:rsidP="00113095">
            <w:pPr>
              <w:rPr>
                <w:rFonts w:ascii="Arial" w:hAnsi="Arial" w:cs="Arial"/>
              </w:rPr>
            </w:pPr>
            <w:r w:rsidRPr="00113095">
              <w:rPr>
                <w:rFonts w:ascii="Arial" w:hAnsi="Arial" w:cs="Arial"/>
              </w:rPr>
              <w:t> </w:t>
            </w:r>
          </w:p>
        </w:tc>
      </w:tr>
    </w:tbl>
    <w:p w14:paraId="1D45BAB8" w14:textId="77777777" w:rsidR="00113095" w:rsidRDefault="00113095"/>
    <w:sectPr w:rsidR="00113095" w:rsidSect="001D13D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3D3"/>
    <w:rsid w:val="00113095"/>
    <w:rsid w:val="001A6968"/>
    <w:rsid w:val="001D13D3"/>
    <w:rsid w:val="00216C85"/>
    <w:rsid w:val="00262FAF"/>
    <w:rsid w:val="00273EDD"/>
    <w:rsid w:val="002C3965"/>
    <w:rsid w:val="00321C4C"/>
    <w:rsid w:val="00342AB6"/>
    <w:rsid w:val="00575535"/>
    <w:rsid w:val="00873DA3"/>
    <w:rsid w:val="00894F9A"/>
    <w:rsid w:val="008E316A"/>
    <w:rsid w:val="009D1D1E"/>
    <w:rsid w:val="00A035FD"/>
    <w:rsid w:val="00CF4B88"/>
    <w:rsid w:val="00E512FA"/>
    <w:rsid w:val="00E67B4D"/>
    <w:rsid w:val="00F80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8BF42"/>
  <w15:chartTrackingRefBased/>
  <w15:docId w15:val="{AEE78751-C34D-4BD0-8F84-936508DF0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426856">
      <w:bodyDiv w:val="1"/>
      <w:marLeft w:val="0"/>
      <w:marRight w:val="0"/>
      <w:marTop w:val="0"/>
      <w:marBottom w:val="0"/>
      <w:divBdr>
        <w:top w:val="none" w:sz="0" w:space="0" w:color="auto"/>
        <w:left w:val="none" w:sz="0" w:space="0" w:color="auto"/>
        <w:bottom w:val="none" w:sz="0" w:space="0" w:color="auto"/>
        <w:right w:val="none" w:sz="0" w:space="0" w:color="auto"/>
      </w:divBdr>
    </w:div>
    <w:div w:id="977222749">
      <w:bodyDiv w:val="1"/>
      <w:marLeft w:val="0"/>
      <w:marRight w:val="0"/>
      <w:marTop w:val="0"/>
      <w:marBottom w:val="0"/>
      <w:divBdr>
        <w:top w:val="none" w:sz="0" w:space="0" w:color="auto"/>
        <w:left w:val="none" w:sz="0" w:space="0" w:color="auto"/>
        <w:bottom w:val="none" w:sz="0" w:space="0" w:color="auto"/>
        <w:right w:val="none" w:sz="0" w:space="0" w:color="auto"/>
      </w:divBdr>
    </w:div>
    <w:div w:id="106399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498</Words>
  <Characters>2844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Erkan Paca (2010132)</cp:lastModifiedBy>
  <cp:revision>2</cp:revision>
  <dcterms:created xsi:type="dcterms:W3CDTF">2022-03-15T11:02:00Z</dcterms:created>
  <dcterms:modified xsi:type="dcterms:W3CDTF">2022-03-15T11:02:00Z</dcterms:modified>
</cp:coreProperties>
</file>