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5985C8" w14:textId="77777777" w:rsidR="00531C18" w:rsidRDefault="00531C18">
      <w:pPr>
        <w:rPr>
          <w:rFonts w:ascii="Arial" w:hAnsi="Arial" w:cs="Arial"/>
          <w:sz w:val="40"/>
          <w:szCs w:val="40"/>
        </w:rPr>
      </w:pPr>
      <w:r w:rsidRPr="00531C18">
        <w:rPr>
          <w:rFonts w:ascii="Arial" w:hAnsi="Arial" w:cs="Arial"/>
          <w:sz w:val="40"/>
          <w:szCs w:val="40"/>
        </w:rPr>
        <w:t xml:space="preserve">                        </w:t>
      </w:r>
    </w:p>
    <w:p w14:paraId="6489538A" w14:textId="77777777" w:rsidR="00531C18" w:rsidRDefault="00531C18">
      <w:pPr>
        <w:rPr>
          <w:rFonts w:ascii="Arial" w:hAnsi="Arial" w:cs="Arial"/>
          <w:sz w:val="40"/>
          <w:szCs w:val="40"/>
        </w:rPr>
      </w:pPr>
    </w:p>
    <w:p w14:paraId="5F9E54BD" w14:textId="23ABF057" w:rsidR="00531C18" w:rsidRDefault="009D4480" w:rsidP="009D4480">
      <w:pPr>
        <w:jc w:val="center"/>
        <w:rPr>
          <w:rFonts w:ascii="Arial" w:hAnsi="Arial" w:cs="Arial"/>
          <w:sz w:val="40"/>
          <w:szCs w:val="40"/>
          <w:u w:val="single"/>
        </w:rPr>
      </w:pPr>
      <w:r w:rsidRPr="009D4480">
        <w:rPr>
          <w:rFonts w:ascii="Arial" w:hAnsi="Arial" w:cs="Arial"/>
          <w:sz w:val="40"/>
          <w:szCs w:val="40"/>
          <w:u w:val="single"/>
        </w:rPr>
        <w:t>Human Development</w:t>
      </w:r>
    </w:p>
    <w:p w14:paraId="74686E93" w14:textId="77777777" w:rsidR="009D4480" w:rsidRDefault="009D4480" w:rsidP="009D4480">
      <w:pPr>
        <w:jc w:val="center"/>
        <w:rPr>
          <w:rFonts w:ascii="Arial" w:hAnsi="Arial" w:cs="Arial"/>
          <w:sz w:val="40"/>
          <w:szCs w:val="40"/>
          <w:u w:val="single"/>
        </w:rPr>
      </w:pPr>
    </w:p>
    <w:p w14:paraId="3881130F" w14:textId="77777777" w:rsidR="009D4480" w:rsidRDefault="009D4480" w:rsidP="009D4480">
      <w:pPr>
        <w:jc w:val="center"/>
        <w:rPr>
          <w:rFonts w:ascii="Arial" w:hAnsi="Arial" w:cs="Arial"/>
          <w:sz w:val="40"/>
          <w:szCs w:val="40"/>
          <w:u w:val="single"/>
        </w:rPr>
      </w:pPr>
    </w:p>
    <w:p w14:paraId="7F736F70" w14:textId="77777777" w:rsidR="009D4480" w:rsidRDefault="009D4480" w:rsidP="009D4480">
      <w:pPr>
        <w:jc w:val="center"/>
        <w:rPr>
          <w:rFonts w:ascii="Arial" w:hAnsi="Arial" w:cs="Arial"/>
          <w:sz w:val="40"/>
          <w:szCs w:val="40"/>
          <w:u w:val="single"/>
        </w:rPr>
      </w:pPr>
      <w:r>
        <w:rPr>
          <w:rFonts w:ascii="Arial" w:hAnsi="Arial" w:cs="Arial"/>
          <w:sz w:val="40"/>
          <w:szCs w:val="40"/>
          <w:u w:val="single"/>
        </w:rPr>
        <w:t>Table of Contents</w:t>
      </w:r>
    </w:p>
    <w:p w14:paraId="78F5E8BA" w14:textId="77777777" w:rsidR="009D4480" w:rsidRDefault="009D4480" w:rsidP="009D4480">
      <w:pPr>
        <w:jc w:val="center"/>
        <w:rPr>
          <w:rFonts w:ascii="Arial" w:hAnsi="Arial" w:cs="Arial"/>
          <w:sz w:val="40"/>
          <w:szCs w:val="40"/>
          <w:u w:val="single"/>
        </w:rPr>
      </w:pPr>
    </w:p>
    <w:p w14:paraId="254DE1B7" w14:textId="77777777" w:rsidR="009D4480" w:rsidRDefault="009D4480" w:rsidP="009D4480">
      <w:pPr>
        <w:jc w:val="center"/>
        <w:rPr>
          <w:rFonts w:ascii="Arial" w:hAnsi="Arial" w:cs="Arial"/>
          <w:sz w:val="40"/>
          <w:szCs w:val="40"/>
          <w:u w:val="single"/>
        </w:rPr>
      </w:pPr>
    </w:p>
    <w:p w14:paraId="14C3D51A" w14:textId="029E9882" w:rsidR="009D4480" w:rsidRDefault="009D4480" w:rsidP="00A5441A">
      <w:pPr>
        <w:jc w:val="center"/>
        <w:rPr>
          <w:rFonts w:ascii="Arial" w:hAnsi="Arial" w:cs="Arial"/>
        </w:rPr>
      </w:pPr>
      <w:r w:rsidRPr="009D4480">
        <w:rPr>
          <w:rFonts w:ascii="Arial" w:hAnsi="Arial" w:cs="Arial"/>
        </w:rPr>
        <w:t>Infographic (part 1) – page 2, 3</w:t>
      </w:r>
    </w:p>
    <w:p w14:paraId="1D6246DF" w14:textId="77777777" w:rsidR="00A5441A" w:rsidRPr="009D4480" w:rsidRDefault="00A5441A" w:rsidP="00A5441A">
      <w:pPr>
        <w:jc w:val="center"/>
        <w:rPr>
          <w:rFonts w:ascii="Arial" w:hAnsi="Arial" w:cs="Arial"/>
        </w:rPr>
      </w:pPr>
    </w:p>
    <w:p w14:paraId="34CFDC45" w14:textId="5A58692B" w:rsidR="009D4480" w:rsidRDefault="009D4480" w:rsidP="00A5441A">
      <w:pPr>
        <w:jc w:val="center"/>
        <w:rPr>
          <w:rFonts w:ascii="Arial" w:hAnsi="Arial" w:cs="Arial"/>
        </w:rPr>
      </w:pPr>
      <w:r w:rsidRPr="009D4480">
        <w:rPr>
          <w:rFonts w:ascii="Arial" w:hAnsi="Arial" w:cs="Arial"/>
        </w:rPr>
        <w:t>Concept of holistic development with links to Maslow (part 2) – page 4,5,6,7</w:t>
      </w:r>
    </w:p>
    <w:p w14:paraId="2FB50BDB" w14:textId="77777777" w:rsidR="00A5441A" w:rsidRPr="009D4480" w:rsidRDefault="00A5441A" w:rsidP="00A5441A">
      <w:pPr>
        <w:jc w:val="center"/>
        <w:rPr>
          <w:rFonts w:ascii="Arial" w:hAnsi="Arial" w:cs="Arial"/>
        </w:rPr>
      </w:pPr>
    </w:p>
    <w:p w14:paraId="13B06FDF" w14:textId="77777777" w:rsidR="00A5441A" w:rsidRDefault="009D4480" w:rsidP="00A5441A">
      <w:pPr>
        <w:jc w:val="center"/>
        <w:rPr>
          <w:rFonts w:ascii="Arial" w:hAnsi="Arial" w:cs="Arial"/>
        </w:rPr>
      </w:pPr>
      <w:r>
        <w:rPr>
          <w:rFonts w:ascii="Arial" w:hAnsi="Arial" w:cs="Arial"/>
        </w:rPr>
        <w:t>Examples from practice highlighting Maslow’s significance in child development</w:t>
      </w:r>
    </w:p>
    <w:p w14:paraId="5B27E195" w14:textId="77777777" w:rsidR="009D4480" w:rsidRDefault="009D4480" w:rsidP="00A5441A">
      <w:pPr>
        <w:jc w:val="center"/>
        <w:rPr>
          <w:rFonts w:ascii="Arial" w:hAnsi="Arial" w:cs="Arial"/>
        </w:rPr>
      </w:pPr>
      <w:r>
        <w:rPr>
          <w:rFonts w:ascii="Arial" w:hAnsi="Arial" w:cs="Arial"/>
        </w:rPr>
        <w:t xml:space="preserve"> (part 3) – page 8,</w:t>
      </w:r>
      <w:r w:rsidR="00A5441A">
        <w:rPr>
          <w:rFonts w:ascii="Arial" w:hAnsi="Arial" w:cs="Arial"/>
        </w:rPr>
        <w:t>9,10</w:t>
      </w:r>
      <w:r>
        <w:rPr>
          <w:rFonts w:ascii="Arial" w:hAnsi="Arial" w:cs="Arial"/>
        </w:rPr>
        <w:t xml:space="preserve"> </w:t>
      </w:r>
    </w:p>
    <w:p w14:paraId="65A7A927" w14:textId="77777777" w:rsidR="00A5441A" w:rsidRDefault="00A5441A" w:rsidP="00A5441A">
      <w:pPr>
        <w:jc w:val="center"/>
        <w:rPr>
          <w:rFonts w:ascii="Arial" w:hAnsi="Arial" w:cs="Arial"/>
        </w:rPr>
      </w:pPr>
    </w:p>
    <w:p w14:paraId="68B1E21E" w14:textId="77777777" w:rsidR="00A5441A" w:rsidRDefault="00A5441A" w:rsidP="00A5441A">
      <w:pPr>
        <w:jc w:val="center"/>
        <w:rPr>
          <w:rFonts w:ascii="Arial" w:hAnsi="Arial" w:cs="Arial"/>
        </w:rPr>
      </w:pPr>
    </w:p>
    <w:p w14:paraId="5A865E06" w14:textId="66F37211" w:rsidR="00A5441A" w:rsidRPr="009D4480" w:rsidRDefault="00A5441A" w:rsidP="00A5441A">
      <w:pPr>
        <w:jc w:val="center"/>
        <w:rPr>
          <w:rFonts w:ascii="Arial" w:hAnsi="Arial" w:cs="Arial"/>
        </w:rPr>
        <w:sectPr w:rsidR="00A5441A" w:rsidRPr="009D4480">
          <w:headerReference w:type="default" r:id="rId6"/>
          <w:footerReference w:type="default" r:id="rId7"/>
          <w:pgSz w:w="11906" w:h="16838"/>
          <w:pgMar w:top="1440" w:right="1440" w:bottom="1440" w:left="1440" w:header="708" w:footer="708" w:gutter="0"/>
          <w:cols w:space="708"/>
          <w:docGrid w:linePitch="360"/>
        </w:sectPr>
      </w:pPr>
      <w:r>
        <w:rPr>
          <w:rFonts w:ascii="Arial" w:hAnsi="Arial" w:cs="Arial"/>
        </w:rPr>
        <w:t>Reference list – page 11,12, 13, 14</w:t>
      </w:r>
    </w:p>
    <w:p w14:paraId="210AE4A2" w14:textId="10BE3E6B" w:rsidR="0034709E" w:rsidRPr="00531C18" w:rsidRDefault="00FA4057">
      <w:pPr>
        <w:rPr>
          <w:rFonts w:ascii="Arial" w:hAnsi="Arial" w:cs="Arial"/>
          <w:sz w:val="40"/>
          <w:szCs w:val="40"/>
        </w:rPr>
      </w:pPr>
      <w:r>
        <w:rPr>
          <w:rFonts w:ascii="Arial" w:hAnsi="Arial" w:cs="Arial"/>
          <w:noProof/>
          <w:sz w:val="40"/>
          <w:szCs w:val="40"/>
        </w:rPr>
        <w:lastRenderedPageBreak/>
        <w:drawing>
          <wp:anchor distT="0" distB="0" distL="114300" distR="114300" simplePos="0" relativeHeight="251658240" behindDoc="1" locked="0" layoutInCell="1" allowOverlap="1" wp14:anchorId="6D6D481D" wp14:editId="2D154A5E">
            <wp:simplePos x="0" y="0"/>
            <wp:positionH relativeFrom="margin">
              <wp:posOffset>-838200</wp:posOffset>
            </wp:positionH>
            <wp:positionV relativeFrom="paragraph">
              <wp:posOffset>197485</wp:posOffset>
            </wp:positionV>
            <wp:extent cx="10546080" cy="5455920"/>
            <wp:effectExtent l="0" t="0" r="7620" b="0"/>
            <wp:wrapTight wrapText="bothSides">
              <wp:wrapPolygon edited="0">
                <wp:start x="0" y="0"/>
                <wp:lineTo x="0" y="21494"/>
                <wp:lineTo x="21577" y="21494"/>
                <wp:lineTo x="21577" y="0"/>
                <wp:lineTo x="0" y="0"/>
              </wp:wrapPolygon>
            </wp:wrapTight>
            <wp:docPr id="1075857269" name="Picture 2" descr="A person climbing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857269" name="Picture 2" descr="A person climbing a pyrami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0546080" cy="5455920"/>
                    </a:xfrm>
                    <a:prstGeom prst="rect">
                      <a:avLst/>
                    </a:prstGeom>
                  </pic:spPr>
                </pic:pic>
              </a:graphicData>
            </a:graphic>
            <wp14:sizeRelH relativeFrom="margin">
              <wp14:pctWidth>0</wp14:pctWidth>
            </wp14:sizeRelH>
            <wp14:sizeRelV relativeFrom="margin">
              <wp14:pctHeight>0</wp14:pctHeight>
            </wp14:sizeRelV>
          </wp:anchor>
        </w:drawing>
      </w:r>
    </w:p>
    <w:p w14:paraId="5C25F483" w14:textId="68960E09" w:rsidR="00531C18" w:rsidRDefault="00FA4057">
      <w:r>
        <w:rPr>
          <w:noProof/>
        </w:rPr>
        <w:lastRenderedPageBreak/>
        <w:drawing>
          <wp:anchor distT="0" distB="0" distL="114300" distR="114300" simplePos="0" relativeHeight="251659264" behindDoc="1" locked="0" layoutInCell="1" allowOverlap="1" wp14:anchorId="2ED684B3" wp14:editId="442FED50">
            <wp:simplePos x="0" y="0"/>
            <wp:positionH relativeFrom="page">
              <wp:align>right</wp:align>
            </wp:positionH>
            <wp:positionV relativeFrom="paragraph">
              <wp:posOffset>99179</wp:posOffset>
            </wp:positionV>
            <wp:extent cx="10640695" cy="5556738"/>
            <wp:effectExtent l="0" t="0" r="8255" b="6350"/>
            <wp:wrapNone/>
            <wp:docPr id="1157569407" name="Picture 3" descr="A colorful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569407" name="Picture 3" descr="A colorful text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0662224" cy="5567981"/>
                    </a:xfrm>
                    <a:prstGeom prst="rect">
                      <a:avLst/>
                    </a:prstGeom>
                  </pic:spPr>
                </pic:pic>
              </a:graphicData>
            </a:graphic>
            <wp14:sizeRelH relativeFrom="margin">
              <wp14:pctWidth>0</wp14:pctWidth>
            </wp14:sizeRelH>
            <wp14:sizeRelV relativeFrom="margin">
              <wp14:pctHeight>0</wp14:pctHeight>
            </wp14:sizeRelV>
          </wp:anchor>
        </w:drawing>
      </w:r>
    </w:p>
    <w:p w14:paraId="347E20BA" w14:textId="0513EDCA" w:rsidR="00531C18" w:rsidRDefault="00531C18"/>
    <w:p w14:paraId="37BA51B1" w14:textId="47EEDE29" w:rsidR="00531C18" w:rsidRDefault="00531C18"/>
    <w:p w14:paraId="6550108D" w14:textId="305C5561" w:rsidR="00531C18" w:rsidRPr="00AC1F6B" w:rsidRDefault="00531C18" w:rsidP="00531C18">
      <w:pPr>
        <w:spacing w:line="259" w:lineRule="auto"/>
        <w:ind w:left="3063"/>
        <w:rPr>
          <w:rFonts w:ascii="Arial" w:hAnsi="Arial" w:cs="Arial"/>
        </w:rPr>
      </w:pPr>
      <w:r>
        <w:t xml:space="preserve">  </w:t>
      </w:r>
    </w:p>
    <w:p w14:paraId="3E34EEC3" w14:textId="77777777" w:rsidR="00531C18" w:rsidRDefault="00531C18">
      <w:pPr>
        <w:sectPr w:rsidR="00531C18" w:rsidSect="00531C18">
          <w:pgSz w:w="16838" w:h="11906" w:orient="landscape"/>
          <w:pgMar w:top="1440" w:right="1440" w:bottom="1440" w:left="1440" w:header="709" w:footer="709" w:gutter="0"/>
          <w:cols w:space="708"/>
          <w:docGrid w:linePitch="360"/>
        </w:sectPr>
      </w:pPr>
    </w:p>
    <w:p w14:paraId="0AEDFB56" w14:textId="4B97E549" w:rsidR="00531C18" w:rsidRDefault="00531C18"/>
    <w:p w14:paraId="45A2D14D" w14:textId="77777777" w:rsidR="00531C18" w:rsidRPr="00531C18" w:rsidRDefault="00531C18" w:rsidP="00531C18">
      <w:bookmarkStart w:id="0" w:name="_Hlk183545032"/>
    </w:p>
    <w:bookmarkEnd w:id="0"/>
    <w:p w14:paraId="0AE8924F" w14:textId="2341DF07" w:rsidR="00C20AEC" w:rsidRPr="009E75FA" w:rsidRDefault="00C20AEC" w:rsidP="00C20AEC">
      <w:pPr>
        <w:tabs>
          <w:tab w:val="left" w:pos="6080"/>
        </w:tabs>
        <w:rPr>
          <w:rFonts w:ascii="Arial" w:hAnsi="Arial" w:cs="Arial"/>
          <w:u w:val="single"/>
        </w:rPr>
      </w:pPr>
      <w:r w:rsidRPr="00FA4057">
        <w:rPr>
          <w:rFonts w:ascii="Arial" w:eastAsiaTheme="minorHAnsi" w:hAnsi="Arial" w:cs="Arial"/>
          <w:u w:val="single"/>
          <w:lang w:val="en-GB"/>
        </w:rPr>
        <w:t>Part 2</w:t>
      </w:r>
      <w:r>
        <w:rPr>
          <w:rFonts w:ascii="Arial" w:eastAsiaTheme="minorHAnsi" w:hAnsi="Arial" w:cs="Arial"/>
          <w:u w:val="single"/>
          <w:lang w:val="en-GB"/>
        </w:rPr>
        <w:t xml:space="preserve">- </w:t>
      </w:r>
      <w:r w:rsidRPr="009E75FA">
        <w:rPr>
          <w:rFonts w:ascii="Arial" w:hAnsi="Arial" w:cs="Arial"/>
          <w:kern w:val="24"/>
          <w:u w:val="single"/>
        </w:rPr>
        <w:t>The Significance of Maslow’s Model to Support Holistic Child Development.</w:t>
      </w:r>
    </w:p>
    <w:p w14:paraId="174188B7" w14:textId="77777777" w:rsidR="00C20AEC" w:rsidRPr="009E75FA" w:rsidRDefault="00C20AEC" w:rsidP="00C20AEC">
      <w:pPr>
        <w:tabs>
          <w:tab w:val="left" w:pos="6080"/>
        </w:tabs>
        <w:rPr>
          <w:u w:val="single"/>
        </w:rPr>
      </w:pPr>
    </w:p>
    <w:p w14:paraId="5F67898E" w14:textId="77777777" w:rsidR="00531C18" w:rsidRPr="00531C18" w:rsidRDefault="00531C18" w:rsidP="00531C18"/>
    <w:p w14:paraId="55B9AB7B" w14:textId="33AD7626" w:rsidR="00C20AEC" w:rsidRPr="00F812B5" w:rsidRDefault="00C20AEC" w:rsidP="00C20AEC">
      <w:pPr>
        <w:spacing w:after="160" w:line="360" w:lineRule="auto"/>
        <w:rPr>
          <w:rFonts w:ascii="Arial" w:eastAsiaTheme="minorHAnsi" w:hAnsi="Arial" w:cs="Arial"/>
          <w:lang w:val="en-GB"/>
        </w:rPr>
      </w:pPr>
      <w:r w:rsidRPr="00F812B5">
        <w:rPr>
          <w:rFonts w:ascii="Arial" w:eastAsiaTheme="minorHAnsi" w:hAnsi="Arial" w:cs="Arial"/>
          <w:lang w:val="en-GB"/>
        </w:rPr>
        <w:t xml:space="preserve">Hodgins and </w:t>
      </w:r>
      <w:proofErr w:type="spellStart"/>
      <w:r w:rsidRPr="00F812B5">
        <w:rPr>
          <w:rFonts w:ascii="Arial" w:eastAsiaTheme="minorHAnsi" w:hAnsi="Arial" w:cs="Arial"/>
          <w:lang w:val="en-GB"/>
        </w:rPr>
        <w:t>Prowle</w:t>
      </w:r>
      <w:proofErr w:type="spellEnd"/>
      <w:r w:rsidRPr="00F812B5">
        <w:rPr>
          <w:rFonts w:ascii="Arial" w:eastAsiaTheme="minorHAnsi" w:hAnsi="Arial" w:cs="Arial"/>
          <w:lang w:val="en-GB"/>
        </w:rPr>
        <w:t xml:space="preserve"> (2023) describe holistic child development as a focus on a child’s overall well-being and growth, considering their emotional, physical, social, cognitive and spiritual needs. This approach considers how these areas interconnect and examines how each area of development influences the others, (Brodie</w:t>
      </w:r>
      <w:r w:rsidR="003E6279">
        <w:rPr>
          <w:rFonts w:ascii="Arial" w:eastAsiaTheme="minorHAnsi" w:hAnsi="Arial" w:cs="Arial"/>
          <w:lang w:val="en-GB"/>
        </w:rPr>
        <w:t>,</w:t>
      </w:r>
      <w:r w:rsidRPr="00F812B5">
        <w:rPr>
          <w:rFonts w:ascii="Arial" w:eastAsiaTheme="minorHAnsi" w:hAnsi="Arial" w:cs="Arial"/>
          <w:lang w:val="en-GB"/>
        </w:rPr>
        <w:t xml:space="preserve"> 2018). Maslow’s Hierarchy of Needs supports the concept of holistic child development, prioritising children’s needs and explains that physiological needs carry more importance than self-actualization, that learning, development and growth is only possible when essential needs are satisfied, addressing the importance of a holistic approach to child development, (Stoyanov</w:t>
      </w:r>
      <w:r w:rsidR="003E6279">
        <w:rPr>
          <w:rFonts w:ascii="Arial" w:eastAsiaTheme="minorHAnsi" w:hAnsi="Arial" w:cs="Arial"/>
          <w:lang w:val="en-GB"/>
        </w:rPr>
        <w:t>,</w:t>
      </w:r>
      <w:r w:rsidRPr="00F812B5">
        <w:rPr>
          <w:rFonts w:ascii="Arial" w:eastAsiaTheme="minorHAnsi" w:hAnsi="Arial" w:cs="Arial"/>
          <w:lang w:val="en-GB"/>
        </w:rPr>
        <w:t xml:space="preserve"> 2017).   </w:t>
      </w:r>
    </w:p>
    <w:p w14:paraId="4EF47383" w14:textId="6BCD0E8D" w:rsidR="00C20AEC" w:rsidRPr="00F812B5" w:rsidRDefault="00C20AEC" w:rsidP="00C20AEC">
      <w:pPr>
        <w:spacing w:after="160" w:line="360" w:lineRule="auto"/>
        <w:rPr>
          <w:rFonts w:ascii="Arial" w:eastAsiaTheme="minorHAnsi" w:hAnsi="Arial" w:cs="Arial"/>
          <w:lang w:val="en-GB"/>
        </w:rPr>
      </w:pPr>
      <w:r w:rsidRPr="00F812B5">
        <w:rPr>
          <w:rFonts w:ascii="Arial" w:eastAsiaTheme="minorHAnsi" w:hAnsi="Arial" w:cs="Arial"/>
          <w:lang w:val="en-GB"/>
        </w:rPr>
        <w:t>Maslow notes that physiological needs form the foundation for all other areas of development, these are basic needs (food, water, health, sleep), (Stoyanov</w:t>
      </w:r>
      <w:r w:rsidR="003E6279">
        <w:rPr>
          <w:rFonts w:ascii="Arial" w:eastAsiaTheme="minorHAnsi" w:hAnsi="Arial" w:cs="Arial"/>
          <w:lang w:val="en-GB"/>
        </w:rPr>
        <w:t>,</w:t>
      </w:r>
      <w:r w:rsidRPr="00F812B5">
        <w:rPr>
          <w:rFonts w:ascii="Arial" w:eastAsiaTheme="minorHAnsi" w:hAnsi="Arial" w:cs="Arial"/>
          <w:lang w:val="en-GB"/>
        </w:rPr>
        <w:t xml:space="preserve"> 2017). From when babies are born adults provide the care that is required to satisfy these needs, addressing their social, emotional, physical, cognitive and language needs through care and nurturing impacts their health and well-being, (Brodie</w:t>
      </w:r>
      <w:r w:rsidR="003E6279">
        <w:rPr>
          <w:rFonts w:ascii="Arial" w:eastAsiaTheme="minorHAnsi" w:hAnsi="Arial" w:cs="Arial"/>
          <w:lang w:val="en-GB"/>
        </w:rPr>
        <w:t>,</w:t>
      </w:r>
      <w:r w:rsidRPr="00F812B5">
        <w:rPr>
          <w:rFonts w:ascii="Arial" w:eastAsiaTheme="minorHAnsi" w:hAnsi="Arial" w:cs="Arial"/>
          <w:lang w:val="en-GB"/>
        </w:rPr>
        <w:t xml:space="preserve"> 2018). Babies have a natural ability to communicate these needs from birth, and this skill is essential for their development and learning, greatly impacting social and emotional and physical development, (McMahon and Dyer, 2019). Expressing their needs and communicating through quality experiences involving proto-conversations, coos, cries, and joint attention, are an important part of a child’s social and emotional development and is the beginning of establishing secure relationships which strengthens their growth, (Brodie</w:t>
      </w:r>
      <w:r w:rsidR="003E6279">
        <w:rPr>
          <w:rFonts w:ascii="Arial" w:eastAsiaTheme="minorHAnsi" w:hAnsi="Arial" w:cs="Arial"/>
          <w:lang w:val="en-GB"/>
        </w:rPr>
        <w:t>,</w:t>
      </w:r>
      <w:r w:rsidRPr="00F812B5">
        <w:rPr>
          <w:rFonts w:ascii="Arial" w:eastAsiaTheme="minorHAnsi" w:hAnsi="Arial" w:cs="Arial"/>
          <w:lang w:val="en-GB"/>
        </w:rPr>
        <w:t xml:space="preserve"> 2018). Brodie (2018) notes how the caregiver must be responsive with consistent engagement through, talking, eye gaze and cuddles to strengthen emotional and social development securing attachment. During the first months of baby’s life with time spent through interaction, communication, play and physical care routines, attachment becomes stronger between mother and baby, (Lindon</w:t>
      </w:r>
      <w:r w:rsidR="003E6279">
        <w:rPr>
          <w:rFonts w:ascii="Arial" w:eastAsiaTheme="minorHAnsi" w:hAnsi="Arial" w:cs="Arial"/>
          <w:lang w:val="en-GB"/>
        </w:rPr>
        <w:t>,</w:t>
      </w:r>
      <w:r w:rsidRPr="00F812B5">
        <w:rPr>
          <w:rFonts w:ascii="Arial" w:eastAsiaTheme="minorHAnsi" w:hAnsi="Arial" w:cs="Arial"/>
          <w:lang w:val="en-GB"/>
        </w:rPr>
        <w:t xml:space="preserve"> 2012). Wilson (2016) explores Jonhn Bowlby’s theory that mothers are potentially the crucial ingredient in a baby’s social and emotional development, and through this attachment with mother being the provider of food, life and safety, the child begins to feel secure.</w:t>
      </w:r>
    </w:p>
    <w:p w14:paraId="13003CAA" w14:textId="77777777" w:rsidR="00C20AEC" w:rsidRDefault="00C20AEC" w:rsidP="00C20AEC">
      <w:pPr>
        <w:spacing w:after="160" w:line="360" w:lineRule="auto"/>
        <w:rPr>
          <w:rFonts w:ascii="Arial" w:eastAsiaTheme="minorHAnsi" w:hAnsi="Arial" w:cs="Arial"/>
          <w:lang w:val="en-GB"/>
        </w:rPr>
      </w:pPr>
    </w:p>
    <w:p w14:paraId="7CF811A8" w14:textId="4C42AFDB" w:rsidR="00C20AEC" w:rsidRPr="00F812B5" w:rsidRDefault="00C20AEC" w:rsidP="00C20AEC">
      <w:pPr>
        <w:spacing w:after="160" w:line="360" w:lineRule="auto"/>
        <w:rPr>
          <w:rFonts w:ascii="Arial" w:eastAsiaTheme="minorHAnsi" w:hAnsi="Arial" w:cs="Arial"/>
          <w:lang w:val="en-GB"/>
        </w:rPr>
      </w:pPr>
      <w:r w:rsidRPr="00F812B5">
        <w:rPr>
          <w:rFonts w:ascii="Arial" w:eastAsiaTheme="minorHAnsi" w:hAnsi="Arial" w:cs="Arial"/>
          <w:lang w:val="en-GB"/>
        </w:rPr>
        <w:t>Maslow suggests that once physiological needs are meet the need for security (emotional, physical and psychological safety) becomes a priority, (Stoyanov</w:t>
      </w:r>
      <w:r w:rsidR="003E6279">
        <w:rPr>
          <w:rFonts w:ascii="Arial" w:eastAsiaTheme="minorHAnsi" w:hAnsi="Arial" w:cs="Arial"/>
          <w:lang w:val="en-GB"/>
        </w:rPr>
        <w:t>,</w:t>
      </w:r>
      <w:r w:rsidRPr="00F812B5">
        <w:rPr>
          <w:rFonts w:ascii="Arial" w:eastAsiaTheme="minorHAnsi" w:hAnsi="Arial" w:cs="Arial"/>
          <w:lang w:val="en-GB"/>
        </w:rPr>
        <w:t xml:space="preserve"> 2017). A secure attachment brings emphasis on developing relationships and emotional safety. Lindon (2012) believes attachment contributes towards children’s confidence and the need for their primary relationships to be stable and consistent. Their emotional security relies not only on receiving physical comfort and care but also on feeling emotionally present and valued by their primary caregiver. This emotional confidence and safety have a substantial impact on holistic development, and the foundation that encourages exploration, discovery and risk-taking, promoting learning and growth through all areas of development, (Wilso</w:t>
      </w:r>
      <w:r w:rsidR="003E6279">
        <w:rPr>
          <w:rFonts w:ascii="Arial" w:eastAsiaTheme="minorHAnsi" w:hAnsi="Arial" w:cs="Arial"/>
          <w:lang w:val="en-GB"/>
        </w:rPr>
        <w:t>,</w:t>
      </w:r>
      <w:r w:rsidRPr="00F812B5">
        <w:rPr>
          <w:rFonts w:ascii="Arial" w:eastAsiaTheme="minorHAnsi" w:hAnsi="Arial" w:cs="Arial"/>
          <w:lang w:val="en-GB"/>
        </w:rPr>
        <w:t xml:space="preserve"> 2016). Hodgkins and </w:t>
      </w:r>
      <w:proofErr w:type="spellStart"/>
      <w:r w:rsidRPr="00F812B5">
        <w:rPr>
          <w:rFonts w:ascii="Arial" w:eastAsiaTheme="minorHAnsi" w:hAnsi="Arial" w:cs="Arial"/>
          <w:lang w:val="en-GB"/>
        </w:rPr>
        <w:t>Prowle</w:t>
      </w:r>
      <w:proofErr w:type="spellEnd"/>
      <w:r w:rsidRPr="00F812B5">
        <w:rPr>
          <w:rFonts w:ascii="Arial" w:eastAsiaTheme="minorHAnsi" w:hAnsi="Arial" w:cs="Arial"/>
          <w:lang w:val="en-GB"/>
        </w:rPr>
        <w:t xml:space="preserve"> (2023) explain that children who feel safe and supported are more prepared to begin forming their own relationships and friendships strengthening their social development. </w:t>
      </w:r>
      <w:r w:rsidRPr="00F812B5">
        <w:rPr>
          <w:rFonts w:ascii="Arial" w:eastAsiaTheme="minorHAnsi" w:hAnsi="Arial" w:cs="Arial"/>
          <w:color w:val="0D0D0D"/>
          <w:shd w:val="clear" w:color="auto" w:fill="FFFFFF"/>
          <w:lang w:val="en-GB"/>
        </w:rPr>
        <w:t>This supports Maslow's view of holistic development, where security and protection are essential before social needs, as a child cannot learn without feeling safe and able to trust their environment and those around them.</w:t>
      </w:r>
    </w:p>
    <w:p w14:paraId="53CA5822" w14:textId="6DA0EC5D" w:rsidR="00C20AEC" w:rsidRDefault="00C20AEC" w:rsidP="00C20AEC">
      <w:pPr>
        <w:spacing w:after="160" w:line="360" w:lineRule="auto"/>
        <w:rPr>
          <w:rFonts w:ascii="Arial" w:eastAsiaTheme="minorHAnsi" w:hAnsi="Arial" w:cs="Arial"/>
          <w:lang w:val="en-GB"/>
        </w:rPr>
      </w:pPr>
      <w:r w:rsidRPr="00F812B5">
        <w:rPr>
          <w:rFonts w:ascii="Arial" w:eastAsiaTheme="minorHAnsi" w:hAnsi="Arial" w:cs="Arial"/>
          <w:lang w:val="en-GB"/>
        </w:rPr>
        <w:t>Skills within social development along with other areas are explored within Maslow’s next area of need referring to love, belonging and inclusion.</w:t>
      </w:r>
      <w:r w:rsidRPr="00F812B5">
        <w:rPr>
          <w:rFonts w:ascii="Arial" w:eastAsiaTheme="minorHAnsi" w:hAnsi="Arial" w:cs="Arial"/>
          <w:color w:val="0D0D0D"/>
          <w:shd w:val="clear" w:color="auto" w:fill="FFFFFF"/>
          <w:lang w:val="en-GB"/>
        </w:rPr>
        <w:t xml:space="preserve"> Social competence refers to the ability to reach personal goals in social situations while fostering positive relationships. It includes the social, emotional, and cognitive skills and knowledge children need to succeed in their interactions, (Kemple</w:t>
      </w:r>
      <w:r w:rsidR="003E6279">
        <w:rPr>
          <w:rFonts w:ascii="Arial" w:eastAsiaTheme="minorHAnsi" w:hAnsi="Arial" w:cs="Arial"/>
          <w:color w:val="0D0D0D"/>
          <w:shd w:val="clear" w:color="auto" w:fill="FFFFFF"/>
          <w:lang w:val="en-GB"/>
        </w:rPr>
        <w:t>,</w:t>
      </w:r>
      <w:r w:rsidRPr="00F812B5">
        <w:rPr>
          <w:rFonts w:ascii="Arial" w:eastAsiaTheme="minorHAnsi" w:hAnsi="Arial" w:cs="Arial"/>
          <w:color w:val="0D0D0D"/>
          <w:shd w:val="clear" w:color="auto" w:fill="FFFFFF"/>
          <w:lang w:val="en-GB"/>
        </w:rPr>
        <w:t xml:space="preserve"> 2016).</w:t>
      </w:r>
      <w:r w:rsidRPr="00F812B5">
        <w:rPr>
          <w:rFonts w:ascii="Arial" w:eastAsiaTheme="minorHAnsi" w:hAnsi="Arial" w:cs="Arial"/>
          <w:lang w:val="en-GB"/>
        </w:rPr>
        <w:t xml:space="preserve"> According to Stoyanov (2017) Maslow believes that if a child feels loved they are more able to socially interact and contribute to social experiences within their learning. A sense of belonging described by Wilson (2016) comes from the confidence of successful positive social interactions where children</w:t>
      </w:r>
      <w:r w:rsidRPr="00F812B5">
        <w:rPr>
          <w:rFonts w:ascii="Arial" w:eastAsiaTheme="minorHAnsi" w:hAnsi="Arial" w:cs="Arial"/>
          <w:color w:val="0D0D0D"/>
          <w:shd w:val="clear" w:color="auto" w:fill="FFFFFF"/>
          <w:lang w:val="en-GB"/>
        </w:rPr>
        <w:t xml:space="preserve"> gradually form beliefs and values about their own self-worth, shaped by others' ability and willingness to offer care and protection.</w:t>
      </w:r>
      <w:r w:rsidRPr="00F812B5">
        <w:rPr>
          <w:rFonts w:ascii="Arial" w:eastAsiaTheme="minorHAnsi" w:hAnsi="Arial" w:cs="Arial"/>
          <w:lang w:val="en-GB"/>
        </w:rPr>
        <w:t xml:space="preserve"> Forming trusting and affectionate relationships makes a child feel included and can contribute towards developing increased resilience and self- regulation skills (Hodgkins and </w:t>
      </w:r>
      <w:proofErr w:type="spellStart"/>
      <w:r w:rsidRPr="00F812B5">
        <w:rPr>
          <w:rFonts w:ascii="Arial" w:eastAsiaTheme="minorHAnsi" w:hAnsi="Arial" w:cs="Arial"/>
          <w:lang w:val="en-GB"/>
        </w:rPr>
        <w:t>Prowle</w:t>
      </w:r>
      <w:proofErr w:type="spellEnd"/>
      <w:r w:rsidR="003E6279">
        <w:rPr>
          <w:rFonts w:ascii="Arial" w:eastAsiaTheme="minorHAnsi" w:hAnsi="Arial" w:cs="Arial"/>
          <w:lang w:val="en-GB"/>
        </w:rPr>
        <w:t>,</w:t>
      </w:r>
      <w:r w:rsidRPr="00F812B5">
        <w:rPr>
          <w:rFonts w:ascii="Arial" w:eastAsiaTheme="minorHAnsi" w:hAnsi="Arial" w:cs="Arial"/>
          <w:lang w:val="en-GB"/>
        </w:rPr>
        <w:t xml:space="preserve"> 2023). Children also need to build relationships and friendships with their peers to achieve a sense of belonging within a group, Lindon (2012) explains how children need to be in each other’s company regularly as part of feeling included in games and shared interests to form </w:t>
      </w:r>
    </w:p>
    <w:p w14:paraId="14A4052B" w14:textId="77777777" w:rsidR="00C20AEC" w:rsidRDefault="00C20AEC" w:rsidP="00C20AEC">
      <w:pPr>
        <w:spacing w:after="160" w:line="360" w:lineRule="auto"/>
        <w:rPr>
          <w:rFonts w:ascii="Arial" w:eastAsiaTheme="minorHAnsi" w:hAnsi="Arial" w:cs="Arial"/>
          <w:lang w:val="en-GB"/>
        </w:rPr>
      </w:pPr>
    </w:p>
    <w:p w14:paraId="7366FCEA" w14:textId="51989ECD" w:rsidR="00C20AEC" w:rsidRPr="00F812B5" w:rsidRDefault="00C20AEC" w:rsidP="00C20AEC">
      <w:pPr>
        <w:spacing w:after="160" w:line="360" w:lineRule="auto"/>
        <w:rPr>
          <w:rFonts w:ascii="Arial" w:eastAsiaTheme="minorHAnsi" w:hAnsi="Arial" w:cs="Arial"/>
          <w:lang w:val="en-GB"/>
        </w:rPr>
      </w:pPr>
      <w:r w:rsidRPr="00F812B5">
        <w:rPr>
          <w:rFonts w:ascii="Arial" w:eastAsiaTheme="minorHAnsi" w:hAnsi="Arial" w:cs="Arial"/>
          <w:lang w:val="en-GB"/>
        </w:rPr>
        <w:t>friendships, this supports their engagement with others, empathy, self-esteem, cooperation and ultimately supports holistic development. Vygotsky believed that children learn through social experiences and discovery, and the relationships that develop between adult and child in a secure, stable, learning environment mean that adults play a significant role in educating children, (Lindon</w:t>
      </w:r>
      <w:r w:rsidR="003E6279">
        <w:rPr>
          <w:rFonts w:ascii="Arial" w:eastAsiaTheme="minorHAnsi" w:hAnsi="Arial" w:cs="Arial"/>
          <w:lang w:val="en-GB"/>
        </w:rPr>
        <w:t>,</w:t>
      </w:r>
      <w:r w:rsidRPr="00F812B5">
        <w:rPr>
          <w:rFonts w:ascii="Arial" w:eastAsiaTheme="minorHAnsi" w:hAnsi="Arial" w:cs="Arial"/>
          <w:lang w:val="en-GB"/>
        </w:rPr>
        <w:t xml:space="preserve"> 2012).</w:t>
      </w:r>
    </w:p>
    <w:p w14:paraId="510182FC" w14:textId="6710F16B" w:rsidR="00C20AEC" w:rsidRPr="00F812B5" w:rsidRDefault="00C20AEC" w:rsidP="00C20AEC">
      <w:pPr>
        <w:spacing w:after="160" w:line="360" w:lineRule="auto"/>
        <w:rPr>
          <w:rFonts w:ascii="Arial" w:eastAsiaTheme="minorHAnsi" w:hAnsi="Arial" w:cs="Arial"/>
          <w:lang w:val="en-GB"/>
        </w:rPr>
      </w:pPr>
      <w:r w:rsidRPr="00F812B5">
        <w:rPr>
          <w:rFonts w:ascii="Arial" w:eastAsiaTheme="minorHAnsi" w:hAnsi="Arial" w:cs="Arial"/>
          <w:color w:val="0D0D0D"/>
          <w:shd w:val="clear" w:color="auto" w:fill="FFFFFF"/>
          <w:lang w:val="en-GB"/>
        </w:rPr>
        <w:t>According to Stoyanov (2017) self-esteem fosters emotional, social, and cognitive growth, leading to feelings of strength, competence, and a sense of being valu</w:t>
      </w:r>
      <w:r>
        <w:rPr>
          <w:rFonts w:ascii="Arial" w:eastAsiaTheme="minorHAnsi" w:hAnsi="Arial" w:cs="Arial"/>
          <w:color w:val="0D0D0D"/>
          <w:shd w:val="clear" w:color="auto" w:fill="FFFFFF"/>
          <w:lang w:val="en-GB"/>
        </w:rPr>
        <w:t>ed</w:t>
      </w:r>
      <w:r w:rsidRPr="00F812B5">
        <w:rPr>
          <w:rFonts w:ascii="Arial" w:eastAsiaTheme="minorHAnsi" w:hAnsi="Arial" w:cs="Arial"/>
          <w:color w:val="0D0D0D"/>
          <w:shd w:val="clear" w:color="auto" w:fill="FFFFFF"/>
          <w:lang w:val="en-GB"/>
        </w:rPr>
        <w:t>.</w:t>
      </w:r>
      <w:r w:rsidRPr="00F812B5">
        <w:rPr>
          <w:rFonts w:ascii="Arial" w:eastAsiaTheme="minorHAnsi" w:hAnsi="Arial" w:cs="Arial"/>
          <w:lang w:val="en-GB"/>
        </w:rPr>
        <w:t xml:space="preserve"> </w:t>
      </w:r>
      <w:r w:rsidRPr="00F812B5">
        <w:rPr>
          <w:rFonts w:ascii="Arial" w:eastAsiaTheme="minorHAnsi" w:hAnsi="Arial" w:cs="Arial"/>
          <w:color w:val="0D0D0D"/>
          <w:shd w:val="clear" w:color="auto" w:fill="FFFFFF"/>
          <w:lang w:val="en-GB"/>
        </w:rPr>
        <w:t xml:space="preserve">Control and power are emphasized within this need. Lindon (2012) highlights the importance of a flexible learning environment that gives children the power and control to physically explore and use resources, supporting cognitive development and helping them make sense of their learning to reinforce holistic development. As their competence and self-esteem grow, children become more aware of their rights and responsibilities and spirituality and the need to experience them within their own world (Kemple, 2016). </w:t>
      </w:r>
      <w:r w:rsidRPr="00F812B5">
        <w:rPr>
          <w:rFonts w:ascii="Arial" w:eastAsiaTheme="minorHAnsi" w:hAnsi="Arial" w:cs="Arial"/>
          <w:lang w:val="en-GB"/>
        </w:rPr>
        <w:t>Erikson firmly believed that this was important for children’s development by giving children genuine but simple choices, setting clear, reasonable and consistent boundaries fosters confidence through their holistic development, (Pound</w:t>
      </w:r>
      <w:r w:rsidR="003E6279">
        <w:rPr>
          <w:rFonts w:ascii="Arial" w:eastAsiaTheme="minorHAnsi" w:hAnsi="Arial" w:cs="Arial"/>
          <w:lang w:val="en-GB"/>
        </w:rPr>
        <w:t>,</w:t>
      </w:r>
      <w:r w:rsidRPr="00F812B5">
        <w:rPr>
          <w:rFonts w:ascii="Arial" w:eastAsiaTheme="minorHAnsi" w:hAnsi="Arial" w:cs="Arial"/>
          <w:lang w:val="en-GB"/>
        </w:rPr>
        <w:t xml:space="preserve"> 2006). Pound (2006) also notes how </w:t>
      </w:r>
      <w:proofErr w:type="spellStart"/>
      <w:r w:rsidRPr="00F812B5">
        <w:rPr>
          <w:rFonts w:ascii="Arial" w:eastAsiaTheme="minorHAnsi" w:hAnsi="Arial" w:cs="Arial"/>
          <w:lang w:val="en-GB"/>
        </w:rPr>
        <w:t>Eriskon</w:t>
      </w:r>
      <w:proofErr w:type="spellEnd"/>
      <w:r w:rsidRPr="00F812B5">
        <w:rPr>
          <w:rFonts w:ascii="Arial" w:eastAsiaTheme="minorHAnsi" w:hAnsi="Arial" w:cs="Arial"/>
          <w:lang w:val="en-GB"/>
        </w:rPr>
        <w:t xml:space="preserve"> describes how children need recognition and the adult’s role in recognising children’s accomplishments, through praise and support focusing on what the child can do not and not what they can’t, encouraging achievements and confidence to further investigate and learn.     </w:t>
      </w:r>
    </w:p>
    <w:p w14:paraId="420ADFA1" w14:textId="7BDC85BE" w:rsidR="00C20AEC" w:rsidRDefault="00C20AEC" w:rsidP="00C20AEC">
      <w:pPr>
        <w:spacing w:after="160" w:line="360" w:lineRule="auto"/>
        <w:rPr>
          <w:rFonts w:ascii="Arial" w:eastAsiaTheme="minorHAnsi" w:hAnsi="Arial" w:cs="Arial"/>
          <w:color w:val="0D0D0D"/>
          <w:shd w:val="clear" w:color="auto" w:fill="FFFFFF"/>
          <w:lang w:val="en-GB"/>
        </w:rPr>
      </w:pPr>
      <w:r w:rsidRPr="00F812B5">
        <w:rPr>
          <w:rFonts w:ascii="Arial" w:eastAsiaTheme="minorHAnsi" w:hAnsi="Arial" w:cs="Arial"/>
          <w:lang w:val="en-GB"/>
        </w:rPr>
        <w:t>Stoyanov (2017) explains how reaching self-actualisation encompasses growth and empowers the child to reach their full potential across all aspects of child development. Reaching self-actualisation children are ready to challenge themselves, test their abilities and solve problems as part of their cognitive development, through being secure within all lower needs (Wilson</w:t>
      </w:r>
      <w:r w:rsidR="003E6279">
        <w:rPr>
          <w:rFonts w:ascii="Arial" w:eastAsiaTheme="minorHAnsi" w:hAnsi="Arial" w:cs="Arial"/>
          <w:lang w:val="en-GB"/>
        </w:rPr>
        <w:t>,</w:t>
      </w:r>
      <w:r w:rsidRPr="00F812B5">
        <w:rPr>
          <w:rFonts w:ascii="Arial" w:eastAsiaTheme="minorHAnsi" w:hAnsi="Arial" w:cs="Arial"/>
          <w:lang w:val="en-GB"/>
        </w:rPr>
        <w:t xml:space="preserve"> 2012). Piaget describes how children need to be in control of their own learning and understanding, constructing and gathering knowledge and refers to the child as a ‘scientist’ within their development, (Lindon</w:t>
      </w:r>
      <w:r w:rsidR="003E6279">
        <w:rPr>
          <w:rFonts w:ascii="Arial" w:eastAsiaTheme="minorHAnsi" w:hAnsi="Arial" w:cs="Arial"/>
          <w:lang w:val="en-GB"/>
        </w:rPr>
        <w:t>,</w:t>
      </w:r>
      <w:r w:rsidRPr="00F812B5">
        <w:rPr>
          <w:rFonts w:ascii="Arial" w:eastAsiaTheme="minorHAnsi" w:hAnsi="Arial" w:cs="Arial"/>
          <w:lang w:val="en-GB"/>
        </w:rPr>
        <w:t xml:space="preserve"> 2012). Wilson (2012) suggests children need various opportunities to present their discoveries to negotiate through indoor and outdoor creative play. Welsh Government (2023) state that </w:t>
      </w:r>
      <w:r w:rsidRPr="00F812B5">
        <w:rPr>
          <w:rFonts w:ascii="Arial" w:eastAsiaTheme="minorHAnsi" w:hAnsi="Arial" w:cs="Arial"/>
          <w:color w:val="0D0D0D"/>
          <w:shd w:val="clear" w:color="auto" w:fill="FFFFFF"/>
          <w:lang w:val="en-GB"/>
        </w:rPr>
        <w:t xml:space="preserve">the indoor and outdoor environment should play a central role in providing learners with authentic </w:t>
      </w:r>
    </w:p>
    <w:p w14:paraId="6A87B311" w14:textId="77777777" w:rsidR="00C20AEC" w:rsidRDefault="00C20AEC" w:rsidP="00C20AEC">
      <w:pPr>
        <w:spacing w:after="160" w:line="360" w:lineRule="auto"/>
        <w:rPr>
          <w:rFonts w:ascii="Arial" w:eastAsiaTheme="minorHAnsi" w:hAnsi="Arial" w:cs="Arial"/>
          <w:color w:val="0D0D0D"/>
          <w:shd w:val="clear" w:color="auto" w:fill="FFFFFF"/>
          <w:lang w:val="en-GB"/>
        </w:rPr>
      </w:pPr>
    </w:p>
    <w:p w14:paraId="2E0C3ED7" w14:textId="1B3C11E8" w:rsidR="00C20AEC" w:rsidRPr="00F812B5" w:rsidRDefault="00C20AEC" w:rsidP="00C20AEC">
      <w:pPr>
        <w:spacing w:after="160" w:line="360" w:lineRule="auto"/>
        <w:rPr>
          <w:rFonts w:ascii="Arial" w:eastAsiaTheme="minorHAnsi" w:hAnsi="Arial" w:cs="Arial"/>
          <w:color w:val="0D0D0D"/>
          <w:shd w:val="clear" w:color="auto" w:fill="FFFFFF"/>
          <w:lang w:val="en-GB"/>
        </w:rPr>
      </w:pPr>
      <w:r>
        <w:rPr>
          <w:rFonts w:ascii="Arial" w:eastAsiaTheme="minorHAnsi" w:hAnsi="Arial" w:cs="Arial"/>
          <w:color w:val="0D0D0D"/>
          <w:shd w:val="clear" w:color="auto" w:fill="FFFFFF"/>
          <w:lang w:val="en-GB"/>
        </w:rPr>
        <w:t>e</w:t>
      </w:r>
      <w:r w:rsidRPr="00F812B5">
        <w:rPr>
          <w:rFonts w:ascii="Arial" w:eastAsiaTheme="minorHAnsi" w:hAnsi="Arial" w:cs="Arial"/>
          <w:color w:val="0D0D0D"/>
          <w:shd w:val="clear" w:color="auto" w:fill="FFFFFF"/>
          <w:lang w:val="en-GB"/>
        </w:rPr>
        <w:t>xperiences</w:t>
      </w:r>
      <w:r>
        <w:rPr>
          <w:rFonts w:ascii="Arial" w:eastAsiaTheme="minorHAnsi" w:hAnsi="Arial" w:cs="Arial"/>
          <w:color w:val="0D0D0D"/>
          <w:shd w:val="clear" w:color="auto" w:fill="FFFFFF"/>
          <w:lang w:val="en-GB"/>
        </w:rPr>
        <w:t>, promoting holistic development.</w:t>
      </w:r>
    </w:p>
    <w:p w14:paraId="26D3861D" w14:textId="77777777" w:rsidR="00C20AEC" w:rsidRPr="00F812B5" w:rsidRDefault="00C20AEC" w:rsidP="00C20AEC">
      <w:pPr>
        <w:spacing w:after="160" w:line="360" w:lineRule="auto"/>
        <w:rPr>
          <w:rFonts w:ascii="Arial" w:eastAsiaTheme="minorHAnsi" w:hAnsi="Arial" w:cs="Arial"/>
          <w:color w:val="0D0D0D"/>
          <w:shd w:val="clear" w:color="auto" w:fill="FFFFFF"/>
          <w:lang w:val="en-GB"/>
        </w:rPr>
      </w:pPr>
      <w:r w:rsidRPr="00F812B5">
        <w:rPr>
          <w:rFonts w:ascii="Arial" w:eastAsiaTheme="minorHAnsi" w:hAnsi="Arial" w:cs="Arial"/>
          <w:color w:val="0D0D0D"/>
          <w:shd w:val="clear" w:color="auto" w:fill="FFFFFF"/>
          <w:lang w:val="en-GB"/>
        </w:rPr>
        <w:t xml:space="preserve">In conclusion, holistic child development emphasizes the importance of nurturing all aspects of a child's growth, emotional, social, cognitive, and physical. Maslow's hierarchy of needs provides an understanding of this process, with each level building on the previous one to support the child’s overall well-being. Through this holistic approach, children can develop the confidence, competence, and resilience needed for future growth and </w:t>
      </w:r>
      <w:r>
        <w:rPr>
          <w:rFonts w:ascii="Arial" w:eastAsiaTheme="minorHAnsi" w:hAnsi="Arial" w:cs="Arial"/>
          <w:color w:val="0D0D0D"/>
          <w:shd w:val="clear" w:color="auto" w:fill="FFFFFF"/>
          <w:lang w:val="en-GB"/>
        </w:rPr>
        <w:t>development</w:t>
      </w:r>
      <w:r w:rsidRPr="00F812B5">
        <w:rPr>
          <w:rFonts w:ascii="Arial" w:eastAsiaTheme="minorHAnsi" w:hAnsi="Arial" w:cs="Arial"/>
          <w:color w:val="0D0D0D"/>
          <w:shd w:val="clear" w:color="auto" w:fill="FFFFFF"/>
          <w:lang w:val="en-GB"/>
        </w:rPr>
        <w:t>.</w:t>
      </w:r>
    </w:p>
    <w:p w14:paraId="1BCCCF5E" w14:textId="77777777" w:rsidR="00C20AEC" w:rsidRDefault="00C20AEC" w:rsidP="00C20AEC">
      <w:pPr>
        <w:tabs>
          <w:tab w:val="left" w:pos="6080"/>
        </w:tabs>
        <w:rPr>
          <w:u w:val="single"/>
        </w:rPr>
      </w:pPr>
    </w:p>
    <w:p w14:paraId="19CCB342" w14:textId="77777777" w:rsidR="00531C18" w:rsidRPr="00531C18" w:rsidRDefault="00531C18" w:rsidP="00531C18"/>
    <w:p w14:paraId="3FD8490F" w14:textId="77777777" w:rsidR="00531C18" w:rsidRPr="00531C18" w:rsidRDefault="00531C18" w:rsidP="00531C18"/>
    <w:p w14:paraId="7012104E" w14:textId="77777777" w:rsidR="00531C18" w:rsidRPr="00531C18" w:rsidRDefault="00531C18" w:rsidP="00531C18"/>
    <w:p w14:paraId="615D5E1F" w14:textId="77777777" w:rsidR="00531C18" w:rsidRPr="00531C18" w:rsidRDefault="00531C18" w:rsidP="00531C18"/>
    <w:p w14:paraId="0F61AE92" w14:textId="77777777" w:rsidR="00531C18" w:rsidRPr="00531C18" w:rsidRDefault="00531C18" w:rsidP="00531C18"/>
    <w:p w14:paraId="1EACFAA6" w14:textId="77777777" w:rsidR="00531C18" w:rsidRPr="00531C18" w:rsidRDefault="00531C18" w:rsidP="00531C18"/>
    <w:p w14:paraId="5F7233E2" w14:textId="77777777" w:rsidR="00531C18" w:rsidRPr="00531C18" w:rsidRDefault="00531C18" w:rsidP="00531C18"/>
    <w:p w14:paraId="1F9533C3" w14:textId="7DAFDF0A" w:rsidR="00531C18" w:rsidRDefault="00531C18" w:rsidP="00531C18">
      <w:pPr>
        <w:tabs>
          <w:tab w:val="left" w:pos="6080"/>
        </w:tabs>
        <w:sectPr w:rsidR="00531C18" w:rsidSect="00FA4057">
          <w:pgSz w:w="11906" w:h="16838"/>
          <w:pgMar w:top="1440" w:right="1440" w:bottom="1440" w:left="1440" w:header="709" w:footer="709" w:gutter="0"/>
          <w:cols w:space="708"/>
          <w:docGrid w:linePitch="360"/>
        </w:sectPr>
      </w:pPr>
    </w:p>
    <w:p w14:paraId="6918E011" w14:textId="06AC5623" w:rsidR="009E75FA" w:rsidRDefault="003B71A5" w:rsidP="00531C18">
      <w:pPr>
        <w:tabs>
          <w:tab w:val="left" w:pos="6080"/>
        </w:tabs>
        <w:rPr>
          <w:u w:val="single"/>
        </w:rPr>
      </w:pPr>
      <w:r w:rsidRPr="00FA4057">
        <w:rPr>
          <w:rFonts w:ascii="Arial" w:eastAsiaTheme="minorHAnsi" w:hAnsi="Arial" w:cs="Arial"/>
          <w:u w:val="single"/>
          <w:lang w:val="en-GB"/>
        </w:rPr>
        <w:lastRenderedPageBreak/>
        <w:t xml:space="preserve">Part </w:t>
      </w:r>
      <w:r>
        <w:rPr>
          <w:rFonts w:ascii="Arial" w:eastAsiaTheme="minorHAnsi" w:hAnsi="Arial" w:cs="Arial"/>
          <w:u w:val="single"/>
          <w:lang w:val="en-GB"/>
        </w:rPr>
        <w:t>3 – Examples Within Early Years Practice Including the Significance of Maslow’s Hierarchy of Needs and Child Development.</w:t>
      </w:r>
    </w:p>
    <w:p w14:paraId="7BFA7149" w14:textId="77777777" w:rsidR="00C464CF" w:rsidRPr="00C464CF" w:rsidRDefault="00C464CF" w:rsidP="00C464CF"/>
    <w:p w14:paraId="0A6E0C45" w14:textId="77777777" w:rsidR="00C464CF" w:rsidRPr="00C464CF" w:rsidRDefault="00C464CF" w:rsidP="00C464CF"/>
    <w:p w14:paraId="478A5241" w14:textId="77777777" w:rsidR="003B71A5" w:rsidRPr="00BC7C8E" w:rsidRDefault="003B71A5" w:rsidP="003B71A5">
      <w:r w:rsidRPr="00BC7C8E">
        <w:rPr>
          <w:rFonts w:ascii="Arial" w:eastAsiaTheme="minorHAnsi" w:hAnsi="Arial" w:cs="Arial"/>
          <w:u w:val="single"/>
          <w:lang w:val="en-GB"/>
        </w:rPr>
        <w:t>Mealtime</w:t>
      </w:r>
    </w:p>
    <w:p w14:paraId="208259D0" w14:textId="5703A893" w:rsidR="003B71A5" w:rsidRPr="00BC7C8E" w:rsidRDefault="003B71A5" w:rsidP="003B71A5">
      <w:pPr>
        <w:spacing w:after="160" w:line="360" w:lineRule="auto"/>
        <w:rPr>
          <w:rFonts w:ascii="Arial" w:eastAsiaTheme="minorHAnsi" w:hAnsi="Arial" w:cs="Arial"/>
          <w:lang w:val="en-GB"/>
        </w:rPr>
      </w:pPr>
      <w:r w:rsidRPr="00BC7C8E">
        <w:rPr>
          <w:rFonts w:ascii="Arial" w:eastAsiaTheme="minorHAnsi" w:hAnsi="Arial" w:cs="Arial"/>
          <w:lang w:val="en-GB"/>
        </w:rPr>
        <w:t>According to Maslow a child’s learning and development is greatly impacted by a lack of physiological needs, he explains that children who are hungry will struggle to concentrate and achieve, (Stoyanov</w:t>
      </w:r>
      <w:r w:rsidR="003E6279">
        <w:rPr>
          <w:rFonts w:ascii="Arial" w:eastAsiaTheme="minorHAnsi" w:hAnsi="Arial" w:cs="Arial"/>
          <w:lang w:val="en-GB"/>
        </w:rPr>
        <w:t>,</w:t>
      </w:r>
      <w:r w:rsidRPr="00BC7C8E">
        <w:rPr>
          <w:rFonts w:ascii="Arial" w:eastAsiaTheme="minorHAnsi" w:hAnsi="Arial" w:cs="Arial"/>
          <w:lang w:val="en-GB"/>
        </w:rPr>
        <w:t xml:space="preserve"> 2017). The UNCRC (United Nations Convention of the Rights of the Child), article </w:t>
      </w:r>
      <w:proofErr w:type="gramStart"/>
      <w:r w:rsidR="003E6279" w:rsidRPr="00BC7C8E">
        <w:rPr>
          <w:rFonts w:ascii="Arial" w:eastAsiaTheme="minorHAnsi" w:hAnsi="Arial" w:cs="Arial"/>
          <w:lang w:val="en-GB"/>
        </w:rPr>
        <w:t>twenty</w:t>
      </w:r>
      <w:r w:rsidR="003E6279">
        <w:rPr>
          <w:rFonts w:ascii="Arial" w:eastAsiaTheme="minorHAnsi" w:hAnsi="Arial" w:cs="Arial"/>
          <w:lang w:val="en-GB"/>
        </w:rPr>
        <w:t xml:space="preserve"> f</w:t>
      </w:r>
      <w:r w:rsidR="003E6279" w:rsidRPr="00BC7C8E">
        <w:rPr>
          <w:rFonts w:ascii="Arial" w:eastAsiaTheme="minorHAnsi" w:hAnsi="Arial" w:cs="Arial"/>
          <w:lang w:val="en-GB"/>
        </w:rPr>
        <w:t>our</w:t>
      </w:r>
      <w:proofErr w:type="gramEnd"/>
      <w:r w:rsidRPr="00BC7C8E">
        <w:rPr>
          <w:rFonts w:ascii="Arial" w:eastAsiaTheme="minorHAnsi" w:hAnsi="Arial" w:cs="Arial"/>
          <w:lang w:val="en-GB"/>
        </w:rPr>
        <w:t>, explains that children have the right to be healthy where government should provide a clean environment, good quality health care, food and water. Children should also be well educated regarding well-being and their health encouraging them to maintain their own health, (UNICEF</w:t>
      </w:r>
      <w:r w:rsidR="003E6279">
        <w:rPr>
          <w:rFonts w:ascii="Arial" w:eastAsiaTheme="minorHAnsi" w:hAnsi="Arial" w:cs="Arial"/>
          <w:lang w:val="en-GB"/>
        </w:rPr>
        <w:t>,</w:t>
      </w:r>
      <w:r w:rsidRPr="00BC7C8E">
        <w:rPr>
          <w:rFonts w:ascii="Arial" w:eastAsiaTheme="minorHAnsi" w:hAnsi="Arial" w:cs="Arial"/>
          <w:lang w:val="en-GB"/>
        </w:rPr>
        <w:t xml:space="preserve"> 1989). Welsh Government supports both Maslow and the UNCRC by funding free breakfast to all primary school aged children </w:t>
      </w:r>
      <w:proofErr w:type="gramStart"/>
      <w:r w:rsidRPr="00BC7C8E">
        <w:rPr>
          <w:rFonts w:ascii="Arial" w:eastAsiaTheme="minorHAnsi" w:hAnsi="Arial" w:cs="Arial"/>
          <w:lang w:val="en-GB"/>
        </w:rPr>
        <w:t>in an attempt to</w:t>
      </w:r>
      <w:proofErr w:type="gramEnd"/>
      <w:r w:rsidRPr="00BC7C8E">
        <w:rPr>
          <w:rFonts w:ascii="Arial" w:eastAsiaTheme="minorHAnsi" w:hAnsi="Arial" w:cs="Arial"/>
          <w:lang w:val="en-GB"/>
        </w:rPr>
        <w:t xml:space="preserve"> raise standards of learning, development and achievement, (Welsh Government</w:t>
      </w:r>
      <w:r w:rsidR="003E6279">
        <w:rPr>
          <w:rFonts w:ascii="Arial" w:eastAsiaTheme="minorHAnsi" w:hAnsi="Arial" w:cs="Arial"/>
          <w:lang w:val="en-GB"/>
        </w:rPr>
        <w:t>,</w:t>
      </w:r>
      <w:r w:rsidRPr="00BC7C8E">
        <w:rPr>
          <w:rFonts w:ascii="Arial" w:eastAsiaTheme="minorHAnsi" w:hAnsi="Arial" w:cs="Arial"/>
          <w:lang w:val="en-GB"/>
        </w:rPr>
        <w:t xml:space="preserve"> </w:t>
      </w:r>
      <w:proofErr w:type="spellStart"/>
      <w:r w:rsidRPr="00BC7C8E">
        <w:rPr>
          <w:rFonts w:ascii="Arial" w:eastAsiaTheme="minorHAnsi" w:hAnsi="Arial" w:cs="Arial"/>
          <w:lang w:val="en-GB"/>
        </w:rPr>
        <w:t>n.d</w:t>
      </w:r>
      <w:proofErr w:type="spellEnd"/>
      <w:r w:rsidRPr="00BC7C8E">
        <w:rPr>
          <w:rFonts w:ascii="Arial" w:eastAsiaTheme="minorHAnsi" w:hAnsi="Arial" w:cs="Arial"/>
          <w:lang w:val="en-GB"/>
        </w:rPr>
        <w:t xml:space="preserve">). </w:t>
      </w:r>
    </w:p>
    <w:p w14:paraId="43BC3E01" w14:textId="77777777" w:rsidR="003B71A5" w:rsidRPr="00BC7C8E" w:rsidRDefault="003B71A5" w:rsidP="003B71A5">
      <w:pPr>
        <w:spacing w:after="160" w:line="360" w:lineRule="auto"/>
        <w:rPr>
          <w:rFonts w:ascii="Arial" w:eastAsiaTheme="minorHAnsi" w:hAnsi="Arial" w:cs="Arial"/>
          <w:lang w:val="en-GB"/>
        </w:rPr>
      </w:pPr>
      <w:r w:rsidRPr="00BC7C8E">
        <w:rPr>
          <w:rFonts w:ascii="Arial" w:eastAsiaTheme="minorHAnsi" w:hAnsi="Arial" w:cs="Arial"/>
          <w:lang w:val="en-GB"/>
        </w:rPr>
        <w:t xml:space="preserve">Mealtimes support physical development which is part of Maslow’s physiological needs. The use of cutlery exercises children’s fine motor skills and helps to develop and strengthen their pincher grip required for holding pencils and various marking equipment. As children develop and grow mealtimes provide opportunities for children to strengthen their gross motor skills, carrying water jugs and trays, (Early Years Careers, </w:t>
      </w:r>
      <w:proofErr w:type="spellStart"/>
      <w:r w:rsidRPr="00BC7C8E">
        <w:rPr>
          <w:rFonts w:ascii="Arial" w:eastAsiaTheme="minorHAnsi" w:hAnsi="Arial" w:cs="Arial"/>
          <w:lang w:val="en-GB"/>
        </w:rPr>
        <w:t>n.d</w:t>
      </w:r>
      <w:proofErr w:type="spellEnd"/>
      <w:r w:rsidRPr="00BC7C8E">
        <w:rPr>
          <w:rFonts w:ascii="Arial" w:eastAsiaTheme="minorHAnsi" w:hAnsi="Arial" w:cs="Arial"/>
          <w:lang w:val="en-GB"/>
        </w:rPr>
        <w:t>). According to Pound (2006) children need to be in control of their learning, carrying water jugs and food trays during mealtimes provides opportunities for children to be independent and to find things out for themselves (</w:t>
      </w:r>
      <w:proofErr w:type="spellStart"/>
      <w:r w:rsidRPr="00BC7C8E">
        <w:rPr>
          <w:rFonts w:ascii="Arial" w:eastAsiaTheme="minorHAnsi" w:hAnsi="Arial" w:cs="Arial"/>
          <w:lang w:val="en-GB"/>
        </w:rPr>
        <w:t>e.g</w:t>
      </w:r>
      <w:proofErr w:type="spellEnd"/>
      <w:r w:rsidRPr="00BC7C8E">
        <w:rPr>
          <w:rFonts w:ascii="Arial" w:eastAsiaTheme="minorHAnsi" w:hAnsi="Arial" w:cs="Arial"/>
          <w:lang w:val="en-GB"/>
        </w:rPr>
        <w:t xml:space="preserve"> experimenting with weight and balance), this aligns with Maslow’s ego stage of needs.</w:t>
      </w:r>
    </w:p>
    <w:p w14:paraId="27A3841B" w14:textId="77777777" w:rsidR="003B71A5" w:rsidRPr="00BC7C8E" w:rsidRDefault="003B71A5" w:rsidP="003B71A5">
      <w:pPr>
        <w:spacing w:after="160" w:line="360" w:lineRule="auto"/>
        <w:rPr>
          <w:rFonts w:ascii="Arial" w:eastAsiaTheme="minorHAnsi" w:hAnsi="Arial" w:cs="Arial"/>
          <w:u w:val="single"/>
          <w:lang w:val="en-GB"/>
        </w:rPr>
      </w:pPr>
      <w:r w:rsidRPr="00BC7C8E">
        <w:rPr>
          <w:rFonts w:ascii="Arial" w:eastAsiaTheme="minorHAnsi" w:hAnsi="Arial" w:cs="Arial"/>
          <w:u w:val="single"/>
          <w:lang w:val="en-GB"/>
        </w:rPr>
        <w:t>Transitions</w:t>
      </w:r>
    </w:p>
    <w:p w14:paraId="470FCE2F" w14:textId="4266E0ED" w:rsidR="003B71A5" w:rsidRDefault="003B71A5" w:rsidP="003B71A5">
      <w:pPr>
        <w:spacing w:after="160" w:line="360" w:lineRule="auto"/>
        <w:rPr>
          <w:rFonts w:ascii="Arial" w:eastAsiaTheme="minorHAnsi" w:hAnsi="Arial" w:cs="Arial"/>
          <w:lang w:val="en-GB"/>
        </w:rPr>
      </w:pPr>
      <w:r w:rsidRPr="00BC7C8E">
        <w:rPr>
          <w:rFonts w:ascii="Arial" w:eastAsiaTheme="minorHAnsi" w:hAnsi="Arial" w:cs="Arial"/>
          <w:lang w:val="en-GB"/>
        </w:rPr>
        <w:t xml:space="preserve">Children can find change challenging and stressful, </w:t>
      </w:r>
      <w:proofErr w:type="gramStart"/>
      <w:r w:rsidRPr="00BC7C8E">
        <w:rPr>
          <w:rFonts w:ascii="Arial" w:eastAsiaTheme="minorHAnsi" w:hAnsi="Arial" w:cs="Arial"/>
          <w:lang w:val="en-GB"/>
        </w:rPr>
        <w:t>this puts</w:t>
      </w:r>
      <w:proofErr w:type="gramEnd"/>
      <w:r w:rsidRPr="00BC7C8E">
        <w:rPr>
          <w:rFonts w:ascii="Arial" w:eastAsiaTheme="minorHAnsi" w:hAnsi="Arial" w:cs="Arial"/>
          <w:lang w:val="en-GB"/>
        </w:rPr>
        <w:t xml:space="preserve"> emphasise around the practitioner to take time to understand and know the differences between each individual child and to tailor the approach and teaching accordingly, (El-</w:t>
      </w:r>
      <w:proofErr w:type="spellStart"/>
      <w:r w:rsidRPr="00BC7C8E">
        <w:rPr>
          <w:rFonts w:ascii="Arial" w:eastAsiaTheme="minorHAnsi" w:hAnsi="Arial" w:cs="Arial"/>
          <w:lang w:val="en-GB"/>
        </w:rPr>
        <w:t>Moslimany</w:t>
      </w:r>
      <w:proofErr w:type="spellEnd"/>
      <w:r w:rsidR="003E6279">
        <w:rPr>
          <w:rFonts w:ascii="Arial" w:eastAsiaTheme="minorHAnsi" w:hAnsi="Arial" w:cs="Arial"/>
          <w:lang w:val="en-GB"/>
        </w:rPr>
        <w:t>,</w:t>
      </w:r>
      <w:r w:rsidRPr="00BC7C8E">
        <w:rPr>
          <w:rFonts w:ascii="Arial" w:eastAsiaTheme="minorHAnsi" w:hAnsi="Arial" w:cs="Arial"/>
          <w:lang w:val="en-GB"/>
        </w:rPr>
        <w:t xml:space="preserve"> 2018).  Welsh Government (2019) encourage primary school settings to communicate with parents and staff members also pupils to create a ‘One Page Profile’ for each child, including positive information regarding the child’s likes/dislikes, also what and who is important to them. This information highlights the </w:t>
      </w:r>
    </w:p>
    <w:p w14:paraId="4465BAC3" w14:textId="77777777" w:rsidR="003B71A5" w:rsidRDefault="003B71A5" w:rsidP="003B71A5">
      <w:pPr>
        <w:spacing w:after="160" w:line="360" w:lineRule="auto"/>
        <w:rPr>
          <w:rFonts w:ascii="Arial" w:eastAsiaTheme="minorHAnsi" w:hAnsi="Arial" w:cs="Arial"/>
          <w:lang w:val="en-GB"/>
        </w:rPr>
      </w:pPr>
    </w:p>
    <w:p w14:paraId="0DBAB4F1" w14:textId="75390A18" w:rsidR="003B71A5" w:rsidRPr="00BC7C8E" w:rsidRDefault="003B71A5" w:rsidP="003B71A5">
      <w:pPr>
        <w:spacing w:after="160" w:line="360" w:lineRule="auto"/>
        <w:rPr>
          <w:rFonts w:ascii="Arial" w:eastAsiaTheme="minorHAnsi" w:hAnsi="Arial" w:cs="Arial"/>
          <w:lang w:val="en-GB"/>
        </w:rPr>
      </w:pPr>
      <w:r w:rsidRPr="00BC7C8E">
        <w:rPr>
          <w:rFonts w:ascii="Arial" w:eastAsiaTheme="minorHAnsi" w:hAnsi="Arial" w:cs="Arial"/>
          <w:lang w:val="en-GB"/>
        </w:rPr>
        <w:t>best way to support the child’s development over all areas and contributes towards their well-being especially through transitions. Transitions within childcare brings focus on fostering relationships between children, parents, and practitioners, (Hostettler Scharer, 2018). Maslow’s need for safety and stability explains how children need an orderly, safe environment away from unexpected and unmanageable dangers, but also the safety and stability that comes from trusting adults and forming relationships, (Stoyanov</w:t>
      </w:r>
      <w:r w:rsidR="003E6279">
        <w:rPr>
          <w:rFonts w:ascii="Arial" w:eastAsiaTheme="minorHAnsi" w:hAnsi="Arial" w:cs="Arial"/>
          <w:lang w:val="en-GB"/>
        </w:rPr>
        <w:t>,</w:t>
      </w:r>
      <w:r w:rsidRPr="00BC7C8E">
        <w:rPr>
          <w:rFonts w:ascii="Arial" w:eastAsiaTheme="minorHAnsi" w:hAnsi="Arial" w:cs="Arial"/>
          <w:lang w:val="en-GB"/>
        </w:rPr>
        <w:t xml:space="preserve"> 2017). Hodgkins and </w:t>
      </w:r>
      <w:proofErr w:type="spellStart"/>
      <w:r w:rsidRPr="00BC7C8E">
        <w:rPr>
          <w:rFonts w:ascii="Arial" w:eastAsiaTheme="minorHAnsi" w:hAnsi="Arial" w:cs="Arial"/>
          <w:lang w:val="en-GB"/>
        </w:rPr>
        <w:t>Prowle</w:t>
      </w:r>
      <w:proofErr w:type="spellEnd"/>
      <w:r w:rsidRPr="00BC7C8E">
        <w:rPr>
          <w:rFonts w:ascii="Arial" w:eastAsiaTheme="minorHAnsi" w:hAnsi="Arial" w:cs="Arial"/>
          <w:lang w:val="en-GB"/>
        </w:rPr>
        <w:t xml:space="preserve"> (2023) believe that when children feel supported and safe they will show a readiness to build relationships. During transition the child needs to receive a warm and empathetic response from the adults in the new environment, they will begin to trust relationships and that their needs will be met, fostering a sense of security and belonging within the child. Bowlby’s (1969) attachment theory suggests that a stable and secure relationship with at least one caregiver is essential for healthy social and emotional development (Hostettler Scharer, 2018). Children who have secure attachments to their primary carers feel free to take risks, discover, learn and explore knowing that they can return to the consistent, secure adult, (Wilson</w:t>
      </w:r>
      <w:r w:rsidR="003E6279">
        <w:rPr>
          <w:rFonts w:ascii="Arial" w:eastAsiaTheme="minorHAnsi" w:hAnsi="Arial" w:cs="Arial"/>
          <w:lang w:val="en-GB"/>
        </w:rPr>
        <w:t>,</w:t>
      </w:r>
      <w:r w:rsidRPr="00BC7C8E">
        <w:rPr>
          <w:rFonts w:ascii="Arial" w:eastAsiaTheme="minorHAnsi" w:hAnsi="Arial" w:cs="Arial"/>
          <w:lang w:val="en-GB"/>
        </w:rPr>
        <w:t xml:space="preserve"> 2016). Brodie (2018) explains how attachment forms the foundation of emotional development.</w:t>
      </w:r>
    </w:p>
    <w:p w14:paraId="4EBC3CD2" w14:textId="77777777" w:rsidR="003B71A5" w:rsidRPr="00BC7C8E" w:rsidRDefault="003B71A5" w:rsidP="003B71A5">
      <w:pPr>
        <w:spacing w:after="160" w:line="360" w:lineRule="auto"/>
        <w:rPr>
          <w:rFonts w:ascii="Arial" w:eastAsiaTheme="minorHAnsi" w:hAnsi="Arial" w:cs="Arial"/>
          <w:u w:val="single"/>
          <w:lang w:val="en-GB"/>
        </w:rPr>
      </w:pPr>
      <w:r w:rsidRPr="00BC7C8E">
        <w:rPr>
          <w:rFonts w:ascii="Arial" w:eastAsiaTheme="minorHAnsi" w:hAnsi="Arial" w:cs="Arial"/>
          <w:u w:val="single"/>
          <w:lang w:val="en-GB"/>
        </w:rPr>
        <w:t>Outdoor Play</w:t>
      </w:r>
    </w:p>
    <w:p w14:paraId="267611C4" w14:textId="28453C92" w:rsidR="003B71A5" w:rsidRDefault="003B71A5" w:rsidP="003B71A5">
      <w:pPr>
        <w:spacing w:after="160" w:line="360" w:lineRule="auto"/>
        <w:rPr>
          <w:rFonts w:ascii="Arial" w:eastAsiaTheme="minorHAnsi" w:hAnsi="Arial" w:cs="Arial"/>
          <w:lang w:val="en-GB"/>
        </w:rPr>
      </w:pPr>
      <w:r w:rsidRPr="00BC7C8E">
        <w:rPr>
          <w:rFonts w:ascii="Arial" w:eastAsiaTheme="minorHAnsi" w:hAnsi="Arial" w:cs="Arial"/>
          <w:lang w:val="en-GB"/>
        </w:rPr>
        <w:t>When children have reached self-actualisation within Maslow’s hierarchy of needs, all other needs have been satisfied and within this need children have the potential to reach their full potential, (Stoyanov</w:t>
      </w:r>
      <w:r w:rsidR="003E6279">
        <w:rPr>
          <w:rFonts w:ascii="Arial" w:eastAsiaTheme="minorHAnsi" w:hAnsi="Arial" w:cs="Arial"/>
          <w:lang w:val="en-GB"/>
        </w:rPr>
        <w:t>,</w:t>
      </w:r>
      <w:r w:rsidRPr="00BC7C8E">
        <w:rPr>
          <w:rFonts w:ascii="Arial" w:eastAsiaTheme="minorHAnsi" w:hAnsi="Arial" w:cs="Arial"/>
          <w:lang w:val="en-GB"/>
        </w:rPr>
        <w:t xml:space="preserve"> 2017). Outdoor play provides opportunities for challenge and risk, children are free to explore and learn to further their development, Hodgkins and </w:t>
      </w:r>
      <w:proofErr w:type="spellStart"/>
      <w:r w:rsidRPr="00BC7C8E">
        <w:rPr>
          <w:rFonts w:ascii="Arial" w:eastAsiaTheme="minorHAnsi" w:hAnsi="Arial" w:cs="Arial"/>
          <w:lang w:val="en-GB"/>
        </w:rPr>
        <w:t>Prowle</w:t>
      </w:r>
      <w:proofErr w:type="spellEnd"/>
      <w:r w:rsidRPr="00BC7C8E">
        <w:rPr>
          <w:rFonts w:ascii="Arial" w:eastAsiaTheme="minorHAnsi" w:hAnsi="Arial" w:cs="Arial"/>
          <w:lang w:val="en-GB"/>
        </w:rPr>
        <w:t xml:space="preserve"> (2023) note how children should challenge themselves and their abilities to problem solve as it’s an important aspect of their cognitive development and growth. Outdoor play is crucial for children’s well- being, emotional, social, physical and spiritual development, exploring outdoors can enhance a child’s confidence through exploratory play, (</w:t>
      </w:r>
      <w:proofErr w:type="spellStart"/>
      <w:r w:rsidRPr="00BC7C8E">
        <w:rPr>
          <w:rFonts w:ascii="Arial" w:eastAsiaTheme="minorHAnsi" w:hAnsi="Arial" w:cs="Arial"/>
          <w:lang w:val="en-GB"/>
        </w:rPr>
        <w:t>Gov.wales</w:t>
      </w:r>
      <w:proofErr w:type="spellEnd"/>
      <w:r w:rsidRPr="00BC7C8E">
        <w:rPr>
          <w:rFonts w:ascii="Arial" w:eastAsiaTheme="minorHAnsi" w:hAnsi="Arial" w:cs="Arial"/>
          <w:lang w:val="en-GB"/>
        </w:rPr>
        <w:t xml:space="preserve">, 2018). Playing outdoors provides opportunities to develop a child’s physical skills as well as knowledge and understanding of the world as they naturally incorporate movements including jumping, running and climbing into their play, (Luchetti, 2023). The adult’s role includes supporting and encouraging children to explore and engage within </w:t>
      </w:r>
      <w:proofErr w:type="gramStart"/>
      <w:r w:rsidRPr="00BC7C8E">
        <w:rPr>
          <w:rFonts w:ascii="Arial" w:eastAsiaTheme="minorHAnsi" w:hAnsi="Arial" w:cs="Arial"/>
          <w:lang w:val="en-GB"/>
        </w:rPr>
        <w:t>their</w:t>
      </w:r>
      <w:proofErr w:type="gramEnd"/>
      <w:r w:rsidRPr="00BC7C8E">
        <w:rPr>
          <w:rFonts w:ascii="Arial" w:eastAsiaTheme="minorHAnsi" w:hAnsi="Arial" w:cs="Arial"/>
          <w:lang w:val="en-GB"/>
        </w:rPr>
        <w:t xml:space="preserve"> </w:t>
      </w:r>
    </w:p>
    <w:p w14:paraId="1A945F00" w14:textId="77777777" w:rsidR="003B71A5" w:rsidRDefault="003B71A5" w:rsidP="003B71A5">
      <w:pPr>
        <w:spacing w:after="160" w:line="360" w:lineRule="auto"/>
        <w:rPr>
          <w:rFonts w:ascii="Arial" w:eastAsiaTheme="minorHAnsi" w:hAnsi="Arial" w:cs="Arial"/>
          <w:lang w:val="en-GB"/>
        </w:rPr>
      </w:pPr>
    </w:p>
    <w:p w14:paraId="490D51D3" w14:textId="03317EA4" w:rsidR="003B71A5" w:rsidRPr="00BC7C8E" w:rsidRDefault="003B71A5" w:rsidP="003B71A5">
      <w:pPr>
        <w:spacing w:after="160" w:line="360" w:lineRule="auto"/>
        <w:rPr>
          <w:rFonts w:ascii="Arial" w:eastAsiaTheme="minorHAnsi" w:hAnsi="Arial" w:cs="Arial"/>
          <w:lang w:val="en-GB"/>
        </w:rPr>
      </w:pPr>
      <w:r w:rsidRPr="00BC7C8E">
        <w:rPr>
          <w:rFonts w:ascii="Arial" w:eastAsiaTheme="minorHAnsi" w:hAnsi="Arial" w:cs="Arial"/>
          <w:lang w:val="en-GB"/>
        </w:rPr>
        <w:t>play and support the child’s curiosity allowing independent, natural learning, (</w:t>
      </w:r>
      <w:proofErr w:type="spellStart"/>
      <w:r w:rsidRPr="00BC7C8E">
        <w:rPr>
          <w:rFonts w:ascii="Arial" w:eastAsiaTheme="minorHAnsi" w:hAnsi="Arial" w:cs="Arial"/>
          <w:lang w:val="en-GB"/>
        </w:rPr>
        <w:t>Gov.wales</w:t>
      </w:r>
      <w:proofErr w:type="spellEnd"/>
      <w:r w:rsidRPr="00BC7C8E">
        <w:rPr>
          <w:rFonts w:ascii="Arial" w:eastAsiaTheme="minorHAnsi" w:hAnsi="Arial" w:cs="Arial"/>
          <w:lang w:val="en-GB"/>
        </w:rPr>
        <w:t>, 2018).  Welsh Government (2020) have designed a curriculum that supports pupils to become capable lifelong learners, showing creativity and confidence which supports Maslow’s need for self-actualisation. Froebel describes children as curious, creative and active learners with the outdoor environment being central to children’s learning and development. His ideas coincide with Maslow’s, explaining that children who have well developed social and emotional skills thrive across all areas of development, (Tovey, 2013). Children’s confidence through satisfying lower needs allows them to be inquisitive, Piaget stated that children need to explore and discover to aid their development, (Pound</w:t>
      </w:r>
      <w:r w:rsidR="003E6279">
        <w:rPr>
          <w:rFonts w:ascii="Arial" w:eastAsiaTheme="minorHAnsi" w:hAnsi="Arial" w:cs="Arial"/>
          <w:lang w:val="en-GB"/>
        </w:rPr>
        <w:t>,</w:t>
      </w:r>
      <w:r w:rsidRPr="00BC7C8E">
        <w:rPr>
          <w:rFonts w:ascii="Arial" w:eastAsiaTheme="minorHAnsi" w:hAnsi="Arial" w:cs="Arial"/>
          <w:lang w:val="en-GB"/>
        </w:rPr>
        <w:t xml:space="preserve"> 2006).  </w:t>
      </w:r>
    </w:p>
    <w:p w14:paraId="1F08E8CA" w14:textId="25C50B59" w:rsidR="003B71A5" w:rsidRPr="00BC7C8E" w:rsidRDefault="003B71A5" w:rsidP="003B71A5">
      <w:pPr>
        <w:spacing w:after="160" w:line="360" w:lineRule="auto"/>
        <w:rPr>
          <w:rFonts w:ascii="Arial" w:eastAsiaTheme="minorHAnsi" w:hAnsi="Arial" w:cs="Arial"/>
          <w:lang w:val="en-GB"/>
        </w:rPr>
      </w:pPr>
      <w:r w:rsidRPr="00C20AEC">
        <w:rPr>
          <w:rFonts w:ascii="Arial" w:eastAsiaTheme="minorHAnsi" w:hAnsi="Arial" w:cs="Arial"/>
          <w:u w:val="single"/>
          <w:lang w:val="en-GB"/>
        </w:rPr>
        <w:t>Conclusion</w:t>
      </w:r>
      <w:r>
        <w:rPr>
          <w:rFonts w:ascii="Arial" w:eastAsiaTheme="minorHAnsi" w:hAnsi="Arial" w:cs="Arial"/>
          <w:lang w:val="en-GB"/>
        </w:rPr>
        <w:t xml:space="preserve"> – Maslow’s model explains how satisfying children’s needs supports children reach their full potential through all areas and stages of their development.</w:t>
      </w:r>
    </w:p>
    <w:p w14:paraId="33D75EC2" w14:textId="77777777" w:rsidR="003B71A5" w:rsidRDefault="003B71A5" w:rsidP="003B71A5">
      <w:pPr>
        <w:tabs>
          <w:tab w:val="left" w:pos="1210"/>
        </w:tabs>
      </w:pPr>
    </w:p>
    <w:p w14:paraId="43593BFC" w14:textId="77777777" w:rsidR="00C464CF" w:rsidRPr="00C464CF" w:rsidRDefault="00C464CF" w:rsidP="00C464CF"/>
    <w:p w14:paraId="45D86A3B" w14:textId="77777777" w:rsidR="00C464CF" w:rsidRPr="00C464CF" w:rsidRDefault="00C464CF" w:rsidP="00C464CF"/>
    <w:p w14:paraId="601AD731" w14:textId="77777777" w:rsidR="00C464CF" w:rsidRPr="00C464CF" w:rsidRDefault="00C464CF" w:rsidP="00C464CF"/>
    <w:p w14:paraId="215DCC6E" w14:textId="77777777" w:rsidR="00C464CF" w:rsidRPr="00C464CF" w:rsidRDefault="00C464CF" w:rsidP="00C464CF"/>
    <w:p w14:paraId="73EF56F3" w14:textId="77777777" w:rsidR="00C464CF" w:rsidRPr="00C464CF" w:rsidRDefault="00C464CF" w:rsidP="00C464CF"/>
    <w:p w14:paraId="30D1EB06" w14:textId="77777777" w:rsidR="00C464CF" w:rsidRPr="00C464CF" w:rsidRDefault="00C464CF" w:rsidP="00C464CF"/>
    <w:p w14:paraId="1EA32B91" w14:textId="77777777" w:rsidR="00C464CF" w:rsidRPr="00C464CF" w:rsidRDefault="00C464CF" w:rsidP="00C464CF"/>
    <w:p w14:paraId="30146B14" w14:textId="77777777" w:rsidR="00C464CF" w:rsidRPr="00C464CF" w:rsidRDefault="00C464CF" w:rsidP="00C464CF"/>
    <w:p w14:paraId="6D52AC0E" w14:textId="77777777" w:rsidR="00C464CF" w:rsidRPr="00C464CF" w:rsidRDefault="00C464CF" w:rsidP="00C464CF"/>
    <w:p w14:paraId="5C46B6A2" w14:textId="77777777" w:rsidR="00C464CF" w:rsidRPr="00C464CF" w:rsidRDefault="00C464CF" w:rsidP="00C464CF"/>
    <w:p w14:paraId="6F74595F" w14:textId="77777777" w:rsidR="00C464CF" w:rsidRPr="00C464CF" w:rsidRDefault="00C464CF" w:rsidP="00C464CF"/>
    <w:p w14:paraId="4BA56671" w14:textId="77777777" w:rsidR="00C464CF" w:rsidRDefault="00C464CF" w:rsidP="00C464CF">
      <w:pPr>
        <w:rPr>
          <w:u w:val="single"/>
        </w:rPr>
      </w:pPr>
    </w:p>
    <w:p w14:paraId="63E845C5" w14:textId="685AF5FE" w:rsidR="00C368B1" w:rsidRDefault="00C464CF" w:rsidP="003B71A5">
      <w:r>
        <w:t xml:space="preserve">                                                                                                                                                                                                                                 </w:t>
      </w:r>
    </w:p>
    <w:p w14:paraId="27516E29" w14:textId="77777777" w:rsidR="00BC7C8E" w:rsidRDefault="00BC7C8E" w:rsidP="00C368B1">
      <w:pPr>
        <w:tabs>
          <w:tab w:val="left" w:pos="1210"/>
        </w:tabs>
      </w:pPr>
    </w:p>
    <w:p w14:paraId="50843201" w14:textId="77777777" w:rsidR="00BC7C8E" w:rsidRDefault="00BC7C8E" w:rsidP="00C368B1">
      <w:pPr>
        <w:tabs>
          <w:tab w:val="left" w:pos="1210"/>
        </w:tabs>
      </w:pPr>
    </w:p>
    <w:p w14:paraId="7D4EC9DE" w14:textId="77777777" w:rsidR="00BC7C8E" w:rsidRDefault="00BC7C8E" w:rsidP="00C368B1">
      <w:pPr>
        <w:tabs>
          <w:tab w:val="left" w:pos="1210"/>
        </w:tabs>
      </w:pPr>
    </w:p>
    <w:p w14:paraId="5C358EE0" w14:textId="77777777" w:rsidR="00BC7C8E" w:rsidRDefault="00BC7C8E" w:rsidP="00C368B1">
      <w:pPr>
        <w:tabs>
          <w:tab w:val="left" w:pos="1210"/>
        </w:tabs>
      </w:pPr>
    </w:p>
    <w:p w14:paraId="40351279" w14:textId="77777777" w:rsidR="00BC7C8E" w:rsidRDefault="00BC7C8E" w:rsidP="00C368B1">
      <w:pPr>
        <w:tabs>
          <w:tab w:val="left" w:pos="1210"/>
        </w:tabs>
      </w:pPr>
    </w:p>
    <w:p w14:paraId="139E208E" w14:textId="77777777" w:rsidR="00BC7C8E" w:rsidRDefault="00BC7C8E" w:rsidP="00C368B1">
      <w:pPr>
        <w:tabs>
          <w:tab w:val="left" w:pos="1210"/>
        </w:tabs>
      </w:pPr>
    </w:p>
    <w:p w14:paraId="0514B623" w14:textId="77777777" w:rsidR="00BC7C8E" w:rsidRDefault="00BC7C8E" w:rsidP="00C368B1">
      <w:pPr>
        <w:tabs>
          <w:tab w:val="left" w:pos="1210"/>
        </w:tabs>
      </w:pPr>
    </w:p>
    <w:p w14:paraId="2C11DA61" w14:textId="77777777" w:rsidR="00BC7C8E" w:rsidRDefault="00BC7C8E" w:rsidP="00C368B1">
      <w:pPr>
        <w:tabs>
          <w:tab w:val="left" w:pos="1210"/>
        </w:tabs>
      </w:pPr>
    </w:p>
    <w:p w14:paraId="712CA323" w14:textId="77777777" w:rsidR="00BC7C8E" w:rsidRDefault="00BC7C8E" w:rsidP="00C368B1">
      <w:pPr>
        <w:tabs>
          <w:tab w:val="left" w:pos="1210"/>
        </w:tabs>
      </w:pPr>
    </w:p>
    <w:p w14:paraId="0F3D1A07" w14:textId="77777777" w:rsidR="00BC7C8E" w:rsidRDefault="00BC7C8E" w:rsidP="00C368B1">
      <w:pPr>
        <w:tabs>
          <w:tab w:val="left" w:pos="1210"/>
        </w:tabs>
      </w:pPr>
    </w:p>
    <w:p w14:paraId="71CEE5F6" w14:textId="77777777" w:rsidR="00BC7C8E" w:rsidRDefault="00BC7C8E" w:rsidP="00C368B1">
      <w:pPr>
        <w:tabs>
          <w:tab w:val="left" w:pos="1210"/>
        </w:tabs>
      </w:pPr>
    </w:p>
    <w:p w14:paraId="56C7BD46" w14:textId="77777777" w:rsidR="00BC7C8E" w:rsidRDefault="00BC7C8E" w:rsidP="00C368B1">
      <w:pPr>
        <w:tabs>
          <w:tab w:val="left" w:pos="1210"/>
        </w:tabs>
      </w:pPr>
    </w:p>
    <w:p w14:paraId="063CC437" w14:textId="77777777" w:rsidR="00BC7C8E" w:rsidRDefault="00BC7C8E" w:rsidP="00C368B1">
      <w:pPr>
        <w:tabs>
          <w:tab w:val="left" w:pos="1210"/>
        </w:tabs>
      </w:pPr>
    </w:p>
    <w:p w14:paraId="0D3A1C0C" w14:textId="77777777" w:rsidR="00BC7C8E" w:rsidRDefault="00BC7C8E" w:rsidP="00C368B1">
      <w:pPr>
        <w:tabs>
          <w:tab w:val="left" w:pos="1210"/>
        </w:tabs>
      </w:pPr>
    </w:p>
    <w:p w14:paraId="697234A5" w14:textId="77777777" w:rsidR="00BC7C8E" w:rsidRPr="00BC7C8E" w:rsidRDefault="00BC7C8E" w:rsidP="003B71A5">
      <w:pPr>
        <w:spacing w:after="160" w:line="360" w:lineRule="auto"/>
        <w:jc w:val="center"/>
        <w:rPr>
          <w:rFonts w:ascii="Arial" w:eastAsiaTheme="minorHAnsi" w:hAnsi="Arial" w:cs="Arial"/>
          <w:u w:val="single"/>
          <w:lang w:val="en-GB"/>
        </w:rPr>
      </w:pPr>
      <w:r w:rsidRPr="00BC7C8E">
        <w:rPr>
          <w:rFonts w:ascii="Arial" w:eastAsiaTheme="minorHAnsi" w:hAnsi="Arial" w:cs="Arial"/>
          <w:u w:val="single"/>
          <w:lang w:val="en-GB"/>
        </w:rPr>
        <w:t>References</w:t>
      </w:r>
    </w:p>
    <w:p w14:paraId="5D5A98AC" w14:textId="77777777"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 xml:space="preserve">Brodie, K. (2018) </w:t>
      </w:r>
      <w:r w:rsidRPr="00C17C66">
        <w:rPr>
          <w:rFonts w:ascii="Arial" w:eastAsiaTheme="minorHAnsi" w:hAnsi="Arial" w:cs="Arial"/>
          <w:i/>
          <w:iCs/>
          <w:lang w:val="en-GB"/>
        </w:rPr>
        <w:t>The Holistic Care and Development of Children from Birth to Three: An Essential Guide for Students and Practitioners.</w:t>
      </w:r>
      <w:r w:rsidRPr="00C17C66">
        <w:rPr>
          <w:rFonts w:ascii="Arial" w:eastAsiaTheme="minorHAnsi" w:hAnsi="Arial" w:cs="Arial"/>
          <w:lang w:val="en-GB"/>
        </w:rPr>
        <w:t xml:space="preserve"> Oxon: </w:t>
      </w:r>
      <w:proofErr w:type="spellStart"/>
      <w:r w:rsidRPr="00C17C66">
        <w:rPr>
          <w:rFonts w:ascii="Arial" w:eastAsiaTheme="minorHAnsi" w:hAnsi="Arial" w:cs="Arial"/>
          <w:lang w:val="en-GB"/>
        </w:rPr>
        <w:t>Routlege</w:t>
      </w:r>
      <w:proofErr w:type="spellEnd"/>
      <w:r w:rsidRPr="00C17C66">
        <w:rPr>
          <w:rFonts w:ascii="Arial" w:eastAsiaTheme="minorHAnsi" w:hAnsi="Arial" w:cs="Arial"/>
          <w:lang w:val="en-GB"/>
        </w:rPr>
        <w:t>.</w:t>
      </w:r>
    </w:p>
    <w:p w14:paraId="779FEC8D" w14:textId="37EEEE72"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Cherry, K. (2024). </w:t>
      </w:r>
      <w:r w:rsidRPr="00C17C66">
        <w:rPr>
          <w:rFonts w:ascii="Arial" w:eastAsiaTheme="minorHAnsi" w:hAnsi="Arial" w:cs="Arial"/>
          <w:i/>
          <w:iCs/>
          <w:lang w:val="en-GB"/>
        </w:rPr>
        <w:t>Maslow’s Hierarchy of Needs.</w:t>
      </w:r>
      <w:r w:rsidRPr="00C17C66">
        <w:rPr>
          <w:rFonts w:ascii="Arial" w:eastAsiaTheme="minorHAnsi" w:hAnsi="Arial" w:cs="Arial"/>
          <w:lang w:val="en-GB"/>
        </w:rPr>
        <w:t xml:space="preserve">  </w:t>
      </w:r>
      <w:proofErr w:type="spellStart"/>
      <w:r w:rsidRPr="00C17C66">
        <w:rPr>
          <w:rFonts w:ascii="Arial" w:eastAsiaTheme="minorHAnsi" w:hAnsi="Arial" w:cs="Arial"/>
          <w:lang w:val="en-GB"/>
        </w:rPr>
        <w:t>Verywellmind</w:t>
      </w:r>
      <w:proofErr w:type="spellEnd"/>
      <w:r w:rsidRPr="00C17C66">
        <w:rPr>
          <w:rFonts w:ascii="Arial" w:eastAsiaTheme="minorHAnsi" w:hAnsi="Arial" w:cs="Arial"/>
          <w:lang w:val="en-GB"/>
        </w:rPr>
        <w:t xml:space="preserve">. Available at: </w:t>
      </w:r>
      <w:hyperlink r:id="rId10" w:history="1">
        <w:r w:rsidRPr="00C67F37">
          <w:rPr>
            <w:rFonts w:ascii="Arial" w:eastAsiaTheme="minorHAnsi" w:hAnsi="Arial" w:cs="Arial"/>
            <w:color w:val="000000" w:themeColor="text1"/>
            <w:u w:val="single"/>
            <w:lang w:val="en-GB"/>
          </w:rPr>
          <w:t>https://www.verywellmind.com/what-is-maslows-hierarchy-of-needs-4136760</w:t>
        </w:r>
      </w:hyperlink>
      <w:r w:rsidRPr="00C17C66">
        <w:rPr>
          <w:rFonts w:ascii="Arial" w:eastAsiaTheme="minorHAnsi" w:hAnsi="Arial" w:cs="Arial"/>
          <w:lang w:val="en-GB"/>
        </w:rPr>
        <w:t xml:space="preserve"> (Accessed: 8 November 2024).</w:t>
      </w:r>
    </w:p>
    <w:p w14:paraId="4D42D6E8" w14:textId="155DDC98" w:rsidR="00BC7C8E" w:rsidRPr="003909A5" w:rsidRDefault="00BC7C8E" w:rsidP="00BC7C8E">
      <w:pPr>
        <w:spacing w:after="160" w:line="360" w:lineRule="auto"/>
        <w:rPr>
          <w:rFonts w:ascii="Arial" w:eastAsiaTheme="minorHAnsi" w:hAnsi="Arial" w:cs="Arial"/>
          <w:lang w:val="en-GB"/>
        </w:rPr>
      </w:pPr>
      <w:r w:rsidRPr="003909A5">
        <w:rPr>
          <w:rFonts w:ascii="Arial" w:eastAsiaTheme="minorHAnsi" w:hAnsi="Arial" w:cs="Arial"/>
          <w:color w:val="000000"/>
          <w:spacing w:val="-5"/>
          <w:shd w:val="clear" w:color="auto" w:fill="FFFFFF"/>
          <w:lang w:val="en-GB"/>
        </w:rPr>
        <w:t>EL-MOSLIMANY, A (2018) </w:t>
      </w:r>
      <w:r w:rsidRPr="003909A5">
        <w:rPr>
          <w:rFonts w:ascii="Arial" w:eastAsiaTheme="minorHAnsi" w:hAnsi="Arial" w:cs="Arial"/>
          <w:i/>
          <w:iCs/>
          <w:color w:val="000000"/>
          <w:spacing w:val="-5"/>
          <w:shd w:val="clear" w:color="auto" w:fill="FFFFFF"/>
          <w:lang w:val="en-GB"/>
        </w:rPr>
        <w:t>Teaching Children: A Moral, Spiritual, and Holistic Approach to Educational Development</w:t>
      </w:r>
      <w:r w:rsidRPr="003909A5">
        <w:rPr>
          <w:rFonts w:ascii="Arial" w:eastAsiaTheme="minorHAnsi" w:hAnsi="Arial" w:cs="Arial"/>
          <w:color w:val="000000"/>
          <w:spacing w:val="-5"/>
          <w:shd w:val="clear" w:color="auto" w:fill="FFFFFF"/>
          <w:lang w:val="en-GB"/>
        </w:rPr>
        <w:t>.</w:t>
      </w:r>
      <w:r w:rsidR="003465FB">
        <w:rPr>
          <w:rFonts w:ascii="Arial" w:eastAsiaTheme="minorHAnsi" w:hAnsi="Arial" w:cs="Arial"/>
          <w:color w:val="000000"/>
          <w:spacing w:val="-5"/>
          <w:shd w:val="clear" w:color="auto" w:fill="FFFFFF"/>
          <w:lang w:val="en-GB"/>
        </w:rPr>
        <w:t xml:space="preserve"> Virginia:</w:t>
      </w:r>
      <w:r w:rsidRPr="003909A5">
        <w:rPr>
          <w:rFonts w:ascii="Arial" w:eastAsiaTheme="minorHAnsi" w:hAnsi="Arial" w:cs="Arial"/>
          <w:color w:val="000000"/>
          <w:spacing w:val="-5"/>
          <w:shd w:val="clear" w:color="auto" w:fill="FFFFFF"/>
          <w:lang w:val="en-GB"/>
        </w:rPr>
        <w:t xml:space="preserve"> International Institute of Islamic Thought</w:t>
      </w:r>
      <w:r w:rsidR="003465FB">
        <w:rPr>
          <w:rFonts w:ascii="Arial" w:eastAsiaTheme="minorHAnsi" w:hAnsi="Arial" w:cs="Arial"/>
          <w:color w:val="000000"/>
          <w:spacing w:val="-5"/>
          <w:shd w:val="clear" w:color="auto" w:fill="FFFFFF"/>
          <w:lang w:val="en-GB"/>
        </w:rPr>
        <w:t>.</w:t>
      </w:r>
    </w:p>
    <w:p w14:paraId="183B5B86" w14:textId="4E196468" w:rsidR="00BC7C8E" w:rsidRPr="00C17C66" w:rsidRDefault="00BC7C8E" w:rsidP="00BC7C8E">
      <w:pPr>
        <w:spacing w:line="360" w:lineRule="auto"/>
        <w:rPr>
          <w:rFonts w:ascii="Arial" w:eastAsiaTheme="minorHAnsi" w:hAnsi="Arial" w:cs="Arial"/>
          <w:lang w:val="en-GB"/>
        </w:rPr>
      </w:pPr>
      <w:r w:rsidRPr="00C17C66">
        <w:rPr>
          <w:rFonts w:ascii="Arial" w:eastAsiaTheme="minorHAnsi" w:hAnsi="Arial" w:cs="Arial"/>
          <w:lang w:val="en-GB"/>
        </w:rPr>
        <w:t>GOV.WALES. (n.d.) </w:t>
      </w:r>
      <w:r w:rsidRPr="00C17C66">
        <w:rPr>
          <w:rFonts w:ascii="Arial" w:eastAsiaTheme="minorHAnsi" w:hAnsi="Arial" w:cs="Arial"/>
          <w:i/>
          <w:iCs/>
          <w:lang w:val="en-GB"/>
        </w:rPr>
        <w:t>Free breakfast in primary schools: information for parents and carers.</w:t>
      </w:r>
      <w:r w:rsidRPr="00C17C66">
        <w:rPr>
          <w:rFonts w:ascii="Arial" w:eastAsiaTheme="minorHAnsi" w:hAnsi="Arial" w:cs="Arial"/>
          <w:lang w:val="en-GB"/>
        </w:rPr>
        <w:t xml:space="preserve"> Available at: </w:t>
      </w:r>
      <w:hyperlink r:id="rId11" w:history="1">
        <w:r w:rsidRPr="00C17C66">
          <w:rPr>
            <w:rFonts w:ascii="Arial" w:eastAsiaTheme="minorHAnsi" w:hAnsi="Arial" w:cs="Arial"/>
            <w:lang w:val="en-GB"/>
          </w:rPr>
          <w:t>https://www.gov.wales/free-breakfast-primary-schools</w:t>
        </w:r>
      </w:hyperlink>
      <w:r w:rsidRPr="00C17C66">
        <w:rPr>
          <w:rFonts w:ascii="Arial" w:eastAsiaTheme="minorHAnsi" w:hAnsi="Arial" w:cs="Arial"/>
          <w:lang w:val="en-GB"/>
        </w:rPr>
        <w:t xml:space="preserve"> (Accessed: 8 November 2024). </w:t>
      </w:r>
    </w:p>
    <w:p w14:paraId="1ACF64DA" w14:textId="77777777" w:rsidR="003465FB" w:rsidRDefault="003465FB" w:rsidP="00BC7C8E">
      <w:pPr>
        <w:spacing w:after="160" w:line="360" w:lineRule="auto"/>
        <w:rPr>
          <w:rFonts w:ascii="Arial" w:eastAsiaTheme="minorHAnsi" w:hAnsi="Arial" w:cs="Arial"/>
          <w:lang w:val="en-GB"/>
        </w:rPr>
      </w:pPr>
    </w:p>
    <w:p w14:paraId="13607517" w14:textId="6C48BCF7" w:rsidR="00BC7C8E" w:rsidRPr="00C17C66" w:rsidRDefault="00BC7C8E" w:rsidP="00BC7C8E">
      <w:pPr>
        <w:spacing w:after="160" w:line="360" w:lineRule="auto"/>
        <w:rPr>
          <w:rFonts w:ascii="Arial" w:eastAsiaTheme="minorHAnsi" w:hAnsi="Arial" w:cs="Arial"/>
          <w:lang w:val="en-GB"/>
        </w:rPr>
      </w:pPr>
      <w:proofErr w:type="spellStart"/>
      <w:r w:rsidRPr="00CC1FFD">
        <w:rPr>
          <w:rFonts w:ascii="Arial" w:eastAsiaTheme="minorHAnsi" w:hAnsi="Arial" w:cs="Arial"/>
          <w:lang w:val="en-GB"/>
        </w:rPr>
        <w:t>Gov.wales</w:t>
      </w:r>
      <w:proofErr w:type="spellEnd"/>
      <w:r w:rsidRPr="00CC1FFD">
        <w:rPr>
          <w:rFonts w:ascii="Arial" w:eastAsiaTheme="minorHAnsi" w:hAnsi="Arial" w:cs="Arial"/>
          <w:lang w:val="en-GB"/>
        </w:rPr>
        <w:t xml:space="preserve"> (2018) </w:t>
      </w:r>
      <w:r w:rsidRPr="004D1803">
        <w:rPr>
          <w:rFonts w:ascii="Arial" w:eastAsiaTheme="minorHAnsi" w:hAnsi="Arial" w:cs="Arial"/>
          <w:i/>
          <w:iCs/>
          <w:lang w:val="en-GB"/>
        </w:rPr>
        <w:t>Hwb</w:t>
      </w:r>
      <w:r w:rsidRPr="00CC1FFD">
        <w:rPr>
          <w:rFonts w:ascii="Arial" w:eastAsiaTheme="minorHAnsi" w:hAnsi="Arial" w:cs="Arial"/>
          <w:lang w:val="en-GB"/>
        </w:rPr>
        <w:t xml:space="preserve">. Available at: http://hwb.gov.wales </w:t>
      </w:r>
      <w:r w:rsidR="003465FB">
        <w:rPr>
          <w:rFonts w:ascii="Arial" w:eastAsiaTheme="minorHAnsi" w:hAnsi="Arial" w:cs="Arial"/>
          <w:lang w:val="en-GB"/>
        </w:rPr>
        <w:t>(</w:t>
      </w:r>
      <w:r w:rsidRPr="00CC1FFD">
        <w:rPr>
          <w:rFonts w:ascii="Arial" w:eastAsiaTheme="minorHAnsi" w:hAnsi="Arial" w:cs="Arial"/>
          <w:lang w:val="en-GB"/>
        </w:rPr>
        <w:t>Accessed 25 Nov</w:t>
      </w:r>
      <w:r w:rsidR="003465FB">
        <w:rPr>
          <w:rFonts w:ascii="Arial" w:eastAsiaTheme="minorHAnsi" w:hAnsi="Arial" w:cs="Arial"/>
          <w:lang w:val="en-GB"/>
        </w:rPr>
        <w:t>ember</w:t>
      </w:r>
      <w:r w:rsidRPr="00CC1FFD">
        <w:rPr>
          <w:rFonts w:ascii="Arial" w:eastAsiaTheme="minorHAnsi" w:hAnsi="Arial" w:cs="Arial"/>
          <w:lang w:val="en-GB"/>
        </w:rPr>
        <w:t xml:space="preserve"> 202</w:t>
      </w:r>
      <w:r w:rsidR="003465FB">
        <w:rPr>
          <w:rFonts w:ascii="Arial" w:eastAsiaTheme="minorHAnsi" w:hAnsi="Arial" w:cs="Arial"/>
          <w:lang w:val="en-GB"/>
        </w:rPr>
        <w:t>4).</w:t>
      </w:r>
    </w:p>
    <w:p w14:paraId="7678BE95" w14:textId="3D863B67" w:rsidR="00BC7C8E" w:rsidRPr="00C17C66" w:rsidRDefault="00BC7C8E" w:rsidP="00BC7C8E">
      <w:pPr>
        <w:spacing w:line="360" w:lineRule="auto"/>
        <w:rPr>
          <w:rFonts w:ascii="Arial" w:eastAsiaTheme="minorHAnsi" w:hAnsi="Arial" w:cs="Arial"/>
          <w:lang w:val="en-GB"/>
        </w:rPr>
      </w:pPr>
      <w:proofErr w:type="spellStart"/>
      <w:r w:rsidRPr="00C17C66">
        <w:rPr>
          <w:rFonts w:ascii="Arial" w:eastAsiaTheme="minorHAnsi" w:hAnsi="Arial" w:cs="Arial"/>
          <w:lang w:val="en-GB"/>
        </w:rPr>
        <w:t>Gov.wales</w:t>
      </w:r>
      <w:proofErr w:type="spellEnd"/>
      <w:r w:rsidRPr="00C17C66">
        <w:rPr>
          <w:rFonts w:ascii="Arial" w:eastAsiaTheme="minorHAnsi" w:hAnsi="Arial" w:cs="Arial"/>
          <w:lang w:val="en-GB"/>
        </w:rPr>
        <w:t xml:space="preserve"> (2019) </w:t>
      </w:r>
      <w:r w:rsidRPr="004D1803">
        <w:rPr>
          <w:rFonts w:ascii="Arial" w:eastAsiaTheme="minorHAnsi" w:hAnsi="Arial" w:cs="Arial"/>
          <w:i/>
          <w:iCs/>
          <w:lang w:val="en-GB"/>
        </w:rPr>
        <w:t>What is a One Page Profile?</w:t>
      </w:r>
      <w:r w:rsidRPr="00C17C66">
        <w:rPr>
          <w:rFonts w:ascii="Arial" w:eastAsiaTheme="minorHAnsi" w:hAnsi="Arial" w:cs="Arial"/>
          <w:lang w:val="en-GB"/>
        </w:rPr>
        <w:t xml:space="preserve"> Available at: </w:t>
      </w:r>
      <w:hyperlink r:id="rId12" w:anchor="pdfContent" w:history="1">
        <w:r w:rsidRPr="003465FB">
          <w:rPr>
            <w:rStyle w:val="Hyperlink"/>
            <w:rFonts w:ascii="Arial" w:eastAsiaTheme="minorHAnsi" w:hAnsi="Arial" w:cs="Arial"/>
            <w:color w:val="auto"/>
            <w:lang w:val="en-GB"/>
          </w:rPr>
          <w:t>https://www.carmarthenshire.gov.wales/home/council-services/education-schools/additional-learning-needs/additional-learning-needs-decision-making-process/3-what-is-a-one-page-profile/#pdfContent</w:t>
        </w:r>
      </w:hyperlink>
      <w:r w:rsidRPr="003465FB">
        <w:rPr>
          <w:rFonts w:ascii="Arial" w:eastAsiaTheme="minorHAnsi" w:hAnsi="Arial" w:cs="Arial"/>
          <w:lang w:val="en-GB"/>
        </w:rPr>
        <w:t>.</w:t>
      </w:r>
      <w:r w:rsidR="003465FB" w:rsidRPr="003465FB">
        <w:rPr>
          <w:rFonts w:ascii="Arial" w:eastAsiaTheme="minorHAnsi" w:hAnsi="Arial" w:cs="Arial"/>
          <w:lang w:val="en-GB"/>
        </w:rPr>
        <w:t xml:space="preserve"> (Accessed: 24 Novemb</w:t>
      </w:r>
      <w:r w:rsidR="003465FB">
        <w:rPr>
          <w:rFonts w:ascii="Arial" w:eastAsiaTheme="minorHAnsi" w:hAnsi="Arial" w:cs="Arial"/>
          <w:lang w:val="en-GB"/>
        </w:rPr>
        <w:t>er).</w:t>
      </w:r>
    </w:p>
    <w:p w14:paraId="1134420F" w14:textId="77777777" w:rsidR="00BC7C8E" w:rsidRPr="00C17C66" w:rsidRDefault="00BC7C8E" w:rsidP="00BC7C8E">
      <w:pPr>
        <w:spacing w:line="360" w:lineRule="auto"/>
        <w:rPr>
          <w:rFonts w:ascii="Arial" w:eastAsiaTheme="minorHAnsi" w:hAnsi="Arial" w:cs="Arial"/>
          <w:lang w:val="en-GB"/>
        </w:rPr>
      </w:pPr>
    </w:p>
    <w:p w14:paraId="1CD6EA88" w14:textId="55068BEB" w:rsidR="00BC7C8E" w:rsidRPr="00C17C66" w:rsidRDefault="00BC7C8E" w:rsidP="00BC7C8E">
      <w:pPr>
        <w:spacing w:after="160" w:line="360" w:lineRule="auto"/>
        <w:rPr>
          <w:rFonts w:ascii="Arial" w:eastAsiaTheme="minorHAnsi" w:hAnsi="Arial" w:cs="Arial"/>
          <w:i/>
          <w:iCs/>
          <w:lang w:val="en-GB"/>
        </w:rPr>
      </w:pPr>
      <w:r w:rsidRPr="00C17C66">
        <w:rPr>
          <w:rFonts w:ascii="Arial" w:eastAsiaTheme="minorHAnsi" w:hAnsi="Arial" w:cs="Arial"/>
          <w:lang w:val="en-GB"/>
        </w:rPr>
        <w:t xml:space="preserve">Hodgkins, A. </w:t>
      </w:r>
      <w:proofErr w:type="spellStart"/>
      <w:r w:rsidRPr="00C17C66">
        <w:rPr>
          <w:rFonts w:ascii="Arial" w:eastAsiaTheme="minorHAnsi" w:hAnsi="Arial" w:cs="Arial"/>
          <w:lang w:val="en-GB"/>
        </w:rPr>
        <w:t>Prowle</w:t>
      </w:r>
      <w:proofErr w:type="spellEnd"/>
      <w:r w:rsidRPr="00C17C66">
        <w:rPr>
          <w:rFonts w:ascii="Arial" w:eastAsiaTheme="minorHAnsi" w:hAnsi="Arial" w:cs="Arial"/>
          <w:lang w:val="en-GB"/>
        </w:rPr>
        <w:t>, A (2023)</w:t>
      </w:r>
      <w:r w:rsidRPr="00C17C66">
        <w:rPr>
          <w:rFonts w:ascii="Arial" w:eastAsiaTheme="minorHAnsi" w:hAnsi="Arial" w:cs="Arial"/>
          <w:i/>
          <w:iCs/>
          <w:lang w:val="en-GB"/>
        </w:rPr>
        <w:t xml:space="preserve"> Strength Based Practice with Children and Families, A Hope Inspiring and Empowering Approach. </w:t>
      </w:r>
      <w:r w:rsidRPr="00C17C66">
        <w:rPr>
          <w:rFonts w:ascii="Arial" w:eastAsiaTheme="minorHAnsi" w:hAnsi="Arial" w:cs="Arial"/>
          <w:lang w:val="en-GB"/>
        </w:rPr>
        <w:t>St Albans: Critical Publishing</w:t>
      </w:r>
      <w:r w:rsidRPr="00C17C66">
        <w:rPr>
          <w:rFonts w:ascii="Arial" w:eastAsiaTheme="minorHAnsi" w:hAnsi="Arial" w:cs="Arial"/>
          <w:i/>
          <w:iCs/>
          <w:lang w:val="en-GB"/>
        </w:rPr>
        <w:t>.</w:t>
      </w:r>
    </w:p>
    <w:p w14:paraId="7BF015E8" w14:textId="51A5D69E" w:rsidR="00BC7C8E" w:rsidRPr="003909A5" w:rsidRDefault="00BC7C8E" w:rsidP="00BC7C8E">
      <w:pPr>
        <w:spacing w:after="160" w:line="360" w:lineRule="auto"/>
        <w:rPr>
          <w:rFonts w:ascii="Arial" w:eastAsiaTheme="minorHAnsi" w:hAnsi="Arial" w:cs="Arial"/>
          <w:lang w:val="en-GB"/>
        </w:rPr>
      </w:pPr>
      <w:r w:rsidRPr="003909A5">
        <w:rPr>
          <w:rFonts w:ascii="Arial" w:eastAsiaTheme="minorHAnsi" w:hAnsi="Arial" w:cs="Arial"/>
          <w:lang w:val="en-GB"/>
        </w:rPr>
        <w:t xml:space="preserve">Hostettler </w:t>
      </w:r>
      <w:proofErr w:type="spellStart"/>
      <w:r w:rsidRPr="003909A5">
        <w:rPr>
          <w:rFonts w:ascii="Arial" w:eastAsiaTheme="minorHAnsi" w:hAnsi="Arial" w:cs="Arial"/>
          <w:lang w:val="en-GB"/>
        </w:rPr>
        <w:t>Schärer</w:t>
      </w:r>
      <w:proofErr w:type="spellEnd"/>
      <w:r w:rsidRPr="003909A5">
        <w:rPr>
          <w:rFonts w:ascii="Arial" w:eastAsiaTheme="minorHAnsi" w:hAnsi="Arial" w:cs="Arial"/>
          <w:lang w:val="en-GB"/>
        </w:rPr>
        <w:t>, J. (2018) How educators define their role: building ‘professional’ relationships with children and parents during transition to childcare: a case study. </w:t>
      </w:r>
      <w:r w:rsidRPr="003909A5">
        <w:rPr>
          <w:rFonts w:ascii="Arial" w:eastAsiaTheme="minorHAnsi" w:hAnsi="Arial" w:cs="Arial"/>
          <w:i/>
          <w:iCs/>
          <w:lang w:val="en-GB"/>
        </w:rPr>
        <w:t>European Early Childhood Education Research Journal,</w:t>
      </w:r>
      <w:r w:rsidRPr="003909A5">
        <w:rPr>
          <w:rFonts w:ascii="Arial" w:eastAsiaTheme="minorHAnsi" w:hAnsi="Arial" w:cs="Arial"/>
          <w:lang w:val="en-GB"/>
        </w:rPr>
        <w:t xml:space="preserve"> 26(2), pp.246–257. </w:t>
      </w:r>
      <w:r w:rsidR="004D1803">
        <w:rPr>
          <w:rFonts w:ascii="Arial" w:eastAsiaTheme="minorHAnsi" w:hAnsi="Arial" w:cs="Arial"/>
          <w:lang w:val="en-GB"/>
        </w:rPr>
        <w:t xml:space="preserve">Available at: </w:t>
      </w:r>
      <w:proofErr w:type="spellStart"/>
      <w:proofErr w:type="gramStart"/>
      <w:r w:rsidRPr="003909A5">
        <w:rPr>
          <w:rFonts w:ascii="Arial" w:eastAsiaTheme="minorHAnsi" w:hAnsi="Arial" w:cs="Arial"/>
          <w:lang w:val="en-GB"/>
        </w:rPr>
        <w:t>doi:https</w:t>
      </w:r>
      <w:proofErr w:type="spellEnd"/>
      <w:r w:rsidRPr="003909A5">
        <w:rPr>
          <w:rFonts w:ascii="Arial" w:eastAsiaTheme="minorHAnsi" w:hAnsi="Arial" w:cs="Arial"/>
          <w:lang w:val="en-GB"/>
        </w:rPr>
        <w:t>://doi.org/10.1080/1350293x.2018.1442041</w:t>
      </w:r>
      <w:proofErr w:type="gramEnd"/>
      <w:r w:rsidRPr="003909A5">
        <w:rPr>
          <w:rFonts w:ascii="Arial" w:eastAsiaTheme="minorHAnsi" w:hAnsi="Arial" w:cs="Arial"/>
          <w:lang w:val="en-GB"/>
        </w:rPr>
        <w:t>.</w:t>
      </w:r>
      <w:r w:rsidR="004D1803">
        <w:rPr>
          <w:rFonts w:ascii="Arial" w:eastAsiaTheme="minorHAnsi" w:hAnsi="Arial" w:cs="Arial"/>
          <w:lang w:val="en-GB"/>
        </w:rPr>
        <w:t xml:space="preserve"> (Accessed 24 November).</w:t>
      </w:r>
    </w:p>
    <w:p w14:paraId="44854F74" w14:textId="77777777" w:rsidR="00BC7C8E" w:rsidRPr="00C17C66" w:rsidRDefault="00BC7C8E" w:rsidP="00BC7C8E">
      <w:pPr>
        <w:spacing w:after="160" w:line="360" w:lineRule="auto"/>
        <w:rPr>
          <w:rFonts w:ascii="Arial" w:eastAsiaTheme="minorHAnsi" w:hAnsi="Arial" w:cs="Arial"/>
          <w:lang w:val="en-GB"/>
        </w:rPr>
      </w:pPr>
    </w:p>
    <w:p w14:paraId="4945FDD1" w14:textId="77777777" w:rsidR="00BC7C8E" w:rsidRPr="00C17C66" w:rsidRDefault="00BC7C8E" w:rsidP="00BC7C8E">
      <w:pPr>
        <w:spacing w:after="160" w:line="360" w:lineRule="auto"/>
        <w:rPr>
          <w:rFonts w:ascii="Arial" w:eastAsiaTheme="minorHAnsi" w:hAnsi="Arial" w:cs="Arial"/>
          <w:lang w:val="en-GB"/>
        </w:rPr>
      </w:pPr>
    </w:p>
    <w:p w14:paraId="1D270B40" w14:textId="77777777" w:rsidR="00BC7C8E" w:rsidRPr="00C17C66" w:rsidRDefault="00BC7C8E" w:rsidP="00BC7C8E">
      <w:pPr>
        <w:spacing w:after="160" w:line="360" w:lineRule="auto"/>
        <w:rPr>
          <w:rFonts w:ascii="Arial" w:eastAsiaTheme="minorHAnsi" w:hAnsi="Arial" w:cs="Arial"/>
          <w:lang w:val="en-GB"/>
        </w:rPr>
      </w:pPr>
    </w:p>
    <w:p w14:paraId="5049FE5B" w14:textId="77777777" w:rsidR="00BC7C8E" w:rsidRDefault="00BC7C8E" w:rsidP="00BC7C8E">
      <w:pPr>
        <w:spacing w:after="160" w:line="360" w:lineRule="auto"/>
        <w:rPr>
          <w:rFonts w:ascii="Arial" w:eastAsiaTheme="minorHAnsi" w:hAnsi="Arial" w:cs="Arial"/>
          <w:lang w:val="en-GB"/>
        </w:rPr>
      </w:pPr>
    </w:p>
    <w:p w14:paraId="7DE7654C" w14:textId="7C8D6951"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Kemple, K.M. (2016) Social Studies, Social Competence and Citizenship in Early Childhood Education: Developmental Principles Guide Appropriate Practice. </w:t>
      </w:r>
      <w:r w:rsidRPr="00C17C66">
        <w:rPr>
          <w:rFonts w:ascii="Arial" w:eastAsiaTheme="minorHAnsi" w:hAnsi="Arial" w:cs="Arial"/>
          <w:i/>
          <w:iCs/>
          <w:lang w:val="en-GB"/>
        </w:rPr>
        <w:t>Early Childhood Education Journal</w:t>
      </w:r>
      <w:r w:rsidRPr="00C17C66">
        <w:rPr>
          <w:rFonts w:ascii="Arial" w:eastAsiaTheme="minorHAnsi" w:hAnsi="Arial" w:cs="Arial"/>
          <w:lang w:val="en-GB"/>
        </w:rPr>
        <w:t>, 45(5), pp.621–627.</w:t>
      </w:r>
      <w:r w:rsidR="004D1803">
        <w:rPr>
          <w:rFonts w:ascii="Arial" w:eastAsiaTheme="minorHAnsi" w:hAnsi="Arial" w:cs="Arial"/>
          <w:lang w:val="en-GB"/>
        </w:rPr>
        <w:t xml:space="preserve"> Available at:</w:t>
      </w:r>
      <w:r w:rsidRPr="00C17C66">
        <w:rPr>
          <w:rFonts w:ascii="Arial" w:eastAsiaTheme="minorHAnsi" w:hAnsi="Arial" w:cs="Arial"/>
          <w:lang w:val="en-GB"/>
        </w:rPr>
        <w:t xml:space="preserve"> </w:t>
      </w:r>
      <w:proofErr w:type="spellStart"/>
      <w:proofErr w:type="gramStart"/>
      <w:r w:rsidRPr="00C17C66">
        <w:rPr>
          <w:rFonts w:ascii="Arial" w:eastAsiaTheme="minorHAnsi" w:hAnsi="Arial" w:cs="Arial"/>
          <w:lang w:val="en-GB"/>
        </w:rPr>
        <w:t>doi:https</w:t>
      </w:r>
      <w:proofErr w:type="spellEnd"/>
      <w:r w:rsidRPr="00C17C66">
        <w:rPr>
          <w:rFonts w:ascii="Arial" w:eastAsiaTheme="minorHAnsi" w:hAnsi="Arial" w:cs="Arial"/>
          <w:lang w:val="en-GB"/>
        </w:rPr>
        <w:t>://doi.org/10.1007/s10643-016-0812-z</w:t>
      </w:r>
      <w:proofErr w:type="gramEnd"/>
      <w:r w:rsidRPr="00C17C66">
        <w:rPr>
          <w:rFonts w:ascii="Arial" w:eastAsiaTheme="minorHAnsi" w:hAnsi="Arial" w:cs="Arial"/>
          <w:lang w:val="en-GB"/>
        </w:rPr>
        <w:t xml:space="preserve"> (Accessed: 8 November 2024). </w:t>
      </w:r>
    </w:p>
    <w:p w14:paraId="312606A7" w14:textId="77777777"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 xml:space="preserve">Lindon, J. (2012) </w:t>
      </w:r>
      <w:r w:rsidRPr="00C17C66">
        <w:rPr>
          <w:rFonts w:ascii="Arial" w:eastAsiaTheme="minorHAnsi" w:hAnsi="Arial" w:cs="Arial"/>
          <w:i/>
          <w:iCs/>
          <w:lang w:val="en-GB"/>
        </w:rPr>
        <w:t>Understanding Child Development 0-8 Years.</w:t>
      </w:r>
      <w:r w:rsidRPr="00C17C66">
        <w:rPr>
          <w:rFonts w:ascii="Arial" w:eastAsiaTheme="minorHAnsi" w:hAnsi="Arial" w:cs="Arial"/>
          <w:lang w:val="en-GB"/>
        </w:rPr>
        <w:t xml:space="preserve"> 3</w:t>
      </w:r>
      <w:r w:rsidRPr="00C17C66">
        <w:rPr>
          <w:rFonts w:ascii="Arial" w:eastAsiaTheme="minorHAnsi" w:hAnsi="Arial" w:cs="Arial"/>
          <w:vertAlign w:val="superscript"/>
          <w:lang w:val="en-GB"/>
        </w:rPr>
        <w:t>rd</w:t>
      </w:r>
      <w:r w:rsidRPr="00C17C66">
        <w:rPr>
          <w:rFonts w:ascii="Arial" w:eastAsiaTheme="minorHAnsi" w:hAnsi="Arial" w:cs="Arial"/>
          <w:lang w:val="en-GB"/>
        </w:rPr>
        <w:t xml:space="preserve"> </w:t>
      </w:r>
      <w:proofErr w:type="spellStart"/>
      <w:r w:rsidRPr="00C17C66">
        <w:rPr>
          <w:rFonts w:ascii="Arial" w:eastAsiaTheme="minorHAnsi" w:hAnsi="Arial" w:cs="Arial"/>
          <w:lang w:val="en-GB"/>
        </w:rPr>
        <w:t>edn</w:t>
      </w:r>
      <w:proofErr w:type="spellEnd"/>
      <w:r w:rsidRPr="00C17C66">
        <w:rPr>
          <w:rFonts w:ascii="Arial" w:eastAsiaTheme="minorHAnsi" w:hAnsi="Arial" w:cs="Arial"/>
          <w:lang w:val="en-GB"/>
        </w:rPr>
        <w:t>. London: Hodder.</w:t>
      </w:r>
    </w:p>
    <w:p w14:paraId="1AD9F9D4" w14:textId="3D3BEB10" w:rsidR="00BC7C8E" w:rsidRPr="00CC1FFD" w:rsidRDefault="00BC7C8E" w:rsidP="00BC7C8E">
      <w:pPr>
        <w:spacing w:after="160" w:line="360" w:lineRule="auto"/>
        <w:rPr>
          <w:rFonts w:ascii="Arial" w:eastAsiaTheme="minorHAnsi" w:hAnsi="Arial" w:cs="Arial"/>
          <w:lang w:val="en-GB"/>
        </w:rPr>
      </w:pPr>
      <w:r w:rsidRPr="00CC1FFD">
        <w:rPr>
          <w:rFonts w:ascii="Arial" w:eastAsiaTheme="minorHAnsi" w:hAnsi="Arial" w:cs="Arial"/>
          <w:lang w:val="en-GB"/>
        </w:rPr>
        <w:t xml:space="preserve">Lucchetti, L. (2023) Outdoor Play and Children: Benefits and Why It Matters. www.medicalnewstoday.com. Available at: </w:t>
      </w:r>
      <w:hyperlink r:id="rId13" w:history="1">
        <w:r w:rsidR="004D1803" w:rsidRPr="004D1803">
          <w:rPr>
            <w:rStyle w:val="Hyperlink"/>
            <w:rFonts w:ascii="Arial" w:eastAsiaTheme="minorHAnsi" w:hAnsi="Arial" w:cs="Arial"/>
            <w:color w:val="000000" w:themeColor="text1"/>
            <w:lang w:val="en-GB"/>
          </w:rPr>
          <w:t>https://www.medicalnewstoday.com/articles/outdoor-play-children#skills</w:t>
        </w:r>
      </w:hyperlink>
      <w:r w:rsidRPr="004D1803">
        <w:rPr>
          <w:rFonts w:ascii="Arial" w:eastAsiaTheme="minorHAnsi" w:hAnsi="Arial" w:cs="Arial"/>
          <w:color w:val="000000" w:themeColor="text1"/>
          <w:lang w:val="en-GB"/>
        </w:rPr>
        <w:t>.</w:t>
      </w:r>
      <w:r w:rsidR="004D1803" w:rsidRPr="004D1803">
        <w:rPr>
          <w:rFonts w:ascii="Arial" w:eastAsiaTheme="minorHAnsi" w:hAnsi="Arial" w:cs="Arial"/>
          <w:color w:val="000000" w:themeColor="text1"/>
          <w:lang w:val="en-GB"/>
        </w:rPr>
        <w:t xml:space="preserve"> </w:t>
      </w:r>
      <w:r w:rsidR="004D1803">
        <w:rPr>
          <w:rFonts w:ascii="Arial" w:eastAsiaTheme="minorHAnsi" w:hAnsi="Arial" w:cs="Arial"/>
          <w:lang w:val="en-GB"/>
        </w:rPr>
        <w:t>(Accessed November 24).</w:t>
      </w:r>
    </w:p>
    <w:p w14:paraId="37520698" w14:textId="0CC484E1" w:rsidR="00BC7C8E" w:rsidRPr="00C17C66" w:rsidRDefault="00BC7C8E" w:rsidP="00BC7C8E">
      <w:pPr>
        <w:spacing w:after="160" w:line="360" w:lineRule="auto"/>
        <w:rPr>
          <w:rFonts w:ascii="Arial" w:eastAsia="Times New Roman" w:hAnsi="Arial" w:cs="Arial"/>
          <w:lang w:val="en-GB" w:eastAsia="en-GB"/>
        </w:rPr>
      </w:pPr>
      <w:r w:rsidRPr="00C17C66">
        <w:rPr>
          <w:rFonts w:ascii="Arial" w:eastAsia="Times New Roman" w:hAnsi="Arial" w:cs="Arial"/>
          <w:lang w:val="en-GB" w:eastAsia="en-GB"/>
        </w:rPr>
        <w:t xml:space="preserve">Mc Mahon, S. and Dyer, M (2019) </w:t>
      </w:r>
      <w:r w:rsidRPr="00C17C66">
        <w:rPr>
          <w:rFonts w:ascii="Arial" w:eastAsia="Times New Roman" w:hAnsi="Arial" w:cs="Arial"/>
          <w:i/>
          <w:iCs/>
          <w:lang w:val="en-GB" w:eastAsia="en-GB"/>
        </w:rPr>
        <w:t>Advanced Work-Based Practice in the Early Years, A Guide for Students.</w:t>
      </w:r>
      <w:r w:rsidRPr="00C17C66">
        <w:rPr>
          <w:rFonts w:ascii="Arial" w:eastAsia="Times New Roman" w:hAnsi="Arial" w:cs="Arial"/>
          <w:lang w:val="en-GB" w:eastAsia="en-GB"/>
        </w:rPr>
        <w:t xml:space="preserve"> London: Routledge.</w:t>
      </w:r>
    </w:p>
    <w:p w14:paraId="60D3C11F" w14:textId="5AC1AEC0"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 xml:space="preserve">Over, H. (2016). </w:t>
      </w:r>
      <w:r w:rsidRPr="004D1803">
        <w:rPr>
          <w:rFonts w:ascii="Arial" w:eastAsiaTheme="minorHAnsi" w:hAnsi="Arial" w:cs="Arial"/>
          <w:lang w:val="en-GB"/>
        </w:rPr>
        <w:t>The origins of belonging: social motivation in infants and young children. </w:t>
      </w:r>
      <w:r w:rsidRPr="004D1803">
        <w:rPr>
          <w:rFonts w:ascii="Arial" w:eastAsiaTheme="minorHAnsi" w:hAnsi="Arial" w:cs="Arial"/>
          <w:i/>
          <w:iCs/>
          <w:lang w:val="en-GB"/>
        </w:rPr>
        <w:t>Philosophical transactions of the Royal Society of London. Series B, Biological sciences,</w:t>
      </w:r>
      <w:r w:rsidRPr="00C17C66">
        <w:rPr>
          <w:rFonts w:ascii="Arial" w:eastAsiaTheme="minorHAnsi" w:hAnsi="Arial" w:cs="Arial"/>
          <w:lang w:val="en-GB"/>
        </w:rPr>
        <w:t xml:space="preserve"> 371(1686), p.20150072. </w:t>
      </w:r>
      <w:proofErr w:type="spellStart"/>
      <w:proofErr w:type="gramStart"/>
      <w:r w:rsidRPr="00C17C66">
        <w:rPr>
          <w:rFonts w:ascii="Arial" w:eastAsiaTheme="minorHAnsi" w:hAnsi="Arial" w:cs="Arial"/>
          <w:lang w:val="en-GB"/>
        </w:rPr>
        <w:t>doi:https</w:t>
      </w:r>
      <w:proofErr w:type="spellEnd"/>
      <w:r w:rsidRPr="00C17C66">
        <w:rPr>
          <w:rFonts w:ascii="Arial" w:eastAsiaTheme="minorHAnsi" w:hAnsi="Arial" w:cs="Arial"/>
          <w:lang w:val="en-GB"/>
        </w:rPr>
        <w:t>://doi.org/10.1098/rstb.2015.0072</w:t>
      </w:r>
      <w:proofErr w:type="gramEnd"/>
      <w:r w:rsidRPr="00C17C66">
        <w:rPr>
          <w:rFonts w:ascii="Arial" w:eastAsiaTheme="minorHAnsi" w:hAnsi="Arial" w:cs="Arial"/>
          <w:lang w:val="en-GB"/>
        </w:rPr>
        <w:t xml:space="preserve"> (Accessed 8 November 2024).</w:t>
      </w:r>
    </w:p>
    <w:p w14:paraId="36A49C2D" w14:textId="5359EEFD"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 xml:space="preserve">Pound, L. (2006) </w:t>
      </w:r>
      <w:r w:rsidRPr="00C17C66">
        <w:rPr>
          <w:rFonts w:ascii="Arial" w:eastAsiaTheme="minorHAnsi" w:hAnsi="Arial" w:cs="Arial"/>
          <w:i/>
          <w:iCs/>
          <w:lang w:val="en-GB"/>
        </w:rPr>
        <w:t>From Montessori to Vygotsky- Educational Theories and Approaches Made Easy</w:t>
      </w:r>
      <w:r w:rsidRPr="00C17C66">
        <w:rPr>
          <w:rFonts w:ascii="Arial" w:eastAsiaTheme="minorHAnsi" w:hAnsi="Arial" w:cs="Arial"/>
          <w:lang w:val="en-GB"/>
        </w:rPr>
        <w:t>. London: Practical Pre-school Books.</w:t>
      </w:r>
    </w:p>
    <w:p w14:paraId="640842FC" w14:textId="3C3247B0"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Robins, G. (2012) </w:t>
      </w:r>
      <w:r w:rsidRPr="00C17C66">
        <w:rPr>
          <w:rFonts w:ascii="Arial" w:eastAsiaTheme="minorHAnsi" w:hAnsi="Arial" w:cs="Arial"/>
          <w:i/>
          <w:iCs/>
          <w:lang w:val="en-GB"/>
        </w:rPr>
        <w:t>Praise, Motivation and the Child</w:t>
      </w:r>
      <w:r w:rsidRPr="00C17C66">
        <w:rPr>
          <w:rFonts w:ascii="Arial" w:eastAsiaTheme="minorHAnsi" w:hAnsi="Arial" w:cs="Arial"/>
          <w:lang w:val="en-GB"/>
        </w:rPr>
        <w:t xml:space="preserve">. Oxford: Routledge. </w:t>
      </w:r>
      <w:proofErr w:type="spellStart"/>
      <w:proofErr w:type="gramStart"/>
      <w:r w:rsidRPr="00C17C66">
        <w:rPr>
          <w:rFonts w:ascii="Arial" w:eastAsiaTheme="minorHAnsi" w:hAnsi="Arial" w:cs="Arial"/>
          <w:lang w:val="en-GB"/>
        </w:rPr>
        <w:t>doi:https</w:t>
      </w:r>
      <w:proofErr w:type="spellEnd"/>
      <w:r w:rsidRPr="00C17C66">
        <w:rPr>
          <w:rFonts w:ascii="Arial" w:eastAsiaTheme="minorHAnsi" w:hAnsi="Arial" w:cs="Arial"/>
          <w:lang w:val="en-GB"/>
        </w:rPr>
        <w:t>://doi.org/10.4324/9780203117682</w:t>
      </w:r>
      <w:proofErr w:type="gramEnd"/>
      <w:r w:rsidRPr="00C17C66">
        <w:rPr>
          <w:rFonts w:ascii="Arial" w:eastAsiaTheme="minorHAnsi" w:hAnsi="Arial" w:cs="Arial"/>
          <w:lang w:val="en-GB"/>
        </w:rPr>
        <w:t>. (Accessed: 8 November 2024).</w:t>
      </w:r>
    </w:p>
    <w:p w14:paraId="2BFEB92E" w14:textId="0A725279" w:rsidR="00BC7C8E" w:rsidRPr="00C17C66" w:rsidRDefault="00BC7C8E" w:rsidP="00BC7C8E">
      <w:pPr>
        <w:spacing w:after="160" w:line="360" w:lineRule="auto"/>
        <w:rPr>
          <w:rFonts w:ascii="Arial" w:eastAsiaTheme="minorHAnsi" w:hAnsi="Arial" w:cs="Arial"/>
          <w:lang w:val="en-GB"/>
        </w:rPr>
      </w:pPr>
      <w:proofErr w:type="spellStart"/>
      <w:proofErr w:type="gramStart"/>
      <w:r w:rsidRPr="00C17C66">
        <w:rPr>
          <w:rFonts w:ascii="Arial" w:eastAsiaTheme="minorHAnsi" w:hAnsi="Arial" w:cs="Arial"/>
          <w:lang w:val="en-GB"/>
        </w:rPr>
        <w:t>safeguarding.wales</w:t>
      </w:r>
      <w:proofErr w:type="spellEnd"/>
      <w:proofErr w:type="gramEnd"/>
      <w:r w:rsidRPr="00C17C66">
        <w:rPr>
          <w:rFonts w:ascii="Arial" w:eastAsiaTheme="minorHAnsi" w:hAnsi="Arial" w:cs="Arial"/>
          <w:lang w:val="en-GB"/>
        </w:rPr>
        <w:t>. (n.d.) </w:t>
      </w:r>
      <w:r w:rsidRPr="00C17C66">
        <w:rPr>
          <w:rFonts w:ascii="Arial" w:eastAsiaTheme="minorHAnsi" w:hAnsi="Arial" w:cs="Arial"/>
          <w:i/>
          <w:iCs/>
          <w:lang w:val="en-GB"/>
        </w:rPr>
        <w:t>Safeguarding Wales.</w:t>
      </w:r>
      <w:r w:rsidRPr="00C17C66">
        <w:rPr>
          <w:rFonts w:ascii="Arial" w:eastAsiaTheme="minorHAnsi" w:hAnsi="Arial" w:cs="Arial"/>
          <w:lang w:val="en-GB"/>
        </w:rPr>
        <w:t xml:space="preserve"> Available at: </w:t>
      </w:r>
      <w:hyperlink r:id="rId14" w:history="1">
        <w:r w:rsidRPr="00C17C66">
          <w:rPr>
            <w:rFonts w:ascii="Arial" w:eastAsiaTheme="minorHAnsi" w:hAnsi="Arial" w:cs="Arial"/>
            <w:lang w:val="en-GB"/>
          </w:rPr>
          <w:t>https://safeguarding.wales/en/int-i/int-i-i1/i1-p1/</w:t>
        </w:r>
      </w:hyperlink>
      <w:r w:rsidRPr="00C17C66">
        <w:rPr>
          <w:rFonts w:ascii="Arial" w:eastAsiaTheme="minorHAnsi" w:hAnsi="Arial" w:cs="Arial"/>
          <w:lang w:val="en-GB"/>
        </w:rPr>
        <w:t xml:space="preserve"> (Accessed: 8 November 2024).</w:t>
      </w:r>
    </w:p>
    <w:p w14:paraId="6612E84F" w14:textId="5ED29AA3"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 xml:space="preserve">Stoyanov, S (2017) </w:t>
      </w:r>
      <w:r w:rsidRPr="00C17C66">
        <w:rPr>
          <w:rFonts w:ascii="Arial" w:eastAsiaTheme="minorHAnsi" w:hAnsi="Arial" w:cs="Arial"/>
          <w:i/>
          <w:iCs/>
          <w:lang w:val="en-GB"/>
        </w:rPr>
        <w:t>An Analysis of Abraham H. Maslow’s Theory of Human Development.</w:t>
      </w:r>
      <w:r w:rsidRPr="00C17C66">
        <w:rPr>
          <w:rFonts w:ascii="Arial" w:eastAsiaTheme="minorHAnsi" w:hAnsi="Arial" w:cs="Arial"/>
          <w:lang w:val="en-GB"/>
        </w:rPr>
        <w:t xml:space="preserve"> London: </w:t>
      </w:r>
      <w:proofErr w:type="spellStart"/>
      <w:r w:rsidRPr="00C17C66">
        <w:rPr>
          <w:rFonts w:ascii="Arial" w:eastAsiaTheme="minorHAnsi" w:hAnsi="Arial" w:cs="Arial"/>
          <w:lang w:val="en-GB"/>
        </w:rPr>
        <w:t>Macat</w:t>
      </w:r>
      <w:proofErr w:type="spellEnd"/>
      <w:r w:rsidRPr="00C17C66">
        <w:rPr>
          <w:rFonts w:ascii="Arial" w:eastAsiaTheme="minorHAnsi" w:hAnsi="Arial" w:cs="Arial"/>
          <w:lang w:val="en-GB"/>
        </w:rPr>
        <w:t xml:space="preserve"> International Limited.</w:t>
      </w:r>
    </w:p>
    <w:p w14:paraId="7E670D4A" w14:textId="26E29507" w:rsidR="00BC7C8E" w:rsidRPr="00C17C66" w:rsidRDefault="00BC7C8E" w:rsidP="00BC7C8E">
      <w:pPr>
        <w:spacing w:after="160" w:line="360" w:lineRule="auto"/>
        <w:rPr>
          <w:rFonts w:ascii="Arial" w:hAnsi="Arial" w:cs="Arial"/>
        </w:rPr>
      </w:pPr>
      <w:r w:rsidRPr="00C17C66">
        <w:rPr>
          <w:rFonts w:ascii="Arial" w:hAnsi="Arial" w:cs="Arial"/>
        </w:rPr>
        <w:t>Tovey, H. (2013) Bringing the Froebel Approach to Your Early Years Practice. London: Routledge/Taylor &amp; Francis Group.</w:t>
      </w:r>
    </w:p>
    <w:p w14:paraId="5275D3FB" w14:textId="75E25FDC"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lastRenderedPageBreak/>
        <w:t>Welsh Government (2023</w:t>
      </w:r>
      <w:r w:rsidRPr="00C67F37">
        <w:rPr>
          <w:rFonts w:ascii="Arial" w:eastAsiaTheme="minorHAnsi" w:hAnsi="Arial" w:cs="Arial"/>
          <w:i/>
          <w:iCs/>
          <w:lang w:val="en-GB"/>
        </w:rPr>
        <w:t>)</w:t>
      </w:r>
      <w:r w:rsidR="00C67F37" w:rsidRPr="00C67F37">
        <w:rPr>
          <w:rFonts w:ascii="Arial" w:eastAsiaTheme="minorHAnsi" w:hAnsi="Arial" w:cs="Arial"/>
          <w:i/>
          <w:iCs/>
          <w:lang w:val="en-GB"/>
        </w:rPr>
        <w:t>.</w:t>
      </w:r>
      <w:r w:rsidRPr="00C67F37">
        <w:rPr>
          <w:rFonts w:ascii="Arial" w:eastAsiaTheme="minorHAnsi" w:hAnsi="Arial" w:cs="Arial"/>
          <w:i/>
          <w:iCs/>
          <w:lang w:val="en-GB"/>
        </w:rPr>
        <w:t> Enabling learning - Hwb.</w:t>
      </w:r>
      <w:r w:rsidRPr="00C17C66">
        <w:rPr>
          <w:rFonts w:ascii="Arial" w:eastAsiaTheme="minorHAnsi" w:hAnsi="Arial" w:cs="Arial"/>
          <w:lang w:val="en-GB"/>
        </w:rPr>
        <w:t xml:space="preserve"> Available at: </w:t>
      </w:r>
      <w:hyperlink r:id="rId15" w:history="1">
        <w:r w:rsidRPr="00C67F37">
          <w:rPr>
            <w:rFonts w:ascii="Arial" w:eastAsiaTheme="minorHAnsi" w:hAnsi="Arial" w:cs="Arial"/>
            <w:u w:val="single"/>
            <w:lang w:val="en-GB"/>
          </w:rPr>
          <w:t>https://hwb.gov.wales/curriculum-for-wales/designing-your-curriculum/enabling-learning/</w:t>
        </w:r>
      </w:hyperlink>
      <w:r w:rsidRPr="00C17C66">
        <w:rPr>
          <w:rFonts w:ascii="Arial" w:eastAsiaTheme="minorHAnsi" w:hAnsi="Arial" w:cs="Arial"/>
          <w:lang w:val="en-GB"/>
        </w:rPr>
        <w:t>. (Accessed: 11 November 2024).</w:t>
      </w:r>
    </w:p>
    <w:p w14:paraId="0D522704" w14:textId="77777777" w:rsidR="00BC7C8E" w:rsidRPr="00C17C66" w:rsidRDefault="00BC7C8E" w:rsidP="00BC7C8E">
      <w:pPr>
        <w:spacing w:after="160" w:line="360" w:lineRule="auto"/>
        <w:rPr>
          <w:rFonts w:ascii="Arial" w:eastAsiaTheme="minorHAnsi" w:hAnsi="Arial" w:cs="Arial"/>
          <w:lang w:val="en-GB"/>
        </w:rPr>
      </w:pPr>
    </w:p>
    <w:p w14:paraId="23AF8E56" w14:textId="08847835"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 xml:space="preserve">Wilson, R (2012) </w:t>
      </w:r>
      <w:r w:rsidRPr="00C67F37">
        <w:rPr>
          <w:rFonts w:ascii="Arial" w:eastAsiaTheme="minorHAnsi" w:hAnsi="Arial" w:cs="Arial"/>
          <w:i/>
          <w:iCs/>
          <w:lang w:val="en-GB"/>
        </w:rPr>
        <w:t>Nature and Young Children: Encouraging Creative Play and Learning in Natural Environments</w:t>
      </w:r>
      <w:r w:rsidRPr="00C17C66">
        <w:rPr>
          <w:rFonts w:ascii="Arial" w:eastAsiaTheme="minorHAnsi" w:hAnsi="Arial" w:cs="Arial"/>
          <w:lang w:val="en-GB"/>
        </w:rPr>
        <w:t>. Oxton: Routledge.</w:t>
      </w:r>
    </w:p>
    <w:p w14:paraId="20F43077" w14:textId="5D043157"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 xml:space="preserve">Wilson, T. (2016) </w:t>
      </w:r>
      <w:r w:rsidRPr="00C17C66">
        <w:rPr>
          <w:rFonts w:ascii="Arial" w:eastAsiaTheme="minorHAnsi" w:hAnsi="Arial" w:cs="Arial"/>
          <w:i/>
          <w:iCs/>
          <w:lang w:val="en-GB"/>
        </w:rPr>
        <w:t>Working with Parents, Carers and Families. The Essential Guide.</w:t>
      </w:r>
      <w:r w:rsidRPr="00C17C66">
        <w:rPr>
          <w:rFonts w:ascii="Arial" w:eastAsiaTheme="minorHAnsi" w:hAnsi="Arial" w:cs="Arial"/>
          <w:lang w:val="en-GB"/>
        </w:rPr>
        <w:t xml:space="preserve"> Oxon: Routledge.</w:t>
      </w:r>
    </w:p>
    <w:p w14:paraId="52F41A0C" w14:textId="1E069BB9" w:rsidR="00BC7C8E" w:rsidRPr="00C17C66" w:rsidRDefault="00BC7C8E" w:rsidP="00BC7C8E">
      <w:pPr>
        <w:spacing w:line="360" w:lineRule="auto"/>
        <w:rPr>
          <w:rFonts w:ascii="Arial" w:eastAsiaTheme="minorHAnsi" w:hAnsi="Arial" w:cs="Arial"/>
          <w:lang w:val="en-GB"/>
        </w:rPr>
      </w:pPr>
      <w:r w:rsidRPr="00C17C66">
        <w:rPr>
          <w:rFonts w:ascii="Arial" w:eastAsiaTheme="minorHAnsi" w:hAnsi="Arial" w:cs="Arial"/>
          <w:lang w:val="en-GB"/>
        </w:rPr>
        <w:t>UNICEF (1989). </w:t>
      </w:r>
      <w:r w:rsidRPr="00C67F37">
        <w:rPr>
          <w:rFonts w:ascii="Arial" w:eastAsiaTheme="minorHAnsi" w:hAnsi="Arial" w:cs="Arial"/>
          <w:lang w:val="en-GB"/>
        </w:rPr>
        <w:t>UN Convention on the Rights of the Child (UNCRC). UNICEF</w:t>
      </w:r>
      <w:r w:rsidRPr="00C17C66">
        <w:rPr>
          <w:rFonts w:ascii="Arial" w:eastAsiaTheme="minorHAnsi" w:hAnsi="Arial" w:cs="Arial"/>
          <w:lang w:val="en-GB"/>
        </w:rPr>
        <w:t xml:space="preserve">. Available at: </w:t>
      </w:r>
      <w:hyperlink r:id="rId16" w:history="1">
        <w:r w:rsidRPr="00C17C66">
          <w:rPr>
            <w:rFonts w:ascii="Arial" w:eastAsiaTheme="minorHAnsi" w:hAnsi="Arial" w:cs="Arial"/>
            <w:lang w:val="en-GB"/>
          </w:rPr>
          <w:t>https://www.unicef.org.uk/what-we-do/un-convention-child-rights/</w:t>
        </w:r>
      </w:hyperlink>
      <w:r w:rsidRPr="00C17C66">
        <w:rPr>
          <w:rFonts w:ascii="Arial" w:eastAsiaTheme="minorHAnsi" w:hAnsi="Arial" w:cs="Arial"/>
          <w:lang w:val="en-GB"/>
        </w:rPr>
        <w:t xml:space="preserve"> (Accessed: 8 November 2024). </w:t>
      </w:r>
    </w:p>
    <w:p w14:paraId="79982FDF" w14:textId="77777777" w:rsidR="00BC7C8E" w:rsidRPr="00C17C66" w:rsidRDefault="00BC7C8E" w:rsidP="00BC7C8E">
      <w:pPr>
        <w:spacing w:line="360" w:lineRule="auto"/>
        <w:rPr>
          <w:rFonts w:ascii="Arial" w:eastAsiaTheme="minorHAnsi" w:hAnsi="Arial" w:cs="Arial"/>
          <w:lang w:val="en-GB"/>
        </w:rPr>
      </w:pPr>
    </w:p>
    <w:p w14:paraId="5E718555" w14:textId="307006B7" w:rsidR="00BC7C8E" w:rsidRPr="00C67F37" w:rsidRDefault="00BC7C8E" w:rsidP="00BC7C8E">
      <w:pPr>
        <w:spacing w:line="360" w:lineRule="auto"/>
        <w:rPr>
          <w:rFonts w:ascii="Arial" w:eastAsiaTheme="minorHAnsi" w:hAnsi="Arial" w:cs="Arial"/>
          <w:lang w:val="en-GB"/>
        </w:rPr>
      </w:pPr>
      <w:r w:rsidRPr="00C17C66">
        <w:rPr>
          <w:rFonts w:ascii="Arial" w:eastAsiaTheme="minorHAnsi" w:hAnsi="Arial" w:cs="Arial"/>
          <w:lang w:val="en-GB"/>
        </w:rPr>
        <w:t>Welsh Government (2020). </w:t>
      </w:r>
      <w:r w:rsidRPr="00C67F37">
        <w:rPr>
          <w:rFonts w:ascii="Arial" w:eastAsiaTheme="minorHAnsi" w:hAnsi="Arial" w:cs="Arial"/>
          <w:i/>
          <w:iCs/>
          <w:lang w:val="en-GB"/>
        </w:rPr>
        <w:t>Developing a vision for curriculum design - Hwb.</w:t>
      </w:r>
      <w:r w:rsidRPr="00C17C66">
        <w:rPr>
          <w:rFonts w:ascii="Arial" w:eastAsiaTheme="minorHAnsi" w:hAnsi="Arial" w:cs="Arial"/>
          <w:lang w:val="en-GB"/>
        </w:rPr>
        <w:t xml:space="preserve"> Available at: </w:t>
      </w:r>
      <w:hyperlink r:id="rId17" w:history="1">
        <w:r w:rsidRPr="00C67F37">
          <w:rPr>
            <w:rStyle w:val="Hyperlink"/>
            <w:rFonts w:ascii="Arial" w:eastAsiaTheme="minorHAnsi" w:hAnsi="Arial" w:cs="Arial"/>
            <w:color w:val="auto"/>
            <w:lang w:val="en-GB"/>
          </w:rPr>
          <w:t>https://hwb.gov.wales/curriculum-for-wales/designing-your-curriculum/developing-a-vision-for-curriculum-design/</w:t>
        </w:r>
      </w:hyperlink>
      <w:r w:rsidRPr="00C67F37">
        <w:rPr>
          <w:rFonts w:ascii="Arial" w:eastAsiaTheme="minorHAnsi" w:hAnsi="Arial" w:cs="Arial"/>
          <w:lang w:val="en-GB"/>
        </w:rPr>
        <w:t>.</w:t>
      </w:r>
    </w:p>
    <w:p w14:paraId="4414E984" w14:textId="77777777" w:rsidR="00BC7C8E" w:rsidRPr="00C17C66" w:rsidRDefault="00BC7C8E" w:rsidP="00BC7C8E">
      <w:pPr>
        <w:spacing w:line="360" w:lineRule="auto"/>
        <w:rPr>
          <w:rFonts w:ascii="Arial" w:eastAsiaTheme="minorHAnsi" w:hAnsi="Arial" w:cs="Arial"/>
          <w:lang w:val="en-GB"/>
        </w:rPr>
      </w:pPr>
    </w:p>
    <w:p w14:paraId="714F4C69" w14:textId="40C9025A"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Welsh Government (2023)</w:t>
      </w:r>
      <w:r w:rsidR="00C67F37">
        <w:rPr>
          <w:rFonts w:ascii="Arial" w:eastAsiaTheme="minorHAnsi" w:hAnsi="Arial" w:cs="Arial"/>
          <w:lang w:val="en-GB"/>
        </w:rPr>
        <w:t>.</w:t>
      </w:r>
      <w:r w:rsidRPr="00C17C66">
        <w:rPr>
          <w:rFonts w:ascii="Arial" w:eastAsiaTheme="minorHAnsi" w:hAnsi="Arial" w:cs="Arial"/>
          <w:i/>
          <w:iCs/>
          <w:lang w:val="en-GB"/>
        </w:rPr>
        <w:t> </w:t>
      </w:r>
      <w:r w:rsidRPr="00C67F37">
        <w:rPr>
          <w:rFonts w:ascii="Arial" w:eastAsiaTheme="minorHAnsi" w:hAnsi="Arial" w:cs="Arial"/>
          <w:i/>
          <w:iCs/>
          <w:lang w:val="en-GB"/>
        </w:rPr>
        <w:t>Enabling learning - Hwb</w:t>
      </w:r>
      <w:r w:rsidRPr="00C17C66">
        <w:rPr>
          <w:rFonts w:ascii="Arial" w:eastAsiaTheme="minorHAnsi" w:hAnsi="Arial" w:cs="Arial"/>
          <w:lang w:val="en-GB"/>
        </w:rPr>
        <w:t xml:space="preserve">. Available at: </w:t>
      </w:r>
      <w:hyperlink r:id="rId18" w:history="1">
        <w:r w:rsidRPr="00C67F37">
          <w:rPr>
            <w:rFonts w:ascii="Arial" w:eastAsiaTheme="minorHAnsi" w:hAnsi="Arial" w:cs="Arial"/>
            <w:u w:val="single"/>
            <w:lang w:val="en-GB"/>
          </w:rPr>
          <w:t>https://hwb.gov.wales/curriculum-for-wales/designing-your-curriculum/enabling-learning/</w:t>
        </w:r>
      </w:hyperlink>
      <w:r w:rsidR="00C67F37">
        <w:rPr>
          <w:rFonts w:ascii="Arial" w:eastAsiaTheme="minorHAnsi" w:hAnsi="Arial" w:cs="Arial"/>
          <w:lang w:val="en-GB"/>
        </w:rPr>
        <w:t xml:space="preserve"> </w:t>
      </w:r>
      <w:r w:rsidRPr="00C17C66">
        <w:rPr>
          <w:rFonts w:ascii="Arial" w:eastAsiaTheme="minorHAnsi" w:hAnsi="Arial" w:cs="Arial"/>
          <w:lang w:val="en-GB"/>
        </w:rPr>
        <w:t xml:space="preserve"> (Accessed: 11 November 2024).</w:t>
      </w:r>
    </w:p>
    <w:p w14:paraId="0A3341B9" w14:textId="23794FC0"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Welsh Government (2017). </w:t>
      </w:r>
      <w:r w:rsidRPr="00C17C66">
        <w:rPr>
          <w:rFonts w:ascii="Arial" w:eastAsiaTheme="minorHAnsi" w:hAnsi="Arial" w:cs="Arial"/>
          <w:i/>
          <w:iCs/>
          <w:lang w:val="en-GB"/>
        </w:rPr>
        <w:t>Flying Start Health Programme Guidance</w:t>
      </w:r>
      <w:r w:rsidRPr="00C17C66">
        <w:rPr>
          <w:rFonts w:ascii="Arial" w:eastAsiaTheme="minorHAnsi" w:hAnsi="Arial" w:cs="Arial"/>
          <w:lang w:val="en-GB"/>
        </w:rPr>
        <w:t xml:space="preserve">.  Available at: </w:t>
      </w:r>
      <w:hyperlink r:id="rId19" w:history="1">
        <w:r w:rsidRPr="00C17C66">
          <w:rPr>
            <w:rFonts w:ascii="Arial" w:eastAsiaTheme="minorHAnsi" w:hAnsi="Arial" w:cs="Arial"/>
            <w:lang w:val="en-GB"/>
          </w:rPr>
          <w:t>https://www.gov.wales/sites/default/files/publications/2019-07/flying-start-health-programme-guidance_0.pdf</w:t>
        </w:r>
      </w:hyperlink>
      <w:r w:rsidRPr="00C17C66">
        <w:rPr>
          <w:rFonts w:ascii="Arial" w:eastAsiaTheme="minorHAnsi" w:hAnsi="Arial" w:cs="Arial"/>
          <w:lang w:val="en-GB"/>
        </w:rPr>
        <w:t xml:space="preserve"> (Accessed 8 November 2024).</w:t>
      </w:r>
    </w:p>
    <w:p w14:paraId="6B6D0722" w14:textId="4854CE3C" w:rsidR="00BC7C8E" w:rsidRPr="00C17C66" w:rsidRDefault="00BC7C8E" w:rsidP="00BC7C8E">
      <w:pPr>
        <w:spacing w:after="160" w:line="360" w:lineRule="auto"/>
        <w:rPr>
          <w:rFonts w:ascii="Arial" w:eastAsiaTheme="minorHAnsi" w:hAnsi="Arial" w:cs="Arial"/>
          <w:lang w:val="en-GB"/>
        </w:rPr>
      </w:pPr>
      <w:r w:rsidRPr="00C17C66">
        <w:rPr>
          <w:rFonts w:ascii="Arial" w:eastAsiaTheme="minorHAnsi" w:hAnsi="Arial" w:cs="Arial"/>
          <w:lang w:val="en-GB"/>
        </w:rPr>
        <w:t>Welsh Government (2020</w:t>
      </w:r>
      <w:r w:rsidRPr="00C67F37">
        <w:rPr>
          <w:rFonts w:ascii="Arial" w:eastAsiaTheme="minorHAnsi" w:hAnsi="Arial" w:cs="Arial"/>
          <w:i/>
          <w:iCs/>
          <w:lang w:val="en-GB"/>
        </w:rPr>
        <w:t>). Health and Well-being: Introduction, Hwb.</w:t>
      </w:r>
      <w:r w:rsidRPr="00C17C66">
        <w:rPr>
          <w:rFonts w:ascii="Arial" w:eastAsiaTheme="minorHAnsi" w:hAnsi="Arial" w:cs="Arial"/>
          <w:lang w:val="en-GB"/>
        </w:rPr>
        <w:t xml:space="preserve"> Available at: </w:t>
      </w:r>
      <w:hyperlink r:id="rId20" w:history="1">
        <w:r w:rsidRPr="00C17C66">
          <w:rPr>
            <w:rFonts w:ascii="Arial" w:eastAsiaTheme="minorHAnsi" w:hAnsi="Arial" w:cs="Arial"/>
            <w:lang w:val="en-GB"/>
          </w:rPr>
          <w:t>https://hwb.gov.wales/curriculum-for-wales/health-and-well-being/</w:t>
        </w:r>
      </w:hyperlink>
      <w:r w:rsidRPr="00C17C66">
        <w:rPr>
          <w:rFonts w:ascii="Arial" w:eastAsiaTheme="minorHAnsi" w:hAnsi="Arial" w:cs="Arial"/>
          <w:lang w:val="en-GB"/>
        </w:rPr>
        <w:t xml:space="preserve"> (Accessed: 8 November 2024).</w:t>
      </w:r>
    </w:p>
    <w:p w14:paraId="50B794A4" w14:textId="1E8F6BC6" w:rsidR="00BC7C8E" w:rsidRPr="00C17C66" w:rsidRDefault="00BC7C8E" w:rsidP="00BC7C8E">
      <w:pPr>
        <w:spacing w:line="360" w:lineRule="auto"/>
        <w:rPr>
          <w:rFonts w:ascii="Arial" w:eastAsiaTheme="minorHAnsi" w:hAnsi="Arial" w:cs="Arial"/>
          <w:lang w:val="en-GB"/>
        </w:rPr>
      </w:pPr>
      <w:r w:rsidRPr="00C17C66">
        <w:rPr>
          <w:rFonts w:ascii="Arial" w:eastAsiaTheme="minorHAnsi" w:hAnsi="Arial" w:cs="Arial"/>
          <w:lang w:val="en-GB"/>
        </w:rPr>
        <w:t>Welsh Government News (2022</w:t>
      </w:r>
      <w:r w:rsidRPr="00C67F37">
        <w:rPr>
          <w:rFonts w:ascii="Arial" w:eastAsiaTheme="minorHAnsi" w:hAnsi="Arial" w:cs="Arial"/>
          <w:i/>
          <w:iCs/>
          <w:lang w:val="en-GB"/>
        </w:rPr>
        <w:t>). £25m to kick-start free school meals for all primary school children in Wales, Welsh Government News</w:t>
      </w:r>
      <w:r w:rsidRPr="00C17C66">
        <w:rPr>
          <w:rFonts w:ascii="Arial" w:eastAsiaTheme="minorHAnsi" w:hAnsi="Arial" w:cs="Arial"/>
          <w:i/>
          <w:iCs/>
          <w:lang w:val="en-GB"/>
        </w:rPr>
        <w:t>.</w:t>
      </w:r>
      <w:r w:rsidRPr="00C17C66">
        <w:rPr>
          <w:rFonts w:ascii="Arial" w:eastAsiaTheme="minorHAnsi" w:hAnsi="Arial" w:cs="Arial"/>
          <w:lang w:val="en-GB"/>
        </w:rPr>
        <w:t xml:space="preserve"> Available at: https://media.service.gov.wales/news/gbp-25m-to-kick-start-free-school-meals-for-all-primary-school-children-in-wales (Accessed: 8 November 2024). </w:t>
      </w:r>
    </w:p>
    <w:p w14:paraId="2DCE49FF" w14:textId="77777777" w:rsidR="00BC7C8E" w:rsidRPr="00C17C66" w:rsidRDefault="00BC7C8E" w:rsidP="00BC7C8E">
      <w:pPr>
        <w:spacing w:line="360" w:lineRule="auto"/>
        <w:rPr>
          <w:rFonts w:ascii="Arial" w:eastAsiaTheme="minorHAnsi" w:hAnsi="Arial" w:cs="Arial"/>
          <w:lang w:val="en-GB"/>
        </w:rPr>
      </w:pPr>
    </w:p>
    <w:p w14:paraId="5DF97D1F" w14:textId="4E12F52E" w:rsidR="00BC7C8E" w:rsidRPr="00C17C66" w:rsidRDefault="00BC7C8E" w:rsidP="00BC7C8E">
      <w:pPr>
        <w:spacing w:line="360" w:lineRule="auto"/>
        <w:rPr>
          <w:rFonts w:ascii="Arial" w:eastAsiaTheme="minorHAnsi" w:hAnsi="Arial" w:cs="Arial"/>
          <w:lang w:val="en-GB"/>
        </w:rPr>
      </w:pPr>
      <w:r w:rsidRPr="00C17C66">
        <w:rPr>
          <w:rFonts w:ascii="Arial" w:eastAsiaTheme="minorHAnsi" w:hAnsi="Arial" w:cs="Arial"/>
          <w:lang w:val="en-GB"/>
        </w:rPr>
        <w:lastRenderedPageBreak/>
        <w:t>www.earlyyearscareers.com (n.d</w:t>
      </w:r>
      <w:r w:rsidRPr="00C67F37">
        <w:rPr>
          <w:rFonts w:ascii="Arial" w:eastAsiaTheme="minorHAnsi" w:hAnsi="Arial" w:cs="Arial"/>
          <w:i/>
          <w:iCs/>
          <w:lang w:val="en-GB"/>
        </w:rPr>
        <w:t>.). Supporting children’s development through mealtimes.</w:t>
      </w:r>
      <w:r w:rsidRPr="00C17C66">
        <w:rPr>
          <w:rFonts w:ascii="Arial" w:eastAsiaTheme="minorHAnsi" w:hAnsi="Arial" w:cs="Arial"/>
          <w:lang w:val="en-GB"/>
        </w:rPr>
        <w:t xml:space="preserve">  Available at</w:t>
      </w:r>
      <w:r w:rsidRPr="00C67F37">
        <w:rPr>
          <w:rFonts w:ascii="Arial" w:eastAsiaTheme="minorHAnsi" w:hAnsi="Arial" w:cs="Arial"/>
          <w:lang w:val="en-GB"/>
        </w:rPr>
        <w:t xml:space="preserve">: </w:t>
      </w:r>
      <w:hyperlink r:id="rId21" w:history="1">
        <w:r w:rsidR="00C67F37" w:rsidRPr="00C67F37">
          <w:rPr>
            <w:rStyle w:val="Hyperlink"/>
            <w:rFonts w:ascii="Arial" w:eastAsiaTheme="minorHAnsi" w:hAnsi="Arial" w:cs="Arial"/>
            <w:color w:val="auto"/>
            <w:lang w:val="en-GB"/>
          </w:rPr>
          <w:t>https://www.earlyyearscareers.com/eyc/ey-practice/supporting-development-mealtimes/</w:t>
        </w:r>
      </w:hyperlink>
      <w:r w:rsidR="00C67F37">
        <w:rPr>
          <w:rFonts w:ascii="Arial" w:eastAsiaTheme="minorHAnsi" w:hAnsi="Arial" w:cs="Arial"/>
          <w:lang w:val="en-GB"/>
        </w:rPr>
        <w:t xml:space="preserve"> (Accessed: November 2024).</w:t>
      </w:r>
    </w:p>
    <w:p w14:paraId="6E8B419D" w14:textId="77777777" w:rsidR="00BC7C8E" w:rsidRPr="00C368B1" w:rsidRDefault="00BC7C8E" w:rsidP="00C368B1">
      <w:pPr>
        <w:tabs>
          <w:tab w:val="left" w:pos="1210"/>
        </w:tabs>
      </w:pPr>
    </w:p>
    <w:sectPr w:rsidR="00BC7C8E" w:rsidRPr="00C368B1" w:rsidSect="00531C1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EFD2CA" w14:textId="77777777" w:rsidR="00531C18" w:rsidRDefault="00531C18" w:rsidP="00531C18">
      <w:r>
        <w:separator/>
      </w:r>
    </w:p>
  </w:endnote>
  <w:endnote w:type="continuationSeparator" w:id="0">
    <w:p w14:paraId="54175004" w14:textId="77777777" w:rsidR="00531C18" w:rsidRDefault="00531C18" w:rsidP="00531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0957978"/>
      <w:docPartObj>
        <w:docPartGallery w:val="Page Numbers (Bottom of Page)"/>
        <w:docPartUnique/>
      </w:docPartObj>
    </w:sdtPr>
    <w:sdtEndPr/>
    <w:sdtContent>
      <w:p w14:paraId="01670B22" w14:textId="777E30AB" w:rsidR="00531C18" w:rsidRDefault="00531C18">
        <w:pPr>
          <w:pStyle w:val="Footer"/>
          <w:jc w:val="center"/>
        </w:pPr>
        <w:r>
          <w:fldChar w:fldCharType="begin"/>
        </w:r>
        <w:r>
          <w:instrText>PAGE   \* MERGEFORMAT</w:instrText>
        </w:r>
        <w:r>
          <w:fldChar w:fldCharType="separate"/>
        </w:r>
        <w:r>
          <w:rPr>
            <w:lang w:val="en-GB"/>
          </w:rPr>
          <w:t>2</w:t>
        </w:r>
        <w:r>
          <w:fldChar w:fldCharType="end"/>
        </w:r>
      </w:p>
    </w:sdtContent>
  </w:sdt>
  <w:p w14:paraId="795032AE" w14:textId="77777777" w:rsidR="00531C18" w:rsidRDefault="00531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55DBCC" w14:textId="77777777" w:rsidR="00531C18" w:rsidRDefault="00531C18" w:rsidP="00531C18">
      <w:r>
        <w:separator/>
      </w:r>
    </w:p>
  </w:footnote>
  <w:footnote w:type="continuationSeparator" w:id="0">
    <w:p w14:paraId="3CAA9B66" w14:textId="77777777" w:rsidR="00531C18" w:rsidRDefault="00531C18" w:rsidP="00531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C88AFE" w14:textId="0E274C89" w:rsidR="00531C18" w:rsidRDefault="00531C18" w:rsidP="00531C18">
    <w:pPr>
      <w:pStyle w:val="Header"/>
      <w:spacing w:line="360" w:lineRule="auto"/>
      <w:rPr>
        <w:rFonts w:ascii="Arial" w:hAnsi="Arial" w:cs="Arial"/>
      </w:rPr>
    </w:pPr>
    <w:r>
      <w:rPr>
        <w:rFonts w:ascii="Arial" w:hAnsi="Arial" w:cs="Arial"/>
      </w:rPr>
      <w:t>ECEY4001                                                                                                   2414374</w:t>
    </w:r>
  </w:p>
  <w:p w14:paraId="5F233134" w14:textId="18C749E3" w:rsidR="00531C18" w:rsidRPr="00531C18" w:rsidRDefault="00531C18" w:rsidP="00531C18">
    <w:pPr>
      <w:pStyle w:val="Header"/>
      <w:spacing w:line="360" w:lineRule="auto"/>
      <w:rPr>
        <w:rFonts w:ascii="Arial" w:hAnsi="Arial" w:cs="Arial"/>
      </w:rPr>
    </w:pPr>
    <w:r>
      <w:rPr>
        <w:rFonts w:ascii="Arial" w:hAnsi="Arial" w:cs="Arial"/>
      </w:rP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C18"/>
    <w:rsid w:val="000061CB"/>
    <w:rsid w:val="00137270"/>
    <w:rsid w:val="00173CA9"/>
    <w:rsid w:val="001B2AB6"/>
    <w:rsid w:val="002D7930"/>
    <w:rsid w:val="003465FB"/>
    <w:rsid w:val="0034709E"/>
    <w:rsid w:val="003909A5"/>
    <w:rsid w:val="003B49DB"/>
    <w:rsid w:val="003B71A5"/>
    <w:rsid w:val="003D5779"/>
    <w:rsid w:val="003E6279"/>
    <w:rsid w:val="003E7CD3"/>
    <w:rsid w:val="004908E0"/>
    <w:rsid w:val="004D1803"/>
    <w:rsid w:val="005003A9"/>
    <w:rsid w:val="00531C18"/>
    <w:rsid w:val="005D7AEC"/>
    <w:rsid w:val="006754BD"/>
    <w:rsid w:val="006E6CA3"/>
    <w:rsid w:val="00876868"/>
    <w:rsid w:val="00925AD1"/>
    <w:rsid w:val="009D4480"/>
    <w:rsid w:val="009E75FA"/>
    <w:rsid w:val="00A4704D"/>
    <w:rsid w:val="00A5441A"/>
    <w:rsid w:val="00B97C3F"/>
    <w:rsid w:val="00BC7C8E"/>
    <w:rsid w:val="00C07F45"/>
    <w:rsid w:val="00C17C66"/>
    <w:rsid w:val="00C20AEC"/>
    <w:rsid w:val="00C36089"/>
    <w:rsid w:val="00C368B1"/>
    <w:rsid w:val="00C464CF"/>
    <w:rsid w:val="00C67F37"/>
    <w:rsid w:val="00CC1FFD"/>
    <w:rsid w:val="00CF5636"/>
    <w:rsid w:val="00D2043B"/>
    <w:rsid w:val="00D6342B"/>
    <w:rsid w:val="00E84BD1"/>
    <w:rsid w:val="00F35F5C"/>
    <w:rsid w:val="00F54E81"/>
    <w:rsid w:val="00F812B5"/>
    <w:rsid w:val="00FA4057"/>
    <w:rsid w:val="00FA56B7"/>
    <w:rsid w:val="00FB6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13BCB"/>
  <w15:chartTrackingRefBased/>
  <w15:docId w15:val="{732B929A-E116-45D1-B15C-3721638CE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C18"/>
    <w:pPr>
      <w:spacing w:after="0" w:line="240" w:lineRule="auto"/>
    </w:pPr>
    <w:rPr>
      <w:rFonts w:eastAsiaTheme="minorEastAsia"/>
      <w:sz w:val="24"/>
      <w:szCs w:val="24"/>
      <w:lang w:val="en-US"/>
    </w:rPr>
  </w:style>
  <w:style w:type="paragraph" w:styleId="Heading1">
    <w:name w:val="heading 1"/>
    <w:basedOn w:val="Normal"/>
    <w:next w:val="Normal"/>
    <w:link w:val="Heading1Char"/>
    <w:uiPriority w:val="9"/>
    <w:qFormat/>
    <w:rsid w:val="00531C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1C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1C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1C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1C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1C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C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C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C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C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1C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1C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1C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1C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1C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1C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1C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1C18"/>
    <w:rPr>
      <w:rFonts w:eastAsiaTheme="majorEastAsia" w:cstheme="majorBidi"/>
      <w:color w:val="272727" w:themeColor="text1" w:themeTint="D8"/>
    </w:rPr>
  </w:style>
  <w:style w:type="paragraph" w:styleId="Title">
    <w:name w:val="Title"/>
    <w:basedOn w:val="Normal"/>
    <w:next w:val="Normal"/>
    <w:link w:val="TitleChar"/>
    <w:uiPriority w:val="10"/>
    <w:qFormat/>
    <w:rsid w:val="00531C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C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C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C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C18"/>
    <w:pPr>
      <w:spacing w:before="160"/>
      <w:jc w:val="center"/>
    </w:pPr>
    <w:rPr>
      <w:i/>
      <w:iCs/>
      <w:color w:val="404040" w:themeColor="text1" w:themeTint="BF"/>
    </w:rPr>
  </w:style>
  <w:style w:type="character" w:customStyle="1" w:styleId="QuoteChar">
    <w:name w:val="Quote Char"/>
    <w:basedOn w:val="DefaultParagraphFont"/>
    <w:link w:val="Quote"/>
    <w:uiPriority w:val="29"/>
    <w:rsid w:val="00531C18"/>
    <w:rPr>
      <w:i/>
      <w:iCs/>
      <w:color w:val="404040" w:themeColor="text1" w:themeTint="BF"/>
    </w:rPr>
  </w:style>
  <w:style w:type="paragraph" w:styleId="ListParagraph">
    <w:name w:val="List Paragraph"/>
    <w:basedOn w:val="Normal"/>
    <w:uiPriority w:val="34"/>
    <w:qFormat/>
    <w:rsid w:val="00531C18"/>
    <w:pPr>
      <w:ind w:left="720"/>
      <w:contextualSpacing/>
    </w:pPr>
  </w:style>
  <w:style w:type="character" w:styleId="IntenseEmphasis">
    <w:name w:val="Intense Emphasis"/>
    <w:basedOn w:val="DefaultParagraphFont"/>
    <w:uiPriority w:val="21"/>
    <w:qFormat/>
    <w:rsid w:val="00531C18"/>
    <w:rPr>
      <w:i/>
      <w:iCs/>
      <w:color w:val="0F4761" w:themeColor="accent1" w:themeShade="BF"/>
    </w:rPr>
  </w:style>
  <w:style w:type="paragraph" w:styleId="IntenseQuote">
    <w:name w:val="Intense Quote"/>
    <w:basedOn w:val="Normal"/>
    <w:next w:val="Normal"/>
    <w:link w:val="IntenseQuoteChar"/>
    <w:uiPriority w:val="30"/>
    <w:qFormat/>
    <w:rsid w:val="00531C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1C18"/>
    <w:rPr>
      <w:i/>
      <w:iCs/>
      <w:color w:val="0F4761" w:themeColor="accent1" w:themeShade="BF"/>
    </w:rPr>
  </w:style>
  <w:style w:type="character" w:styleId="IntenseReference">
    <w:name w:val="Intense Reference"/>
    <w:basedOn w:val="DefaultParagraphFont"/>
    <w:uiPriority w:val="32"/>
    <w:qFormat/>
    <w:rsid w:val="00531C18"/>
    <w:rPr>
      <w:b/>
      <w:bCs/>
      <w:smallCaps/>
      <w:color w:val="0F4761" w:themeColor="accent1" w:themeShade="BF"/>
      <w:spacing w:val="5"/>
    </w:rPr>
  </w:style>
  <w:style w:type="paragraph" w:styleId="Header">
    <w:name w:val="header"/>
    <w:basedOn w:val="Normal"/>
    <w:link w:val="HeaderChar"/>
    <w:uiPriority w:val="99"/>
    <w:unhideWhenUsed/>
    <w:rsid w:val="00531C18"/>
    <w:pPr>
      <w:tabs>
        <w:tab w:val="center" w:pos="4513"/>
        <w:tab w:val="right" w:pos="9026"/>
      </w:tabs>
    </w:pPr>
  </w:style>
  <w:style w:type="character" w:customStyle="1" w:styleId="HeaderChar">
    <w:name w:val="Header Char"/>
    <w:basedOn w:val="DefaultParagraphFont"/>
    <w:link w:val="Header"/>
    <w:uiPriority w:val="99"/>
    <w:rsid w:val="00531C18"/>
  </w:style>
  <w:style w:type="paragraph" w:styleId="Footer">
    <w:name w:val="footer"/>
    <w:basedOn w:val="Normal"/>
    <w:link w:val="FooterChar"/>
    <w:uiPriority w:val="99"/>
    <w:unhideWhenUsed/>
    <w:rsid w:val="00531C18"/>
    <w:pPr>
      <w:tabs>
        <w:tab w:val="center" w:pos="4513"/>
        <w:tab w:val="right" w:pos="9026"/>
      </w:tabs>
    </w:pPr>
  </w:style>
  <w:style w:type="character" w:customStyle="1" w:styleId="FooterChar">
    <w:name w:val="Footer Char"/>
    <w:basedOn w:val="DefaultParagraphFont"/>
    <w:link w:val="Footer"/>
    <w:uiPriority w:val="99"/>
    <w:rsid w:val="00531C18"/>
  </w:style>
  <w:style w:type="character" w:styleId="Hyperlink">
    <w:name w:val="Hyperlink"/>
    <w:basedOn w:val="DefaultParagraphFont"/>
    <w:uiPriority w:val="99"/>
    <w:unhideWhenUsed/>
    <w:rsid w:val="00CC1FFD"/>
    <w:rPr>
      <w:color w:val="467886" w:themeColor="hyperlink"/>
      <w:u w:val="single"/>
    </w:rPr>
  </w:style>
  <w:style w:type="character" w:styleId="UnresolvedMention">
    <w:name w:val="Unresolved Mention"/>
    <w:basedOn w:val="DefaultParagraphFont"/>
    <w:uiPriority w:val="99"/>
    <w:semiHidden/>
    <w:unhideWhenUsed/>
    <w:rsid w:val="00CC1F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dicalnewstoday.com/articles/outdoor-play-children#skills" TargetMode="External"/><Relationship Id="rId18" Type="http://schemas.openxmlformats.org/officeDocument/2006/relationships/hyperlink" Target="https://hwb.gov.wales/curriculum-for-wales/designing-your-curriculum/enabling-learning/" TargetMode="External"/><Relationship Id="rId3" Type="http://schemas.openxmlformats.org/officeDocument/2006/relationships/webSettings" Target="webSettings.xml"/><Relationship Id="rId21" Type="http://schemas.openxmlformats.org/officeDocument/2006/relationships/hyperlink" Target="https://www.earlyyearscareers.com/eyc/ey-practice/supporting-development-mealtimes/" TargetMode="External"/><Relationship Id="rId7" Type="http://schemas.openxmlformats.org/officeDocument/2006/relationships/footer" Target="footer1.xml"/><Relationship Id="rId12" Type="http://schemas.openxmlformats.org/officeDocument/2006/relationships/hyperlink" Target="https://www.carmarthenshire.gov.wales/home/council-services/education-schools/additional-learning-needs/additional-learning-needs-decision-making-process/3-what-is-a-one-page-profile/" TargetMode="External"/><Relationship Id="rId17" Type="http://schemas.openxmlformats.org/officeDocument/2006/relationships/hyperlink" Target="https://hwb.gov.wales/curriculum-for-wales/designing-your-curriculum/developing-a-vision-for-curriculum-design/" TargetMode="External"/><Relationship Id="rId2" Type="http://schemas.openxmlformats.org/officeDocument/2006/relationships/settings" Target="settings.xml"/><Relationship Id="rId16" Type="http://schemas.openxmlformats.org/officeDocument/2006/relationships/hyperlink" Target="https://www.unicef.org.uk/what-we-do/un-convention-child-rights/" TargetMode="External"/><Relationship Id="rId20" Type="http://schemas.openxmlformats.org/officeDocument/2006/relationships/hyperlink" Target="https://hwb.gov.wales/curriculum-for-wales/health-and-well-being/" TargetMode="Externa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www.gov.wales/free-breakfast-primary-schools" TargetMode="External"/><Relationship Id="rId5" Type="http://schemas.openxmlformats.org/officeDocument/2006/relationships/endnotes" Target="endnotes.xml"/><Relationship Id="rId15" Type="http://schemas.openxmlformats.org/officeDocument/2006/relationships/hyperlink" Target="https://hwb.gov.wales/curriculum-for-wales/designing-your-curriculum/enabling-learning/" TargetMode="External"/><Relationship Id="rId23" Type="http://schemas.openxmlformats.org/officeDocument/2006/relationships/theme" Target="theme/theme1.xml"/><Relationship Id="rId10" Type="http://schemas.openxmlformats.org/officeDocument/2006/relationships/hyperlink" Target="https://www.verywellmind.com/what-is-maslows-hierarchy-of-needs-4136760" TargetMode="External"/><Relationship Id="rId19" Type="http://schemas.openxmlformats.org/officeDocument/2006/relationships/hyperlink" Target="https://www.gov.wales/sites/default/files/publications/2019-07/flying-start-health-programme-guidance_0.pdf" TargetMode="Externa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hyperlink" Target="https://safeguarding.wales/en/int-i/int-i-i1/i1-p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3059</Words>
  <Characters>17437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Burton</dc:creator>
  <cp:keywords/>
  <dc:description/>
  <cp:lastModifiedBy>gemma Burton</cp:lastModifiedBy>
  <cp:revision>2</cp:revision>
  <dcterms:created xsi:type="dcterms:W3CDTF">2024-11-27T20:05:00Z</dcterms:created>
  <dcterms:modified xsi:type="dcterms:W3CDTF">2024-11-27T20:05:00Z</dcterms:modified>
</cp:coreProperties>
</file>