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9454F" w14:textId="4E7C60B4" w:rsidR="00450505" w:rsidRDefault="00450505" w:rsidP="00450505">
      <w:pPr>
        <w:jc w:val="center"/>
        <w:rPr>
          <w:b/>
          <w:bCs/>
          <w:lang w:val="en-GB"/>
        </w:rPr>
      </w:pPr>
    </w:p>
    <w:p w14:paraId="0C28B6BB" w14:textId="59F678E5" w:rsidR="00450505" w:rsidRDefault="00450505" w:rsidP="00450505">
      <w:pPr>
        <w:jc w:val="center"/>
        <w:rPr>
          <w:b/>
          <w:bCs/>
          <w:lang w:val="en-GB"/>
        </w:rPr>
      </w:pPr>
    </w:p>
    <w:p w14:paraId="5F88C0DB" w14:textId="77777777" w:rsidR="00295360" w:rsidRDefault="00295360" w:rsidP="00450505">
      <w:pPr>
        <w:jc w:val="center"/>
        <w:rPr>
          <w:b/>
          <w:bCs/>
          <w:lang w:val="en-GB"/>
        </w:rPr>
      </w:pPr>
    </w:p>
    <w:p w14:paraId="68598CD3" w14:textId="77777777" w:rsidR="00450505" w:rsidRDefault="00450505" w:rsidP="00450505">
      <w:pPr>
        <w:jc w:val="center"/>
        <w:rPr>
          <w:b/>
          <w:bCs/>
          <w:lang w:val="en-GB"/>
        </w:rPr>
      </w:pPr>
    </w:p>
    <w:p w14:paraId="0FE170D2" w14:textId="10FD1CCA" w:rsidR="00450505" w:rsidRDefault="00510198" w:rsidP="00450505">
      <w:pPr>
        <w:jc w:val="center"/>
        <w:rPr>
          <w:u w:val="single"/>
          <w:lang w:val="en-GB"/>
        </w:rPr>
      </w:pPr>
      <w:r w:rsidRPr="00450505">
        <w:rPr>
          <w:b/>
          <w:bCs/>
          <w:lang w:val="en-GB"/>
        </w:rPr>
        <w:t>Programme:</w:t>
      </w:r>
      <w:r>
        <w:rPr>
          <w:lang w:val="en-GB"/>
        </w:rPr>
        <w:t xml:space="preserve"> </w:t>
      </w:r>
      <w:r w:rsidRPr="00450505">
        <w:rPr>
          <w:u w:val="single"/>
          <w:lang w:val="en-GB"/>
        </w:rPr>
        <w:t>BSc (Hons) Health and Social Care</w:t>
      </w:r>
    </w:p>
    <w:p w14:paraId="59462F46" w14:textId="77777777" w:rsidR="00450505" w:rsidRPr="00450505" w:rsidRDefault="00450505" w:rsidP="00450505">
      <w:pPr>
        <w:jc w:val="center"/>
        <w:rPr>
          <w:lang w:val="en-GB"/>
        </w:rPr>
      </w:pPr>
    </w:p>
    <w:p w14:paraId="56B1F1F1" w14:textId="74906B9D" w:rsidR="00450505" w:rsidRDefault="00510198" w:rsidP="00450505">
      <w:pPr>
        <w:jc w:val="center"/>
        <w:rPr>
          <w:u w:val="single"/>
          <w:lang w:val="en-GB"/>
        </w:rPr>
      </w:pPr>
      <w:r w:rsidRPr="00450505">
        <w:rPr>
          <w:b/>
          <w:bCs/>
          <w:lang w:val="en-GB"/>
        </w:rPr>
        <w:t>Module:</w:t>
      </w:r>
      <w:r>
        <w:rPr>
          <w:lang w:val="en-GB"/>
        </w:rPr>
        <w:t xml:space="preserve"> </w:t>
      </w:r>
      <w:r w:rsidRPr="00450505">
        <w:rPr>
          <w:u w:val="single"/>
          <w:lang w:val="en-GB"/>
        </w:rPr>
        <w:t>Digital Transformation in the Health and Care Professions</w:t>
      </w:r>
    </w:p>
    <w:p w14:paraId="637D6869" w14:textId="77777777" w:rsidR="00450505" w:rsidRPr="00450505" w:rsidRDefault="00450505" w:rsidP="00450505">
      <w:pPr>
        <w:jc w:val="center"/>
        <w:rPr>
          <w:lang w:val="en-GB"/>
        </w:rPr>
      </w:pPr>
    </w:p>
    <w:p w14:paraId="039B9999" w14:textId="5D1B6015" w:rsidR="00450505" w:rsidRDefault="00510198" w:rsidP="00450505">
      <w:pPr>
        <w:jc w:val="center"/>
        <w:rPr>
          <w:u w:val="single"/>
          <w:lang w:val="en-GB"/>
        </w:rPr>
      </w:pPr>
      <w:r w:rsidRPr="00450505">
        <w:rPr>
          <w:b/>
          <w:bCs/>
          <w:lang w:val="en-GB"/>
        </w:rPr>
        <w:t>Module Code:</w:t>
      </w:r>
      <w:r>
        <w:rPr>
          <w:lang w:val="en-GB"/>
        </w:rPr>
        <w:t xml:space="preserve"> </w:t>
      </w:r>
      <w:r w:rsidRPr="00450505">
        <w:rPr>
          <w:u w:val="single"/>
          <w:lang w:val="en-GB"/>
        </w:rPr>
        <w:t>BMHP6026</w:t>
      </w:r>
    </w:p>
    <w:p w14:paraId="7E41DA98" w14:textId="77777777" w:rsidR="00450505" w:rsidRPr="00450505" w:rsidRDefault="00450505" w:rsidP="00450505">
      <w:pPr>
        <w:jc w:val="center"/>
        <w:rPr>
          <w:lang w:val="en-GB"/>
        </w:rPr>
      </w:pPr>
    </w:p>
    <w:p w14:paraId="4F7D36E2" w14:textId="45FF853C" w:rsidR="009979FB" w:rsidRDefault="00510198" w:rsidP="00450505">
      <w:pPr>
        <w:jc w:val="center"/>
        <w:rPr>
          <w:u w:val="single"/>
          <w:lang w:val="en-GB"/>
        </w:rPr>
      </w:pPr>
      <w:r w:rsidRPr="00450505">
        <w:rPr>
          <w:b/>
          <w:bCs/>
          <w:lang w:val="en-GB"/>
        </w:rPr>
        <w:t>Assignment Title:</w:t>
      </w:r>
      <w:r>
        <w:rPr>
          <w:lang w:val="en-GB"/>
        </w:rPr>
        <w:t xml:space="preserve"> </w:t>
      </w:r>
      <w:r w:rsidRPr="00450505">
        <w:rPr>
          <w:u w:val="single"/>
          <w:lang w:val="en-GB"/>
        </w:rPr>
        <w:t>Component 1: Written Report</w:t>
      </w:r>
    </w:p>
    <w:p w14:paraId="364D9915" w14:textId="77777777" w:rsidR="00295360" w:rsidRDefault="00295360" w:rsidP="00450505">
      <w:pPr>
        <w:jc w:val="center"/>
        <w:rPr>
          <w:u w:val="single"/>
          <w:lang w:val="en-GB"/>
        </w:rPr>
      </w:pPr>
    </w:p>
    <w:p w14:paraId="3DA16036" w14:textId="77777777" w:rsidR="00295360" w:rsidRDefault="00295360" w:rsidP="00450505">
      <w:pPr>
        <w:jc w:val="center"/>
        <w:rPr>
          <w:u w:val="single"/>
          <w:lang w:val="en-GB"/>
        </w:rPr>
      </w:pPr>
    </w:p>
    <w:p w14:paraId="6A7892E2" w14:textId="0D68F4B0" w:rsidR="00295360" w:rsidRPr="00295360" w:rsidRDefault="00510198" w:rsidP="00295360">
      <w:pPr>
        <w:jc w:val="center"/>
        <w:rPr>
          <w:i/>
          <w:iCs/>
          <w:lang w:val="en-GB"/>
        </w:rPr>
      </w:pPr>
      <w:r w:rsidRPr="00295360">
        <w:rPr>
          <w:i/>
          <w:iCs/>
          <w:lang w:val="en-GB"/>
        </w:rPr>
        <w:t>Student Name:</w:t>
      </w:r>
      <w:r w:rsidR="00147B47">
        <w:rPr>
          <w:i/>
          <w:iCs/>
          <w:lang w:val="en-GB"/>
        </w:rPr>
        <w:t xml:space="preserve"> Saiqa</w:t>
      </w:r>
    </w:p>
    <w:p w14:paraId="309D57AC" w14:textId="208705E1" w:rsidR="00295360" w:rsidRDefault="00510198" w:rsidP="00295360">
      <w:pPr>
        <w:jc w:val="center"/>
        <w:rPr>
          <w:i/>
          <w:iCs/>
          <w:lang w:val="en-GB"/>
        </w:rPr>
      </w:pPr>
      <w:r w:rsidRPr="00295360">
        <w:rPr>
          <w:i/>
          <w:iCs/>
          <w:lang w:val="en-GB"/>
        </w:rPr>
        <w:t>Student ID:</w:t>
      </w:r>
      <w:r w:rsidR="00147B47">
        <w:rPr>
          <w:i/>
          <w:iCs/>
          <w:lang w:val="en-GB"/>
        </w:rPr>
        <w:t xml:space="preserve"> 2313780</w:t>
      </w:r>
    </w:p>
    <w:p w14:paraId="7D309753" w14:textId="4C2A34E0" w:rsidR="00295360" w:rsidRDefault="00510198">
      <w:pPr>
        <w:spacing w:line="259" w:lineRule="auto"/>
        <w:rPr>
          <w:lang w:val="en-GB"/>
        </w:rPr>
      </w:pPr>
      <w:r>
        <w:rPr>
          <w:lang w:val="en-GB"/>
        </w:rPr>
        <w:br w:type="page"/>
      </w:r>
    </w:p>
    <w:sdt>
      <w:sdtPr>
        <w:rPr>
          <w:rFonts w:ascii="Arial" w:eastAsiaTheme="minorHAnsi" w:hAnsi="Arial" w:cstheme="minorBidi"/>
          <w:color w:val="auto"/>
          <w:sz w:val="22"/>
          <w:szCs w:val="22"/>
        </w:rPr>
        <w:id w:val="-74971027"/>
        <w:docPartObj>
          <w:docPartGallery w:val="Table of Contents"/>
          <w:docPartUnique/>
        </w:docPartObj>
      </w:sdtPr>
      <w:sdtEndPr>
        <w:rPr>
          <w:b/>
          <w:bCs/>
          <w:noProof/>
        </w:rPr>
      </w:sdtEndPr>
      <w:sdtContent>
        <w:p w14:paraId="1162CB7B" w14:textId="0D877258" w:rsidR="007303F7" w:rsidRPr="007303F7" w:rsidRDefault="007303F7" w:rsidP="007303F7">
          <w:pPr>
            <w:pStyle w:val="TOCHeading"/>
            <w:spacing w:line="360" w:lineRule="auto"/>
            <w:rPr>
              <w:rFonts w:ascii="Arial" w:hAnsi="Arial" w:cs="Arial"/>
              <w:i/>
              <w:iCs/>
              <w:color w:val="auto"/>
              <w:sz w:val="22"/>
              <w:szCs w:val="22"/>
            </w:rPr>
          </w:pPr>
          <w:r w:rsidRPr="007303F7">
            <w:rPr>
              <w:rFonts w:ascii="Arial" w:hAnsi="Arial" w:cs="Arial"/>
              <w:i/>
              <w:iCs/>
              <w:color w:val="auto"/>
              <w:sz w:val="22"/>
              <w:szCs w:val="22"/>
            </w:rPr>
            <w:t>Table of Contents</w:t>
          </w:r>
        </w:p>
        <w:p w14:paraId="30C76AAC" w14:textId="48B6C5A9" w:rsidR="005A4575" w:rsidRDefault="007303F7">
          <w:pPr>
            <w:pStyle w:val="TOC1"/>
            <w:tabs>
              <w:tab w:val="right" w:leader="dot" w:pos="9350"/>
            </w:tabs>
            <w:rPr>
              <w:rFonts w:asciiTheme="minorHAnsi" w:eastAsiaTheme="minorEastAsia" w:hAnsiTheme="minorHAnsi"/>
              <w:noProof/>
            </w:rPr>
          </w:pPr>
          <w:r w:rsidRPr="007303F7">
            <w:rPr>
              <w:rFonts w:cs="Arial"/>
            </w:rPr>
            <w:fldChar w:fldCharType="begin"/>
          </w:r>
          <w:r w:rsidRPr="007303F7">
            <w:rPr>
              <w:rFonts w:cs="Arial"/>
            </w:rPr>
            <w:instrText xml:space="preserve"> TOC \o "1-3" \h \z \u </w:instrText>
          </w:r>
          <w:r w:rsidRPr="007303F7">
            <w:rPr>
              <w:rFonts w:cs="Arial"/>
            </w:rPr>
            <w:fldChar w:fldCharType="separate"/>
          </w:r>
          <w:hyperlink w:anchor="_Toc221373397" w:history="1">
            <w:r w:rsidR="005A4575" w:rsidRPr="00A8561F">
              <w:rPr>
                <w:rStyle w:val="Hyperlink"/>
                <w:noProof/>
                <w:lang w:val="en-GB"/>
              </w:rPr>
              <w:t>Introduction</w:t>
            </w:r>
            <w:r w:rsidR="005A4575">
              <w:rPr>
                <w:noProof/>
                <w:webHidden/>
              </w:rPr>
              <w:tab/>
            </w:r>
            <w:r w:rsidR="005A4575">
              <w:rPr>
                <w:noProof/>
                <w:webHidden/>
              </w:rPr>
              <w:fldChar w:fldCharType="begin"/>
            </w:r>
            <w:r w:rsidR="005A4575">
              <w:rPr>
                <w:noProof/>
                <w:webHidden/>
              </w:rPr>
              <w:instrText xml:space="preserve"> PAGEREF _Toc221373397 \h </w:instrText>
            </w:r>
            <w:r w:rsidR="005A4575">
              <w:rPr>
                <w:noProof/>
                <w:webHidden/>
              </w:rPr>
            </w:r>
            <w:r w:rsidR="005A4575">
              <w:rPr>
                <w:noProof/>
                <w:webHidden/>
              </w:rPr>
              <w:fldChar w:fldCharType="separate"/>
            </w:r>
            <w:r w:rsidR="005A4575">
              <w:rPr>
                <w:noProof/>
                <w:webHidden/>
              </w:rPr>
              <w:t>3</w:t>
            </w:r>
            <w:r w:rsidR="005A4575">
              <w:rPr>
                <w:noProof/>
                <w:webHidden/>
              </w:rPr>
              <w:fldChar w:fldCharType="end"/>
            </w:r>
          </w:hyperlink>
        </w:p>
        <w:p w14:paraId="6D540E51" w14:textId="1A6950C2" w:rsidR="005A4575" w:rsidRDefault="005A4575">
          <w:pPr>
            <w:pStyle w:val="TOC1"/>
            <w:tabs>
              <w:tab w:val="right" w:leader="dot" w:pos="9350"/>
            </w:tabs>
            <w:rPr>
              <w:rFonts w:asciiTheme="minorHAnsi" w:eastAsiaTheme="minorEastAsia" w:hAnsiTheme="minorHAnsi"/>
              <w:noProof/>
            </w:rPr>
          </w:pPr>
          <w:hyperlink w:anchor="_Toc221373398" w:history="1">
            <w:r w:rsidRPr="00A8561F">
              <w:rPr>
                <w:rStyle w:val="Hyperlink"/>
                <w:noProof/>
                <w:lang w:val="en-GB"/>
              </w:rPr>
              <w:t>Telehealth in UK Health and Social Care</w:t>
            </w:r>
            <w:r>
              <w:rPr>
                <w:noProof/>
                <w:webHidden/>
              </w:rPr>
              <w:tab/>
            </w:r>
            <w:r>
              <w:rPr>
                <w:noProof/>
                <w:webHidden/>
              </w:rPr>
              <w:fldChar w:fldCharType="begin"/>
            </w:r>
            <w:r>
              <w:rPr>
                <w:noProof/>
                <w:webHidden/>
              </w:rPr>
              <w:instrText xml:space="preserve"> PAGEREF _Toc221373398 \h </w:instrText>
            </w:r>
            <w:r>
              <w:rPr>
                <w:noProof/>
                <w:webHidden/>
              </w:rPr>
            </w:r>
            <w:r>
              <w:rPr>
                <w:noProof/>
                <w:webHidden/>
              </w:rPr>
              <w:fldChar w:fldCharType="separate"/>
            </w:r>
            <w:r>
              <w:rPr>
                <w:noProof/>
                <w:webHidden/>
              </w:rPr>
              <w:t>3</w:t>
            </w:r>
            <w:r>
              <w:rPr>
                <w:noProof/>
                <w:webHidden/>
              </w:rPr>
              <w:fldChar w:fldCharType="end"/>
            </w:r>
          </w:hyperlink>
        </w:p>
        <w:p w14:paraId="4CB629DB" w14:textId="02782B24" w:rsidR="005A4575" w:rsidRDefault="005A4575">
          <w:pPr>
            <w:pStyle w:val="TOC1"/>
            <w:tabs>
              <w:tab w:val="right" w:leader="dot" w:pos="9350"/>
            </w:tabs>
            <w:rPr>
              <w:rFonts w:asciiTheme="minorHAnsi" w:eastAsiaTheme="minorEastAsia" w:hAnsiTheme="minorHAnsi"/>
              <w:noProof/>
            </w:rPr>
          </w:pPr>
          <w:hyperlink w:anchor="_Toc221373399" w:history="1">
            <w:r w:rsidRPr="00A8561F">
              <w:rPr>
                <w:rStyle w:val="Hyperlink"/>
                <w:noProof/>
                <w:lang w:val="en-GB"/>
              </w:rPr>
              <w:t>Implementation of Telehealth Within Health and Social Care</w:t>
            </w:r>
            <w:r>
              <w:rPr>
                <w:noProof/>
                <w:webHidden/>
              </w:rPr>
              <w:tab/>
            </w:r>
            <w:r>
              <w:rPr>
                <w:noProof/>
                <w:webHidden/>
              </w:rPr>
              <w:fldChar w:fldCharType="begin"/>
            </w:r>
            <w:r>
              <w:rPr>
                <w:noProof/>
                <w:webHidden/>
              </w:rPr>
              <w:instrText xml:space="preserve"> PAGEREF _Toc221373399 \h </w:instrText>
            </w:r>
            <w:r>
              <w:rPr>
                <w:noProof/>
                <w:webHidden/>
              </w:rPr>
            </w:r>
            <w:r>
              <w:rPr>
                <w:noProof/>
                <w:webHidden/>
              </w:rPr>
              <w:fldChar w:fldCharType="separate"/>
            </w:r>
            <w:r>
              <w:rPr>
                <w:noProof/>
                <w:webHidden/>
              </w:rPr>
              <w:t>4</w:t>
            </w:r>
            <w:r>
              <w:rPr>
                <w:noProof/>
                <w:webHidden/>
              </w:rPr>
              <w:fldChar w:fldCharType="end"/>
            </w:r>
          </w:hyperlink>
        </w:p>
        <w:p w14:paraId="03709280" w14:textId="3FE2CE2B" w:rsidR="005A4575" w:rsidRDefault="005A4575">
          <w:pPr>
            <w:pStyle w:val="TOC2"/>
            <w:tabs>
              <w:tab w:val="right" w:leader="dot" w:pos="9350"/>
            </w:tabs>
            <w:rPr>
              <w:rFonts w:asciiTheme="minorHAnsi" w:eastAsiaTheme="minorEastAsia" w:hAnsiTheme="minorHAnsi"/>
              <w:noProof/>
            </w:rPr>
          </w:pPr>
          <w:hyperlink w:anchor="_Toc221373400" w:history="1">
            <w:r w:rsidRPr="00A8561F">
              <w:rPr>
                <w:rStyle w:val="Hyperlink"/>
                <w:noProof/>
                <w:lang w:val="en-GB"/>
              </w:rPr>
              <w:t>Telehealth Impact on Workforce</w:t>
            </w:r>
            <w:r>
              <w:rPr>
                <w:noProof/>
                <w:webHidden/>
              </w:rPr>
              <w:tab/>
            </w:r>
            <w:r>
              <w:rPr>
                <w:noProof/>
                <w:webHidden/>
              </w:rPr>
              <w:fldChar w:fldCharType="begin"/>
            </w:r>
            <w:r>
              <w:rPr>
                <w:noProof/>
                <w:webHidden/>
              </w:rPr>
              <w:instrText xml:space="preserve"> PAGEREF _Toc221373400 \h </w:instrText>
            </w:r>
            <w:r>
              <w:rPr>
                <w:noProof/>
                <w:webHidden/>
              </w:rPr>
            </w:r>
            <w:r>
              <w:rPr>
                <w:noProof/>
                <w:webHidden/>
              </w:rPr>
              <w:fldChar w:fldCharType="separate"/>
            </w:r>
            <w:r>
              <w:rPr>
                <w:noProof/>
                <w:webHidden/>
              </w:rPr>
              <w:t>4</w:t>
            </w:r>
            <w:r>
              <w:rPr>
                <w:noProof/>
                <w:webHidden/>
              </w:rPr>
              <w:fldChar w:fldCharType="end"/>
            </w:r>
          </w:hyperlink>
        </w:p>
        <w:p w14:paraId="10B0E71C" w14:textId="34E373B9" w:rsidR="005A4575" w:rsidRDefault="005A4575">
          <w:pPr>
            <w:pStyle w:val="TOC2"/>
            <w:tabs>
              <w:tab w:val="right" w:leader="dot" w:pos="9350"/>
            </w:tabs>
            <w:rPr>
              <w:rFonts w:asciiTheme="minorHAnsi" w:eastAsiaTheme="minorEastAsia" w:hAnsiTheme="minorHAnsi"/>
              <w:noProof/>
            </w:rPr>
          </w:pPr>
          <w:hyperlink w:anchor="_Toc221373401" w:history="1">
            <w:r w:rsidRPr="00A8561F">
              <w:rPr>
                <w:rStyle w:val="Hyperlink"/>
                <w:noProof/>
                <w:lang w:val="en-GB"/>
              </w:rPr>
              <w:t>Telehealth Impact on Service Delivery</w:t>
            </w:r>
            <w:r>
              <w:rPr>
                <w:noProof/>
                <w:webHidden/>
              </w:rPr>
              <w:tab/>
            </w:r>
            <w:r>
              <w:rPr>
                <w:noProof/>
                <w:webHidden/>
              </w:rPr>
              <w:fldChar w:fldCharType="begin"/>
            </w:r>
            <w:r>
              <w:rPr>
                <w:noProof/>
                <w:webHidden/>
              </w:rPr>
              <w:instrText xml:space="preserve"> PAGEREF _Toc221373401 \h </w:instrText>
            </w:r>
            <w:r>
              <w:rPr>
                <w:noProof/>
                <w:webHidden/>
              </w:rPr>
            </w:r>
            <w:r>
              <w:rPr>
                <w:noProof/>
                <w:webHidden/>
              </w:rPr>
              <w:fldChar w:fldCharType="separate"/>
            </w:r>
            <w:r>
              <w:rPr>
                <w:noProof/>
                <w:webHidden/>
              </w:rPr>
              <w:t>5</w:t>
            </w:r>
            <w:r>
              <w:rPr>
                <w:noProof/>
                <w:webHidden/>
              </w:rPr>
              <w:fldChar w:fldCharType="end"/>
            </w:r>
          </w:hyperlink>
        </w:p>
        <w:p w14:paraId="6D9ECFE5" w14:textId="6954A1C3" w:rsidR="005A4575" w:rsidRDefault="005A4575">
          <w:pPr>
            <w:pStyle w:val="TOC2"/>
            <w:tabs>
              <w:tab w:val="right" w:leader="dot" w:pos="9350"/>
            </w:tabs>
            <w:rPr>
              <w:rFonts w:asciiTheme="minorHAnsi" w:eastAsiaTheme="minorEastAsia" w:hAnsiTheme="minorHAnsi"/>
              <w:noProof/>
            </w:rPr>
          </w:pPr>
          <w:hyperlink w:anchor="_Toc221373402" w:history="1">
            <w:r w:rsidRPr="00A8561F">
              <w:rPr>
                <w:rStyle w:val="Hyperlink"/>
                <w:noProof/>
                <w:lang w:val="en-GB"/>
              </w:rPr>
              <w:t>Telehealth Impact on Patient or Service User</w:t>
            </w:r>
            <w:r>
              <w:rPr>
                <w:noProof/>
                <w:webHidden/>
              </w:rPr>
              <w:tab/>
            </w:r>
            <w:r>
              <w:rPr>
                <w:noProof/>
                <w:webHidden/>
              </w:rPr>
              <w:fldChar w:fldCharType="begin"/>
            </w:r>
            <w:r>
              <w:rPr>
                <w:noProof/>
                <w:webHidden/>
              </w:rPr>
              <w:instrText xml:space="preserve"> PAGEREF _Toc221373402 \h </w:instrText>
            </w:r>
            <w:r>
              <w:rPr>
                <w:noProof/>
                <w:webHidden/>
              </w:rPr>
            </w:r>
            <w:r>
              <w:rPr>
                <w:noProof/>
                <w:webHidden/>
              </w:rPr>
              <w:fldChar w:fldCharType="separate"/>
            </w:r>
            <w:r>
              <w:rPr>
                <w:noProof/>
                <w:webHidden/>
              </w:rPr>
              <w:t>5</w:t>
            </w:r>
            <w:r>
              <w:rPr>
                <w:noProof/>
                <w:webHidden/>
              </w:rPr>
              <w:fldChar w:fldCharType="end"/>
            </w:r>
          </w:hyperlink>
        </w:p>
        <w:p w14:paraId="009A8346" w14:textId="4C850D9B" w:rsidR="005A4575" w:rsidRDefault="005A4575">
          <w:pPr>
            <w:pStyle w:val="TOC2"/>
            <w:tabs>
              <w:tab w:val="right" w:leader="dot" w:pos="9350"/>
            </w:tabs>
            <w:rPr>
              <w:rFonts w:asciiTheme="minorHAnsi" w:eastAsiaTheme="minorEastAsia" w:hAnsiTheme="minorHAnsi"/>
              <w:noProof/>
            </w:rPr>
          </w:pPr>
          <w:hyperlink w:anchor="_Toc221373403" w:history="1">
            <w:r w:rsidRPr="00A8561F">
              <w:rPr>
                <w:rStyle w:val="Hyperlink"/>
                <w:noProof/>
                <w:lang w:val="en-GB"/>
              </w:rPr>
              <w:t>Telehealth Impact on Community</w:t>
            </w:r>
            <w:r>
              <w:rPr>
                <w:noProof/>
                <w:webHidden/>
              </w:rPr>
              <w:tab/>
            </w:r>
            <w:r>
              <w:rPr>
                <w:noProof/>
                <w:webHidden/>
              </w:rPr>
              <w:fldChar w:fldCharType="begin"/>
            </w:r>
            <w:r>
              <w:rPr>
                <w:noProof/>
                <w:webHidden/>
              </w:rPr>
              <w:instrText xml:space="preserve"> PAGEREF _Toc221373403 \h </w:instrText>
            </w:r>
            <w:r>
              <w:rPr>
                <w:noProof/>
                <w:webHidden/>
              </w:rPr>
            </w:r>
            <w:r>
              <w:rPr>
                <w:noProof/>
                <w:webHidden/>
              </w:rPr>
              <w:fldChar w:fldCharType="separate"/>
            </w:r>
            <w:r>
              <w:rPr>
                <w:noProof/>
                <w:webHidden/>
              </w:rPr>
              <w:t>6</w:t>
            </w:r>
            <w:r>
              <w:rPr>
                <w:noProof/>
                <w:webHidden/>
              </w:rPr>
              <w:fldChar w:fldCharType="end"/>
            </w:r>
          </w:hyperlink>
        </w:p>
        <w:p w14:paraId="42AACA4E" w14:textId="55BDDC22" w:rsidR="005A4575" w:rsidRDefault="005A4575">
          <w:pPr>
            <w:pStyle w:val="TOC1"/>
            <w:tabs>
              <w:tab w:val="right" w:leader="dot" w:pos="9350"/>
            </w:tabs>
            <w:rPr>
              <w:rFonts w:asciiTheme="minorHAnsi" w:eastAsiaTheme="minorEastAsia" w:hAnsiTheme="minorHAnsi"/>
              <w:noProof/>
            </w:rPr>
          </w:pPr>
          <w:hyperlink w:anchor="_Toc221373404" w:history="1">
            <w:r w:rsidRPr="00A8561F">
              <w:rPr>
                <w:rStyle w:val="Hyperlink"/>
                <w:noProof/>
                <w:lang w:val="en-GB"/>
              </w:rPr>
              <w:t>Conclusion</w:t>
            </w:r>
            <w:r>
              <w:rPr>
                <w:noProof/>
                <w:webHidden/>
              </w:rPr>
              <w:tab/>
            </w:r>
            <w:r>
              <w:rPr>
                <w:noProof/>
                <w:webHidden/>
              </w:rPr>
              <w:fldChar w:fldCharType="begin"/>
            </w:r>
            <w:r>
              <w:rPr>
                <w:noProof/>
                <w:webHidden/>
              </w:rPr>
              <w:instrText xml:space="preserve"> PAGEREF _Toc221373404 \h </w:instrText>
            </w:r>
            <w:r>
              <w:rPr>
                <w:noProof/>
                <w:webHidden/>
              </w:rPr>
            </w:r>
            <w:r>
              <w:rPr>
                <w:noProof/>
                <w:webHidden/>
              </w:rPr>
              <w:fldChar w:fldCharType="separate"/>
            </w:r>
            <w:r>
              <w:rPr>
                <w:noProof/>
                <w:webHidden/>
              </w:rPr>
              <w:t>7</w:t>
            </w:r>
            <w:r>
              <w:rPr>
                <w:noProof/>
                <w:webHidden/>
              </w:rPr>
              <w:fldChar w:fldCharType="end"/>
            </w:r>
          </w:hyperlink>
        </w:p>
        <w:p w14:paraId="2D1FDCD1" w14:textId="5667649E" w:rsidR="005A4575" w:rsidRDefault="005A4575">
          <w:pPr>
            <w:pStyle w:val="TOC1"/>
            <w:tabs>
              <w:tab w:val="right" w:leader="dot" w:pos="9350"/>
            </w:tabs>
            <w:rPr>
              <w:rFonts w:asciiTheme="minorHAnsi" w:eastAsiaTheme="minorEastAsia" w:hAnsiTheme="minorHAnsi"/>
              <w:noProof/>
            </w:rPr>
          </w:pPr>
          <w:hyperlink w:anchor="_Toc221373405" w:history="1">
            <w:r w:rsidRPr="00A8561F">
              <w:rPr>
                <w:rStyle w:val="Hyperlink"/>
                <w:noProof/>
                <w:lang w:val="en-GB"/>
              </w:rPr>
              <w:t>References</w:t>
            </w:r>
            <w:r>
              <w:rPr>
                <w:noProof/>
                <w:webHidden/>
              </w:rPr>
              <w:tab/>
            </w:r>
            <w:r>
              <w:rPr>
                <w:noProof/>
                <w:webHidden/>
              </w:rPr>
              <w:fldChar w:fldCharType="begin"/>
            </w:r>
            <w:r>
              <w:rPr>
                <w:noProof/>
                <w:webHidden/>
              </w:rPr>
              <w:instrText xml:space="preserve"> PAGEREF _Toc221373405 \h </w:instrText>
            </w:r>
            <w:r>
              <w:rPr>
                <w:noProof/>
                <w:webHidden/>
              </w:rPr>
            </w:r>
            <w:r>
              <w:rPr>
                <w:noProof/>
                <w:webHidden/>
              </w:rPr>
              <w:fldChar w:fldCharType="separate"/>
            </w:r>
            <w:r>
              <w:rPr>
                <w:noProof/>
                <w:webHidden/>
              </w:rPr>
              <w:t>9</w:t>
            </w:r>
            <w:r>
              <w:rPr>
                <w:noProof/>
                <w:webHidden/>
              </w:rPr>
              <w:fldChar w:fldCharType="end"/>
            </w:r>
          </w:hyperlink>
        </w:p>
        <w:p w14:paraId="1624E728" w14:textId="3A6711FF" w:rsidR="007303F7" w:rsidRDefault="007303F7" w:rsidP="007303F7">
          <w:r w:rsidRPr="007303F7">
            <w:rPr>
              <w:rFonts w:cs="Arial"/>
              <w:b/>
              <w:bCs/>
              <w:noProof/>
            </w:rPr>
            <w:fldChar w:fldCharType="end"/>
          </w:r>
        </w:p>
      </w:sdtContent>
    </w:sdt>
    <w:p w14:paraId="7A1411F8" w14:textId="77777777" w:rsidR="00295360" w:rsidRDefault="00510198">
      <w:pPr>
        <w:spacing w:line="259" w:lineRule="auto"/>
        <w:rPr>
          <w:lang w:val="en-GB"/>
        </w:rPr>
      </w:pPr>
      <w:r>
        <w:rPr>
          <w:lang w:val="en-GB"/>
        </w:rPr>
        <w:br w:type="page"/>
      </w:r>
    </w:p>
    <w:p w14:paraId="2F8A68B4" w14:textId="30E370A0" w:rsidR="00295360" w:rsidRDefault="00510198" w:rsidP="00885344">
      <w:pPr>
        <w:pStyle w:val="Heading1"/>
        <w:rPr>
          <w:lang w:val="en-GB"/>
        </w:rPr>
      </w:pPr>
      <w:bookmarkStart w:id="0" w:name="_Toc221373397"/>
      <w:r>
        <w:rPr>
          <w:lang w:val="en-GB"/>
        </w:rPr>
        <w:t>Introduction</w:t>
      </w:r>
      <w:bookmarkEnd w:id="0"/>
    </w:p>
    <w:p w14:paraId="6805B295" w14:textId="6B967301" w:rsidR="006D775E" w:rsidRDefault="00510198" w:rsidP="00295360">
      <w:pPr>
        <w:rPr>
          <w:lang w:val="en-GB"/>
        </w:rPr>
      </w:pPr>
      <w:r w:rsidRPr="0023185A">
        <w:rPr>
          <w:lang w:val="en-GB"/>
        </w:rPr>
        <w:t xml:space="preserve">Telehealth refers to the administration of medical care through the use of digital technologies, such as video consultations, telephone assessments and remote patient monitoring, thus enabling clinical care without direct interaction (Beheshti et al., 2022). </w:t>
      </w:r>
      <w:r w:rsidR="00907BB0" w:rsidRPr="00907BB0">
        <w:rPr>
          <w:lang w:val="en-GB"/>
        </w:rPr>
        <w:t>It has gained importance in the health and social care of the United Kingdom (UK), with NHS England counting over 28 million remote appointments in the field of primary care in 2022, which constitute approximately 40</w:t>
      </w:r>
      <w:r w:rsidR="00907BB0">
        <w:rPr>
          <w:lang w:val="en-GB"/>
        </w:rPr>
        <w:t xml:space="preserve">% </w:t>
      </w:r>
      <w:r w:rsidR="00907BB0" w:rsidRPr="00907BB0">
        <w:rPr>
          <w:lang w:val="en-GB"/>
        </w:rPr>
        <w:t xml:space="preserve">of all General Practitioner (GP) appointments (NHS England, 2023). The adoption of telehealth on a national scale has been fast due to the fact that it can help mitigate workforce strains, improve service access and efficiency of the system (Sharma et al., 2022). </w:t>
      </w:r>
      <w:r w:rsidR="0092684E">
        <w:rPr>
          <w:lang w:val="en-GB"/>
        </w:rPr>
        <w:t>Additionally, a</w:t>
      </w:r>
      <w:r w:rsidR="0033770D" w:rsidRPr="0033770D">
        <w:rPr>
          <w:lang w:val="en-GB"/>
        </w:rPr>
        <w:t xml:space="preserve"> report by NHS Digital (2023) show</w:t>
      </w:r>
      <w:r w:rsidR="0033770D">
        <w:rPr>
          <w:lang w:val="en-GB"/>
        </w:rPr>
        <w:t>ed</w:t>
      </w:r>
      <w:r w:rsidR="0033770D" w:rsidRPr="0033770D">
        <w:rPr>
          <w:lang w:val="en-GB"/>
        </w:rPr>
        <w:t xml:space="preserve"> that 55</w:t>
      </w:r>
      <w:r w:rsidR="0033770D">
        <w:rPr>
          <w:lang w:val="en-GB"/>
        </w:rPr>
        <w:t xml:space="preserve">% </w:t>
      </w:r>
      <w:r w:rsidR="0033770D" w:rsidRPr="0033770D">
        <w:rPr>
          <w:lang w:val="en-GB"/>
        </w:rPr>
        <w:t>of outpatient visits in secondary care in the year 2022 were remote visits; a reduction in hospitalised cases by 15</w:t>
      </w:r>
      <w:r w:rsidR="0033770D">
        <w:rPr>
          <w:lang w:val="en-GB"/>
        </w:rPr>
        <w:t>%</w:t>
      </w:r>
      <w:r w:rsidR="0033770D" w:rsidRPr="0033770D">
        <w:rPr>
          <w:lang w:val="en-GB"/>
        </w:rPr>
        <w:t>-20</w:t>
      </w:r>
      <w:r w:rsidR="0033770D">
        <w:rPr>
          <w:lang w:val="en-GB"/>
        </w:rPr>
        <w:t xml:space="preserve">% </w:t>
      </w:r>
      <w:r w:rsidR="0033770D" w:rsidRPr="0033770D">
        <w:rPr>
          <w:lang w:val="en-GB"/>
        </w:rPr>
        <w:t>was achieved through telehealth monitoring of chronic diseases like diabetes and heart failure cases. Patient surveys showed that one out of every five users found remote consultation convenient, and remote monitoring device adoption rose by 37</w:t>
      </w:r>
      <w:r w:rsidR="0033770D">
        <w:rPr>
          <w:lang w:val="en-GB"/>
        </w:rPr>
        <w:t xml:space="preserve">% </w:t>
      </w:r>
      <w:r w:rsidR="0033770D" w:rsidRPr="0033770D">
        <w:rPr>
          <w:lang w:val="en-GB"/>
        </w:rPr>
        <w:t xml:space="preserve">between 2020 and 2022, which </w:t>
      </w:r>
      <w:r w:rsidR="0033770D">
        <w:rPr>
          <w:lang w:val="en-GB"/>
        </w:rPr>
        <w:t>indicates</w:t>
      </w:r>
      <w:r w:rsidR="0033770D" w:rsidRPr="0033770D">
        <w:rPr>
          <w:lang w:val="en-GB"/>
        </w:rPr>
        <w:t xml:space="preserve"> that remote monitoring devices are rapidly gaining a foothold in the care pathways.</w:t>
      </w:r>
      <w:r w:rsidR="0033770D">
        <w:rPr>
          <w:lang w:val="en-GB"/>
        </w:rPr>
        <w:t xml:space="preserve"> </w:t>
      </w:r>
      <w:r w:rsidR="00C17016">
        <w:rPr>
          <w:lang w:val="en-GB"/>
        </w:rPr>
        <w:t>However, t</w:t>
      </w:r>
      <w:r w:rsidR="00907BB0" w:rsidRPr="00907BB0">
        <w:rPr>
          <w:lang w:val="en-GB"/>
        </w:rPr>
        <w:t xml:space="preserve">his report critically analyses the application of telehealth in UK health and social care in terms of its effects on the workforce, service delivery, patients and communities to respond to </w:t>
      </w:r>
      <w:r w:rsidR="00A43FFA">
        <w:rPr>
          <w:lang w:val="en-GB"/>
        </w:rPr>
        <w:t>desired</w:t>
      </w:r>
      <w:r w:rsidR="00907BB0" w:rsidRPr="00907BB0">
        <w:rPr>
          <w:lang w:val="en-GB"/>
        </w:rPr>
        <w:t xml:space="preserve"> </w:t>
      </w:r>
      <w:r w:rsidR="00A43FFA" w:rsidRPr="00907BB0">
        <w:rPr>
          <w:lang w:val="en-GB"/>
        </w:rPr>
        <w:t>cultur</w:t>
      </w:r>
      <w:r w:rsidR="00907BB0" w:rsidRPr="00907BB0">
        <w:rPr>
          <w:lang w:val="en-GB"/>
        </w:rPr>
        <w:t xml:space="preserve">al </w:t>
      </w:r>
      <w:r w:rsidR="00A43FFA" w:rsidRPr="00907BB0">
        <w:rPr>
          <w:lang w:val="en-GB"/>
        </w:rPr>
        <w:t>results</w:t>
      </w:r>
      <w:r w:rsidR="00907BB0" w:rsidRPr="00907BB0">
        <w:rPr>
          <w:lang w:val="en-GB"/>
        </w:rPr>
        <w:t>.</w:t>
      </w:r>
      <w:r>
        <w:rPr>
          <w:lang w:val="en-GB"/>
        </w:rPr>
        <w:t xml:space="preserve"> </w:t>
      </w:r>
    </w:p>
    <w:p w14:paraId="4F8C1147" w14:textId="77777777" w:rsidR="00A43FFA" w:rsidRDefault="00A43FFA" w:rsidP="00295360">
      <w:pPr>
        <w:rPr>
          <w:lang w:val="en-GB"/>
        </w:rPr>
      </w:pPr>
    </w:p>
    <w:p w14:paraId="59969464" w14:textId="77777777" w:rsidR="00DB6C2E" w:rsidRDefault="00510198" w:rsidP="0018748B">
      <w:pPr>
        <w:pStyle w:val="Heading1"/>
        <w:rPr>
          <w:lang w:val="en-GB"/>
        </w:rPr>
      </w:pPr>
      <w:bookmarkStart w:id="1" w:name="_Toc221373398"/>
      <w:r w:rsidRPr="00DB6C2E">
        <w:rPr>
          <w:lang w:val="en-GB"/>
        </w:rPr>
        <w:t xml:space="preserve">Telehealth in UK Health </w:t>
      </w:r>
      <w:r>
        <w:rPr>
          <w:lang w:val="en-GB"/>
        </w:rPr>
        <w:t>and</w:t>
      </w:r>
      <w:r w:rsidRPr="00DB6C2E">
        <w:rPr>
          <w:lang w:val="en-GB"/>
        </w:rPr>
        <w:t xml:space="preserve"> Social Care</w:t>
      </w:r>
      <w:bookmarkEnd w:id="1"/>
    </w:p>
    <w:p w14:paraId="0EB142FC" w14:textId="4388E519" w:rsidR="00DB6C2E" w:rsidRDefault="00510198" w:rsidP="00295360">
      <w:pPr>
        <w:rPr>
          <w:lang w:val="en-GB"/>
        </w:rPr>
      </w:pPr>
      <w:r w:rsidRPr="00AE511F">
        <w:rPr>
          <w:lang w:val="en-GB"/>
        </w:rPr>
        <w:t>In the context of the UK health and social care, telehealth refers to digital provision of clinical services, including video and telephone consultation, online messaging and remote patient monitoring via digital devices capturing and transmitting health data to the clinician (NHS England, 2023). It is also applied to virtual wards and self-reports used to manage chronic conditions in non-traditional environments (Telehealth and Medicine Today, 2025). The NHS Long-Term Plan emphasises the growth of the digital tools used, providing patients with the ability to access health Information and consultations online alongside conventional care, and investing in interoperable Information Technology (IT) to make the process more efficient and safer (NHS Long-Term Plan, 2024). The COVID-19 pandemic expedited the migration to remote consulting nationwide, where it became the new normal in general practise and secondary care to maintain access during restrictions (OECD, 2025). Telehealth is another aspect of digital transformation that changes the course of care by incorporating technology into fundamental service provision, making it more accessible and creating new possibilities for making decisions based on data across health and social care systems.</w:t>
      </w:r>
    </w:p>
    <w:p w14:paraId="75C9D1DC" w14:textId="77777777" w:rsidR="00AE511F" w:rsidRDefault="00AE511F" w:rsidP="00295360">
      <w:pPr>
        <w:rPr>
          <w:lang w:val="en-GB"/>
        </w:rPr>
      </w:pPr>
    </w:p>
    <w:p w14:paraId="1A20BAAC" w14:textId="68021C8B" w:rsidR="0018748B" w:rsidRDefault="00510198" w:rsidP="0018748B">
      <w:pPr>
        <w:pStyle w:val="Heading1"/>
        <w:rPr>
          <w:lang w:val="en-GB"/>
        </w:rPr>
      </w:pPr>
      <w:bookmarkStart w:id="2" w:name="_Toc221373399"/>
      <w:r w:rsidRPr="0018748B">
        <w:rPr>
          <w:lang w:val="en-GB"/>
        </w:rPr>
        <w:t>Implementation of Telehealth Within Health and Social Care</w:t>
      </w:r>
      <w:bookmarkEnd w:id="2"/>
    </w:p>
    <w:p w14:paraId="1E83A9E6" w14:textId="2F22B19D" w:rsidR="00DB6C2E" w:rsidRDefault="00510198" w:rsidP="0018748B">
      <w:pPr>
        <w:pStyle w:val="Heading2"/>
        <w:rPr>
          <w:lang w:val="en-GB"/>
        </w:rPr>
      </w:pPr>
      <w:bookmarkStart w:id="3" w:name="_Toc221373400"/>
      <w:r w:rsidRPr="00A9557E">
        <w:rPr>
          <w:lang w:val="en-GB"/>
        </w:rPr>
        <w:t>Telehealth Impact on Workforce</w:t>
      </w:r>
      <w:bookmarkEnd w:id="3"/>
    </w:p>
    <w:p w14:paraId="2E2EBA28" w14:textId="47B11948" w:rsidR="00BD1B82" w:rsidRDefault="00510198" w:rsidP="00295360">
      <w:pPr>
        <w:rPr>
          <w:lang w:val="en-GB"/>
        </w:rPr>
      </w:pPr>
      <w:r w:rsidRPr="00BD1B82">
        <w:rPr>
          <w:lang w:val="en-GB"/>
        </w:rPr>
        <w:t>The UK health and social care has re-organised its workforce with telehealth through the involvement of both clinical and non-clinical personnel in digital consultations, remote triage and online case review (Greenhalgh et 2 al., 2022). The necessity to switch to new modalities of consultation made many clinicians adjust fast with little or no formal training; by early 2022, only 15</w:t>
      </w:r>
      <w:r>
        <w:rPr>
          <w:lang w:val="en-GB"/>
        </w:rPr>
        <w:t>%</w:t>
      </w:r>
      <w:r w:rsidRPr="00BD1B82">
        <w:rPr>
          <w:lang w:val="en-GB"/>
        </w:rPr>
        <w:t xml:space="preserve"> of the staff had undergone structured training in video or 17</w:t>
      </w:r>
      <w:r>
        <w:rPr>
          <w:lang w:val="en-GB"/>
        </w:rPr>
        <w:t xml:space="preserve">% </w:t>
      </w:r>
      <w:r w:rsidRPr="00BD1B82">
        <w:rPr>
          <w:lang w:val="en-GB"/>
        </w:rPr>
        <w:t xml:space="preserve">in telephone methods of consultation, resulting in competence and confidence variability (Birmingham Health Partners, 2024). </w:t>
      </w:r>
      <w:r>
        <w:rPr>
          <w:lang w:val="en-GB"/>
        </w:rPr>
        <w:t xml:space="preserve">However, </w:t>
      </w:r>
      <w:r w:rsidRPr="00BD1B82">
        <w:rPr>
          <w:lang w:val="en-GB"/>
        </w:rPr>
        <w:t xml:space="preserve">Eddison et al. (2022) </w:t>
      </w:r>
      <w:r>
        <w:rPr>
          <w:lang w:val="en-GB"/>
        </w:rPr>
        <w:t>argued</w:t>
      </w:r>
      <w:r w:rsidRPr="00BD1B82">
        <w:rPr>
          <w:lang w:val="en-GB"/>
        </w:rPr>
        <w:t xml:space="preserve"> that telehealth can exacerbate inequities because up to 7.9 million adults in the UK have limited digital skills, making them vulnerable to digital exclusion, which decreases the chance of attending an appointment. </w:t>
      </w:r>
      <w:r w:rsidR="00C26837">
        <w:rPr>
          <w:lang w:val="en-GB"/>
        </w:rPr>
        <w:t xml:space="preserve">Likewise, </w:t>
      </w:r>
      <w:r w:rsidRPr="00BD1B82">
        <w:rPr>
          <w:lang w:val="en-GB"/>
        </w:rPr>
        <w:t xml:space="preserve">Beheshti et al. (2022) </w:t>
      </w:r>
      <w:r w:rsidR="00C26837">
        <w:rPr>
          <w:lang w:val="en-GB"/>
        </w:rPr>
        <w:t>criticised</w:t>
      </w:r>
      <w:r w:rsidRPr="00BD1B82">
        <w:rPr>
          <w:lang w:val="en-GB"/>
        </w:rPr>
        <w:t xml:space="preserve"> that telehealth </w:t>
      </w:r>
      <w:r w:rsidR="00546ADA">
        <w:rPr>
          <w:lang w:val="en-GB"/>
        </w:rPr>
        <w:t>can</w:t>
      </w:r>
      <w:r w:rsidRPr="00BD1B82">
        <w:rPr>
          <w:lang w:val="en-GB"/>
        </w:rPr>
        <w:t xml:space="preserve"> cause a delay in the diagnosis of complex cases, because without physical examinations, it is impossible to make an accurate clinical assessment and arrange the course of treatment. On the other hand, Sankaranarayanan et al. (2024) </w:t>
      </w:r>
      <w:r w:rsidR="00C26837">
        <w:rPr>
          <w:lang w:val="en-GB"/>
        </w:rPr>
        <w:t>suggested</w:t>
      </w:r>
      <w:r w:rsidRPr="00BD1B82">
        <w:rPr>
          <w:lang w:val="en-GB"/>
        </w:rPr>
        <w:t xml:space="preserve"> that telehealth as 22.7</w:t>
      </w:r>
      <w:r w:rsidR="001D66A6">
        <w:rPr>
          <w:lang w:val="en-GB"/>
        </w:rPr>
        <w:t xml:space="preserve">% </w:t>
      </w:r>
      <w:r w:rsidRPr="00BD1B82">
        <w:rPr>
          <w:lang w:val="en-GB"/>
        </w:rPr>
        <w:t>less emergency admissions in the community care programme of Liverpool, which enhanced performance.</w:t>
      </w:r>
    </w:p>
    <w:p w14:paraId="18322538" w14:textId="4DE664B3" w:rsidR="0018748B" w:rsidRDefault="00510198" w:rsidP="00295360">
      <w:pPr>
        <w:rPr>
          <w:lang w:val="en-GB"/>
        </w:rPr>
      </w:pPr>
      <w:r w:rsidRPr="00CC3D0C">
        <w:rPr>
          <w:lang w:val="en-GB"/>
        </w:rPr>
        <w:t xml:space="preserve">Although it improves efficiency and offers flexible employment opportunities, including less travel time on behalf of clinicians and improved work-life balance, the main obstacle is the workforce pressure: the Digital Health report (2025) </w:t>
      </w:r>
      <w:r>
        <w:rPr>
          <w:lang w:val="en-GB"/>
        </w:rPr>
        <w:t>claimed</w:t>
      </w:r>
      <w:r w:rsidRPr="00CC3D0C">
        <w:rPr>
          <w:lang w:val="en-GB"/>
        </w:rPr>
        <w:t xml:space="preserve"> that 96</w:t>
      </w:r>
      <w:r>
        <w:rPr>
          <w:lang w:val="en-GB"/>
        </w:rPr>
        <w:t xml:space="preserve">% </w:t>
      </w:r>
      <w:r w:rsidRPr="00CC3D0C">
        <w:rPr>
          <w:lang w:val="en-GB"/>
        </w:rPr>
        <w:t xml:space="preserve">of healthcare professionals claimed that staffing pressure and the lack of capacity impede the implementation of digital programmes. </w:t>
      </w:r>
      <w:r>
        <w:rPr>
          <w:lang w:val="en-GB"/>
        </w:rPr>
        <w:t xml:space="preserve">Similarly, the findings of </w:t>
      </w:r>
      <w:r w:rsidRPr="00CC3D0C">
        <w:rPr>
          <w:lang w:val="en-GB"/>
        </w:rPr>
        <w:t xml:space="preserve">NHS England (2023) </w:t>
      </w:r>
      <w:r>
        <w:rPr>
          <w:lang w:val="en-GB"/>
        </w:rPr>
        <w:t>critiqued that</w:t>
      </w:r>
      <w:r w:rsidRPr="00CC3D0C">
        <w:rPr>
          <w:lang w:val="en-GB"/>
        </w:rPr>
        <w:t xml:space="preserve"> such difficulties as a higher digital workload with remote consultations creating more follow-up work, staff reluctance to adopt technology, and the threat of burnout when clinical and digital implementation needs are combined with insufficient support and unsecured training time. </w:t>
      </w:r>
      <w:r>
        <w:rPr>
          <w:lang w:val="en-GB"/>
        </w:rPr>
        <w:t xml:space="preserve">Conversely, </w:t>
      </w:r>
      <w:r w:rsidRPr="00CC3D0C">
        <w:rPr>
          <w:lang w:val="en-GB"/>
        </w:rPr>
        <w:t xml:space="preserve">Sharma et al. (2022) </w:t>
      </w:r>
      <w:r>
        <w:rPr>
          <w:lang w:val="en-GB"/>
        </w:rPr>
        <w:t>indicated</w:t>
      </w:r>
      <w:r w:rsidRPr="00CC3D0C">
        <w:rPr>
          <w:lang w:val="en-GB"/>
        </w:rPr>
        <w:t xml:space="preserve"> that telehealth saved a considerable amount of waiting time during psychiatric visits and enhanced access to mental health care, and minimised patient wait times in the care pathway. Therefore, workforce planning and systematic development of digital skills are necessary to achieve the benefits of telehealth.</w:t>
      </w:r>
    </w:p>
    <w:p w14:paraId="0134CB6C" w14:textId="77777777" w:rsidR="00CC3D0C" w:rsidRDefault="00CC3D0C" w:rsidP="00295360">
      <w:pPr>
        <w:rPr>
          <w:lang w:val="en-GB"/>
        </w:rPr>
      </w:pPr>
    </w:p>
    <w:p w14:paraId="3556D649" w14:textId="0537A5D0" w:rsidR="0018748B" w:rsidRDefault="00510198" w:rsidP="0018748B">
      <w:pPr>
        <w:pStyle w:val="Heading2"/>
        <w:rPr>
          <w:lang w:val="en-GB"/>
        </w:rPr>
      </w:pPr>
      <w:bookmarkStart w:id="4" w:name="_Toc221373401"/>
      <w:r w:rsidRPr="0018748B">
        <w:rPr>
          <w:lang w:val="en-GB"/>
        </w:rPr>
        <w:t>Telehealth Impact on Service Delivery</w:t>
      </w:r>
      <w:bookmarkEnd w:id="4"/>
    </w:p>
    <w:p w14:paraId="2889601E" w14:textId="61183C8F" w:rsidR="0038252C" w:rsidRDefault="00510198" w:rsidP="0018748B">
      <w:pPr>
        <w:rPr>
          <w:lang w:val="en-GB"/>
        </w:rPr>
      </w:pPr>
      <w:r w:rsidRPr="0038252C">
        <w:rPr>
          <w:lang w:val="en-GB"/>
        </w:rPr>
        <w:t>Telehealth has radically reshaped the service provision channels in health and social care across the UK, and remote consultations, along with digital triage, have become an essential part of daily practise (OECD, 2025). The recent progress in conducting GP appointments remotely in England in 2023</w:t>
      </w:r>
      <w:r w:rsidR="00D611D7">
        <w:rPr>
          <w:lang w:val="en-GB"/>
        </w:rPr>
        <w:t>, above</w:t>
      </w:r>
      <w:r w:rsidRPr="0038252C">
        <w:rPr>
          <w:lang w:val="en-GB"/>
        </w:rPr>
        <w:t xml:space="preserve"> 45</w:t>
      </w:r>
      <w:r w:rsidR="00D611D7">
        <w:rPr>
          <w:lang w:val="en-GB"/>
        </w:rPr>
        <w:t>%</w:t>
      </w:r>
      <w:r w:rsidRPr="0038252C">
        <w:rPr>
          <w:lang w:val="en-GB"/>
        </w:rPr>
        <w:t xml:space="preserve">, exemplifies how the traditional face-to-face models were substituted (NHS England, 2023). Such change has enhanced accessibility to a larger number of patients, including those who have mobility challenges or live in underserved regions, and has enhanced continuity of care through allowing repeat reviews without the need to physically attend (Ezeamii et al., 2024). </w:t>
      </w:r>
      <w:r>
        <w:rPr>
          <w:lang w:val="en-GB"/>
        </w:rPr>
        <w:t xml:space="preserve">However, </w:t>
      </w:r>
      <w:r w:rsidRPr="0038252C">
        <w:rPr>
          <w:lang w:val="en-GB"/>
        </w:rPr>
        <w:t xml:space="preserve">Lu et al. (2022) </w:t>
      </w:r>
      <w:r>
        <w:rPr>
          <w:lang w:val="en-GB"/>
        </w:rPr>
        <w:t>argued</w:t>
      </w:r>
      <w:r w:rsidRPr="0038252C">
        <w:rPr>
          <w:lang w:val="en-GB"/>
        </w:rPr>
        <w:t xml:space="preserve"> that telehealth does not always identify the most important clinical manifestations because the lack of physical examination may slow down the effective identification of the disease and its treatment process. </w:t>
      </w:r>
      <w:r w:rsidR="000C59ED">
        <w:rPr>
          <w:lang w:val="en-GB"/>
        </w:rPr>
        <w:t xml:space="preserve">In contrast, </w:t>
      </w:r>
      <w:r w:rsidRPr="0038252C">
        <w:rPr>
          <w:lang w:val="en-GB"/>
        </w:rPr>
        <w:t xml:space="preserve">Evans (2025) </w:t>
      </w:r>
      <w:r>
        <w:rPr>
          <w:lang w:val="en-GB"/>
        </w:rPr>
        <w:t>proposed</w:t>
      </w:r>
      <w:r w:rsidRPr="0038252C">
        <w:rPr>
          <w:lang w:val="en-GB"/>
        </w:rPr>
        <w:t xml:space="preserve"> that remote triage has helped in the optimisation of the system to decrease the unnecessary demand for in-person care and prioritise urgent care. As a result, services record shorter waiting times in the initial assessment and, in some cases, the urgent care pathways have been responsive 20-30% faster after the adoption of telehealth (NHS </w:t>
      </w:r>
      <w:r w:rsidR="008F0ECD">
        <w:rPr>
          <w:lang w:val="en-GB"/>
        </w:rPr>
        <w:t>England</w:t>
      </w:r>
      <w:r w:rsidRPr="0038252C">
        <w:rPr>
          <w:lang w:val="en-GB"/>
        </w:rPr>
        <w:t>, 202</w:t>
      </w:r>
      <w:r w:rsidR="008F0ECD">
        <w:rPr>
          <w:lang w:val="en-GB"/>
        </w:rPr>
        <w:t>3</w:t>
      </w:r>
      <w:r w:rsidRPr="0038252C">
        <w:rPr>
          <w:lang w:val="en-GB"/>
        </w:rPr>
        <w:t>).</w:t>
      </w:r>
    </w:p>
    <w:p w14:paraId="58696D1A" w14:textId="503BDC28" w:rsidR="00E20637" w:rsidRDefault="00510198" w:rsidP="0018748B">
      <w:pPr>
        <w:rPr>
          <w:lang w:val="en-GB"/>
        </w:rPr>
      </w:pPr>
      <w:r w:rsidRPr="00CC62D7">
        <w:rPr>
          <w:lang w:val="en-GB"/>
        </w:rPr>
        <w:t xml:space="preserve">Moreover, Digital Health (2024) </w:t>
      </w:r>
      <w:r>
        <w:rPr>
          <w:lang w:val="en-GB"/>
        </w:rPr>
        <w:t>highlighted</w:t>
      </w:r>
      <w:r w:rsidRPr="00CC62D7">
        <w:rPr>
          <w:lang w:val="en-GB"/>
        </w:rPr>
        <w:t xml:space="preserve"> that telehealth enhances access to healthcare to rural and vulnerable populations, which promotes previous interventions and generally improves patient experience. However, </w:t>
      </w:r>
      <w:r>
        <w:rPr>
          <w:lang w:val="en-GB"/>
        </w:rPr>
        <w:t xml:space="preserve">the report of </w:t>
      </w:r>
      <w:r w:rsidRPr="00CC62D7">
        <w:rPr>
          <w:lang w:val="en-GB"/>
        </w:rPr>
        <w:t xml:space="preserve">Restrepo et al. (2024) also </w:t>
      </w:r>
      <w:r>
        <w:rPr>
          <w:lang w:val="en-GB"/>
        </w:rPr>
        <w:t>criticised</w:t>
      </w:r>
      <w:r w:rsidRPr="00CC62D7">
        <w:rPr>
          <w:lang w:val="en-GB"/>
        </w:rPr>
        <w:t xml:space="preserve"> that in cases where clinicians cannot obtain non-verbal communication or physical examinations, diagnostic accuracy may be impaired, which is likely to lead to missed diagnoses in complicated cases. </w:t>
      </w:r>
      <w:r>
        <w:rPr>
          <w:lang w:val="en-GB"/>
        </w:rPr>
        <w:t>Correspondingly,</w:t>
      </w:r>
      <w:r w:rsidRPr="00CC62D7">
        <w:rPr>
          <w:lang w:val="en-GB"/>
        </w:rPr>
        <w:t xml:space="preserve"> </w:t>
      </w:r>
      <w:r>
        <w:rPr>
          <w:lang w:val="en-GB"/>
        </w:rPr>
        <w:t>the demonstration of</w:t>
      </w:r>
      <w:r w:rsidRPr="00CC62D7">
        <w:rPr>
          <w:lang w:val="en-GB"/>
        </w:rPr>
        <w:t xml:space="preserve"> Birmingham Health Partners (2024) </w:t>
      </w:r>
      <w:r>
        <w:rPr>
          <w:lang w:val="en-GB"/>
        </w:rPr>
        <w:t xml:space="preserve">claimed that </w:t>
      </w:r>
      <w:r w:rsidRPr="00CC62D7">
        <w:rPr>
          <w:lang w:val="en-GB"/>
        </w:rPr>
        <w:t>technical issues, including the failure to connect the video, are still frequent and disrupt the consultations, decreasing patient satisfaction and causing rescheduling. These issues highlight the idea that even when telehealth contributes to efficiency and capacity, it should be implemented with a great deal of caution and coupled with safeguards and blended models to ensure safety and quality of care.</w:t>
      </w:r>
    </w:p>
    <w:p w14:paraId="2E4E92B1" w14:textId="77777777" w:rsidR="00CC62D7" w:rsidRDefault="00CC62D7" w:rsidP="0018748B">
      <w:pPr>
        <w:rPr>
          <w:lang w:val="en-GB"/>
        </w:rPr>
      </w:pPr>
    </w:p>
    <w:p w14:paraId="1A62770D" w14:textId="749F9B2C" w:rsidR="009265F8" w:rsidRDefault="00510198" w:rsidP="009265F8">
      <w:pPr>
        <w:pStyle w:val="Heading2"/>
        <w:rPr>
          <w:lang w:val="en-GB"/>
        </w:rPr>
      </w:pPr>
      <w:bookmarkStart w:id="5" w:name="_Toc221373402"/>
      <w:r w:rsidRPr="00E20637">
        <w:rPr>
          <w:lang w:val="en-GB"/>
        </w:rPr>
        <w:t>Telehealth Impact on Patient or Service User</w:t>
      </w:r>
      <w:bookmarkEnd w:id="5"/>
    </w:p>
    <w:p w14:paraId="08786D87" w14:textId="4896D320" w:rsidR="009265F8" w:rsidRDefault="00510198" w:rsidP="0018748B">
      <w:pPr>
        <w:rPr>
          <w:lang w:val="en-GB"/>
        </w:rPr>
      </w:pPr>
      <w:r w:rsidRPr="009265F8">
        <w:rPr>
          <w:lang w:val="en-GB"/>
        </w:rPr>
        <w:t xml:space="preserve">Telehealth has the potential to improve the patient experience and satisfaction through its non-prohibitively expensive ability to reduce the burden of travel and allow greater autonomy in managing care. In the </w:t>
      </w:r>
      <w:r>
        <w:rPr>
          <w:lang w:val="en-GB"/>
        </w:rPr>
        <w:t>UK</w:t>
      </w:r>
      <w:r w:rsidRPr="009265F8">
        <w:rPr>
          <w:lang w:val="en-GB"/>
        </w:rPr>
        <w:t xml:space="preserve">, systematic reviews have recorded high levels of patient satisfaction with a significant proportion of patients rating telehealth as positive because of its convenience and continuity of care (73–100% satisfaction) throughout the pandemic, and many indicated their desire to use the modality again (often scoring 9–10/10) (OECD, 2025). However, Sota et al. (2025) </w:t>
      </w:r>
      <w:r>
        <w:rPr>
          <w:lang w:val="en-GB"/>
        </w:rPr>
        <w:t>critiqued</w:t>
      </w:r>
      <w:r w:rsidRPr="009265F8">
        <w:rPr>
          <w:lang w:val="en-GB"/>
        </w:rPr>
        <w:t xml:space="preserve"> that telehealth limits the ability of clinicians to observe non-verbal communication and sometimes makes delayed or partial assessments when working with patients with complex needs. Similarly, Telehealth and Medicine Today (2021) </w:t>
      </w:r>
      <w:r>
        <w:rPr>
          <w:lang w:val="en-GB"/>
        </w:rPr>
        <w:t>claimed</w:t>
      </w:r>
      <w:r w:rsidRPr="009265F8">
        <w:rPr>
          <w:lang w:val="en-GB"/>
        </w:rPr>
        <w:t xml:space="preserve"> that telehealth tends to inadequately build rapport and the trust that exists between a physician and a patient, which necessitates the need to establish a greater quality of relationalness via in-person interaction. Therefore, although telehealth can deliver identifiable benefits, it cannot be fully used to replace traditional face-to-face care.</w:t>
      </w:r>
      <w:r>
        <w:rPr>
          <w:lang w:val="en-GB"/>
        </w:rPr>
        <w:t xml:space="preserve"> </w:t>
      </w:r>
    </w:p>
    <w:p w14:paraId="59E758D4" w14:textId="1BABE8FA" w:rsidR="001524F3" w:rsidRDefault="00510198" w:rsidP="0018748B">
      <w:pPr>
        <w:rPr>
          <w:lang w:val="en-GB"/>
        </w:rPr>
      </w:pPr>
      <w:r w:rsidRPr="001524F3">
        <w:rPr>
          <w:lang w:val="en-GB"/>
        </w:rPr>
        <w:t xml:space="preserve">In addition, telehealth overcomes logistical obstacles: Evans (2025) evidence has indicated that teleconsultation programmes have provided millions of hours of waiting-time and travel savings, and significant changes in travel expenses and absenteeism in jobs among patients. The telehealth strategy also enhanced compliance with appointments, where the </w:t>
      </w:r>
      <w:r w:rsidR="005A4575">
        <w:rPr>
          <w:lang w:val="en-GB"/>
        </w:rPr>
        <w:t>ratio</w:t>
      </w:r>
      <w:r w:rsidRPr="001524F3">
        <w:rPr>
          <w:lang w:val="en-GB"/>
        </w:rPr>
        <w:t xml:space="preserve"> of patients who attended remote consultations in a timely manner increased (Beheshti et al., 2022). However, the accessibility issues and inclusion problems remain. Greenhalgh et al. (2022) </w:t>
      </w:r>
      <w:r>
        <w:rPr>
          <w:lang w:val="en-GB"/>
        </w:rPr>
        <w:t>argued</w:t>
      </w:r>
      <w:r w:rsidRPr="001524F3">
        <w:rPr>
          <w:lang w:val="en-GB"/>
        </w:rPr>
        <w:t xml:space="preserve"> that older adults and socio-economically disadvantaged people continue to experience digital exclusion due to inadequate digital literacy and access to technologies, which may exacerbate the inequalities in healthcare access. Equally, Ezeamii et al. (2024) </w:t>
      </w:r>
      <w:r>
        <w:rPr>
          <w:lang w:val="en-GB"/>
        </w:rPr>
        <w:t>criticised</w:t>
      </w:r>
      <w:r w:rsidRPr="001524F3">
        <w:rPr>
          <w:lang w:val="en-GB"/>
        </w:rPr>
        <w:t xml:space="preserve"> that vulnerable patients in the </w:t>
      </w:r>
      <w:r w:rsidR="000379EC">
        <w:rPr>
          <w:lang w:val="en-GB"/>
        </w:rPr>
        <w:t>U</w:t>
      </w:r>
      <w:r w:rsidR="00D43A1B">
        <w:rPr>
          <w:lang w:val="en-GB"/>
        </w:rPr>
        <w:t>K</w:t>
      </w:r>
      <w:r w:rsidRPr="001524F3">
        <w:rPr>
          <w:lang w:val="en-GB"/>
        </w:rPr>
        <w:t xml:space="preserve"> could also feel uncomfortable with the technology and have safety concerns, which often overlap with privacy concerns; patients are often unsure about the privacy of their data in teleconsultations and electronic systems, and this </w:t>
      </w:r>
      <w:r w:rsidR="000379EC">
        <w:rPr>
          <w:lang w:val="en-GB"/>
        </w:rPr>
        <w:t>can</w:t>
      </w:r>
      <w:r w:rsidRPr="001524F3">
        <w:rPr>
          <w:lang w:val="en-GB"/>
        </w:rPr>
        <w:t xml:space="preserve"> undermine trust and adoption. Therefore, these diverse results demonstrate the worth of telehealth and emphasise the necessity of digital inclusion programmes and effective data-protection processes.</w:t>
      </w:r>
    </w:p>
    <w:p w14:paraId="0192A581" w14:textId="059E17A9" w:rsidR="00E20637" w:rsidRDefault="00E20637" w:rsidP="0018748B">
      <w:pPr>
        <w:rPr>
          <w:lang w:val="en-GB"/>
        </w:rPr>
      </w:pPr>
    </w:p>
    <w:p w14:paraId="1CFE5463" w14:textId="70BFF874" w:rsidR="00E20637" w:rsidRPr="00E20637" w:rsidRDefault="00510198" w:rsidP="00E20637">
      <w:pPr>
        <w:pStyle w:val="Heading2"/>
      </w:pPr>
      <w:bookmarkStart w:id="6" w:name="_Toc221373403"/>
      <w:r w:rsidRPr="00E20637">
        <w:rPr>
          <w:lang w:val="en-GB"/>
        </w:rPr>
        <w:t>Telehealth Impact on Community</w:t>
      </w:r>
      <w:bookmarkEnd w:id="6"/>
    </w:p>
    <w:p w14:paraId="7856B1F1" w14:textId="63E3C1E0" w:rsidR="00D24ECA" w:rsidRDefault="00510198" w:rsidP="0018748B">
      <w:pPr>
        <w:rPr>
          <w:lang w:val="en-GB"/>
        </w:rPr>
      </w:pPr>
      <w:r w:rsidRPr="00D24ECA">
        <w:rPr>
          <w:lang w:val="en-GB"/>
        </w:rPr>
        <w:t xml:space="preserve">Telehealth has a multifaceted impact on communities all over the United Kingdom, especially in comparison with rural and urban settings. Telehealth can add value to geographically remote communities, where historical obstacles to healthcare delivery are geographic isolation and transportation costs, by increasing the accessibility of services and reducing the need to travel to see a specialist, thus allowing communities to obtain specialists who might not be locally available and continue to receive care over long distances (Mental Health Reform, 2023). However, Syamjith et al. (2025) </w:t>
      </w:r>
      <w:r>
        <w:rPr>
          <w:lang w:val="en-GB"/>
        </w:rPr>
        <w:t>critiqued</w:t>
      </w:r>
      <w:r w:rsidRPr="00D24ECA">
        <w:rPr>
          <w:lang w:val="en-GB"/>
        </w:rPr>
        <w:t xml:space="preserve"> that in rural areas, key infrastructural challenges such as slower Internet speeds, higher prices, and low digital skills can be a barrier to effective telehealth, and in this case, rural communities face increased difficulties with the digital divide. </w:t>
      </w:r>
      <w:r>
        <w:rPr>
          <w:lang w:val="en-GB"/>
        </w:rPr>
        <w:t>Similarly</w:t>
      </w:r>
      <w:r w:rsidRPr="00D24ECA">
        <w:rPr>
          <w:lang w:val="en-GB"/>
        </w:rPr>
        <w:t xml:space="preserve">, the </w:t>
      </w:r>
      <w:r>
        <w:rPr>
          <w:lang w:val="en-GB"/>
        </w:rPr>
        <w:t>study</w:t>
      </w:r>
      <w:r w:rsidRPr="00D24ECA">
        <w:rPr>
          <w:lang w:val="en-GB"/>
        </w:rPr>
        <w:t xml:space="preserve"> by Lu et al. (2022) </w:t>
      </w:r>
      <w:r>
        <w:rPr>
          <w:lang w:val="en-GB"/>
        </w:rPr>
        <w:t>argued</w:t>
      </w:r>
      <w:r w:rsidRPr="00D24ECA">
        <w:rPr>
          <w:lang w:val="en-GB"/>
        </w:rPr>
        <w:t xml:space="preserve"> that the presence of family members and carers is likely to have a higher role in supplementing remote consultations, enhancing informal caregiving networks, but potentially leading to more burdens in the case of insufficient support resources. Therefore, telehealth </w:t>
      </w:r>
      <w:r w:rsidR="00C5460B">
        <w:rPr>
          <w:lang w:val="en-GB"/>
        </w:rPr>
        <w:t>provides</w:t>
      </w:r>
      <w:r w:rsidRPr="00D24ECA">
        <w:rPr>
          <w:lang w:val="en-GB"/>
        </w:rPr>
        <w:t xml:space="preserve"> advantages to populations but requires infrastructural and supportive investments to achieve the full potential of this technology.</w:t>
      </w:r>
    </w:p>
    <w:p w14:paraId="50BC1D78" w14:textId="734D2F99" w:rsidR="00E20637" w:rsidRDefault="00510198" w:rsidP="0018748B">
      <w:pPr>
        <w:rPr>
          <w:lang w:val="en-GB"/>
        </w:rPr>
      </w:pPr>
      <w:r>
        <w:rPr>
          <w:lang w:val="en-GB"/>
        </w:rPr>
        <w:t xml:space="preserve">Moreover, </w:t>
      </w:r>
      <w:r w:rsidR="00C5460B" w:rsidRPr="00301AAA">
        <w:rPr>
          <w:lang w:val="en-GB"/>
        </w:rPr>
        <w:t>the</w:t>
      </w:r>
      <w:r w:rsidR="00301AAA" w:rsidRPr="00301AAA">
        <w:rPr>
          <w:lang w:val="en-GB"/>
        </w:rPr>
        <w:t xml:space="preserve"> use of telehealth is significantly greater in urban areas due to the extensive broadband access and digital literacy, where 68</w:t>
      </w:r>
      <w:r w:rsidR="00301AAA">
        <w:rPr>
          <w:lang w:val="en-GB"/>
        </w:rPr>
        <w:t>%</w:t>
      </w:r>
      <w:r w:rsidR="00301AAA" w:rsidRPr="00301AAA">
        <w:rPr>
          <w:lang w:val="en-GB"/>
        </w:rPr>
        <w:t xml:space="preserve"> available patients report having used video consultations on a regular basis</w:t>
      </w:r>
      <w:r w:rsidR="0025526F">
        <w:rPr>
          <w:lang w:val="en-GB"/>
        </w:rPr>
        <w:t>, as stated</w:t>
      </w:r>
      <w:r w:rsidR="00301AAA" w:rsidRPr="00301AAA">
        <w:rPr>
          <w:lang w:val="en-GB"/>
        </w:rPr>
        <w:t xml:space="preserve"> (NHS England,</w:t>
      </w:r>
      <w:r w:rsidR="00301AAA">
        <w:rPr>
          <w:lang w:val="en-GB"/>
        </w:rPr>
        <w:t xml:space="preserve"> </w:t>
      </w:r>
      <w:r w:rsidR="00301AAA" w:rsidRPr="00301AAA">
        <w:rPr>
          <w:lang w:val="en-GB"/>
        </w:rPr>
        <w:t xml:space="preserve">2023). </w:t>
      </w:r>
      <w:r w:rsidR="00301AAA">
        <w:rPr>
          <w:lang w:val="en-GB"/>
        </w:rPr>
        <w:t xml:space="preserve">The research of </w:t>
      </w:r>
      <w:r w:rsidR="00301AAA" w:rsidRPr="00301AAA">
        <w:rPr>
          <w:lang w:val="en-GB"/>
        </w:rPr>
        <w:t>Restrepo (2024)</w:t>
      </w:r>
      <w:r w:rsidR="00301AAA">
        <w:rPr>
          <w:lang w:val="en-GB"/>
        </w:rPr>
        <w:t xml:space="preserve"> suggested that </w:t>
      </w:r>
      <w:r w:rsidR="00301AAA" w:rsidRPr="00301AAA">
        <w:rPr>
          <w:lang w:val="en-GB"/>
        </w:rPr>
        <w:t xml:space="preserve">urban telehealth users stated that the specialist referral process would be faster and shorter in line, thus enhancing the overall efficiency of patient care. </w:t>
      </w:r>
      <w:r w:rsidR="00C5460B">
        <w:rPr>
          <w:lang w:val="en-GB"/>
        </w:rPr>
        <w:t>However</w:t>
      </w:r>
      <w:r w:rsidR="00301AAA" w:rsidRPr="00301AAA">
        <w:rPr>
          <w:lang w:val="en-GB"/>
        </w:rPr>
        <w:t xml:space="preserve">, Birmingham Health Partners (2024) </w:t>
      </w:r>
      <w:r w:rsidR="00C5460B">
        <w:rPr>
          <w:lang w:val="en-GB"/>
        </w:rPr>
        <w:t>claimed</w:t>
      </w:r>
      <w:r w:rsidR="00301AAA" w:rsidRPr="00301AAA">
        <w:rPr>
          <w:lang w:val="en-GB"/>
        </w:rPr>
        <w:t xml:space="preserve"> that an increase in demand can foster system congestion, shorter consultation times, and lower quality of patient-clinician interactions, thus showing that potential efficiency gains in urban areas can be counterbalanced by the strain on the services and disparities in the experience of care. </w:t>
      </w:r>
      <w:r w:rsidR="00C5460B">
        <w:rPr>
          <w:lang w:val="en-GB"/>
        </w:rPr>
        <w:t xml:space="preserve">Likewise, </w:t>
      </w:r>
      <w:r w:rsidR="00301AAA" w:rsidRPr="00301AAA">
        <w:rPr>
          <w:lang w:val="en-GB"/>
        </w:rPr>
        <w:t xml:space="preserve">Sharma et al. (2022) </w:t>
      </w:r>
      <w:r w:rsidR="00C5460B">
        <w:rPr>
          <w:lang w:val="en-GB"/>
        </w:rPr>
        <w:t>criticised</w:t>
      </w:r>
      <w:r w:rsidR="00301AAA" w:rsidRPr="00301AAA">
        <w:rPr>
          <w:lang w:val="en-GB"/>
        </w:rPr>
        <w:t xml:space="preserve"> that telehealth has its own implications on the health of the population as it allows a larger group to engage in preventive health activities and reach more people faster during population health, albeit at the expense of marginalising the digitally disadvantaged population. The community co-production, where local users actively participate in the process of service design, is crucial to increasing relevance and uptake, </w:t>
      </w:r>
      <w:r w:rsidR="00C5460B">
        <w:rPr>
          <w:lang w:val="en-GB"/>
        </w:rPr>
        <w:t>ensuring</w:t>
      </w:r>
      <w:r w:rsidR="00301AAA" w:rsidRPr="00301AAA">
        <w:rPr>
          <w:lang w:val="en-GB"/>
        </w:rPr>
        <w:t xml:space="preserve"> that telehealth solutions are based on lived realities and not imposed technology.</w:t>
      </w:r>
    </w:p>
    <w:p w14:paraId="69179FAF" w14:textId="77777777" w:rsidR="00C070F9" w:rsidRDefault="00C070F9" w:rsidP="0018748B">
      <w:pPr>
        <w:rPr>
          <w:lang w:val="en-GB"/>
        </w:rPr>
      </w:pPr>
    </w:p>
    <w:p w14:paraId="1511D8B4" w14:textId="69FD31D6" w:rsidR="008B25DA" w:rsidRDefault="00510198" w:rsidP="008B25DA">
      <w:pPr>
        <w:pStyle w:val="Heading1"/>
        <w:rPr>
          <w:lang w:val="en-GB"/>
        </w:rPr>
      </w:pPr>
      <w:bookmarkStart w:id="7" w:name="_Toc221373404"/>
      <w:r>
        <w:rPr>
          <w:lang w:val="en-GB"/>
        </w:rPr>
        <w:t>Conclusion</w:t>
      </w:r>
      <w:bookmarkEnd w:id="7"/>
    </w:p>
    <w:p w14:paraId="316DCE76" w14:textId="0AF05831" w:rsidR="003053D8" w:rsidRDefault="00510198" w:rsidP="0018748B">
      <w:pPr>
        <w:rPr>
          <w:lang w:val="en-GB"/>
        </w:rPr>
      </w:pPr>
      <w:r>
        <w:rPr>
          <w:lang w:val="en-GB"/>
        </w:rPr>
        <w:t>In conclusion</w:t>
      </w:r>
      <w:r w:rsidR="00670569" w:rsidRPr="00670569">
        <w:rPr>
          <w:lang w:val="en-GB"/>
        </w:rPr>
        <w:t>, telehealth</w:t>
      </w:r>
      <w:r w:rsidR="00670569">
        <w:rPr>
          <w:lang w:val="en-GB"/>
        </w:rPr>
        <w:t xml:space="preserve"> </w:t>
      </w:r>
      <w:r w:rsidR="00670569" w:rsidRPr="00670569">
        <w:rPr>
          <w:lang w:val="en-GB"/>
        </w:rPr>
        <w:t xml:space="preserve">in the </w:t>
      </w:r>
      <w:r w:rsidR="00670569">
        <w:rPr>
          <w:lang w:val="en-GB"/>
        </w:rPr>
        <w:t>UK</w:t>
      </w:r>
      <w:r w:rsidR="00670569" w:rsidRPr="00670569">
        <w:rPr>
          <w:lang w:val="en-GB"/>
        </w:rPr>
        <w:t xml:space="preserve"> has proved to revolutionise health and social care through providing accessibility, efficiency, and autonomy to patients. The evidence </w:t>
      </w:r>
      <w:r w:rsidR="00670569">
        <w:rPr>
          <w:lang w:val="en-GB"/>
        </w:rPr>
        <w:t>concerning</w:t>
      </w:r>
      <w:r w:rsidR="00670569" w:rsidRPr="00670569">
        <w:rPr>
          <w:lang w:val="en-GB"/>
        </w:rPr>
        <w:t xml:space="preserve"> 2023 </w:t>
      </w:r>
      <w:r w:rsidR="00670569">
        <w:rPr>
          <w:lang w:val="en-GB"/>
        </w:rPr>
        <w:t>has significantly</w:t>
      </w:r>
      <w:r w:rsidR="00670569" w:rsidRPr="00670569">
        <w:rPr>
          <w:lang w:val="en-GB"/>
        </w:rPr>
        <w:t xml:space="preserve"> estimated that about 45% of general practitioner visits were remote, </w:t>
      </w:r>
      <w:r w:rsidR="00670569">
        <w:rPr>
          <w:lang w:val="en-GB"/>
        </w:rPr>
        <w:t>result</w:t>
      </w:r>
      <w:r w:rsidR="00670569" w:rsidRPr="00670569">
        <w:rPr>
          <w:lang w:val="en-GB"/>
        </w:rPr>
        <w:t xml:space="preserve">ing in the system pressures being alleviated and continuity of care being improved. Digital consultation competencies have been introduced into workforce roles, and patients are highly satisfied, especially with the ease of access and minimisation of the impact on daily life. </w:t>
      </w:r>
      <w:r w:rsidR="00FF1878">
        <w:rPr>
          <w:lang w:val="en-GB"/>
        </w:rPr>
        <w:t>Moreover, t</w:t>
      </w:r>
      <w:r w:rsidR="00670569" w:rsidRPr="00670569">
        <w:rPr>
          <w:lang w:val="en-GB"/>
        </w:rPr>
        <w:t>here are significant effects on the community, as the rural population gets access to a greater number of benefits, but the issue of digital exclusion still exists. In the future, telehealth will likely continue to form part of the building block of healthcare delivery, supporting blended systems that combine remote healthcare with face-to-face care, optimisation of system capacity, and data-driven population health, thus ensuring sustainability and responsiveness to changing patient and community needs in the UK health system.</w:t>
      </w:r>
    </w:p>
    <w:p w14:paraId="61DA2DE9" w14:textId="77777777" w:rsidR="003053D8" w:rsidRDefault="00510198">
      <w:pPr>
        <w:spacing w:line="259" w:lineRule="auto"/>
        <w:rPr>
          <w:lang w:val="en-GB"/>
        </w:rPr>
      </w:pPr>
      <w:r>
        <w:rPr>
          <w:lang w:val="en-GB"/>
        </w:rPr>
        <w:br w:type="page"/>
      </w:r>
    </w:p>
    <w:p w14:paraId="40BFB0EF" w14:textId="46E94997" w:rsidR="008B25DA" w:rsidRDefault="00510198" w:rsidP="003053D8">
      <w:pPr>
        <w:pStyle w:val="Heading1"/>
        <w:rPr>
          <w:lang w:val="en-GB"/>
        </w:rPr>
      </w:pPr>
      <w:bookmarkStart w:id="8" w:name="_Toc221373405"/>
      <w:r>
        <w:rPr>
          <w:lang w:val="en-GB"/>
        </w:rPr>
        <w:t>References</w:t>
      </w:r>
      <w:bookmarkEnd w:id="8"/>
    </w:p>
    <w:p w14:paraId="5E762366" w14:textId="77777777" w:rsidR="00B109DF" w:rsidRDefault="00B109DF" w:rsidP="002F211D">
      <w:pPr>
        <w:ind w:left="720" w:hanging="720"/>
        <w:rPr>
          <w:lang w:val="en-GB"/>
        </w:rPr>
      </w:pPr>
      <w:r w:rsidRPr="002F211D">
        <w:rPr>
          <w:lang w:val="en-GB"/>
        </w:rPr>
        <w:t xml:space="preserve">Beheshti, L., Kalankesh, L. R., Doshmangir, L., </w:t>
      </w:r>
      <w:r>
        <w:rPr>
          <w:lang w:val="en-GB"/>
        </w:rPr>
        <w:t>and</w:t>
      </w:r>
      <w:r w:rsidRPr="002F211D">
        <w:rPr>
          <w:lang w:val="en-GB"/>
        </w:rPr>
        <w:t xml:space="preserve"> Farahbakhsh, M. (2022). Telehealth in primary health care: a scoping review of the literature. Perspectives in health information management, 19(1), 1n.</w:t>
      </w:r>
      <w:r>
        <w:rPr>
          <w:lang w:val="en-GB"/>
        </w:rPr>
        <w:t xml:space="preserve"> </w:t>
      </w:r>
    </w:p>
    <w:p w14:paraId="7538E714" w14:textId="77777777" w:rsidR="00B109DF" w:rsidRDefault="00B109DF" w:rsidP="002F211D">
      <w:pPr>
        <w:ind w:left="720" w:hanging="720"/>
        <w:rPr>
          <w:lang w:val="en-GB"/>
        </w:rPr>
      </w:pPr>
      <w:r w:rsidRPr="003A1D68">
        <w:rPr>
          <w:lang w:val="en-GB"/>
        </w:rPr>
        <w:t xml:space="preserve">Birmingham Health Partners (2024). LEARNING FROM THE PANDEMIC SHIFT OF OUTPATIENT SERVICES TO A REMOTE FOOTING: A RAPID EVALUATION STUDY Learning from the pandemic shift of outpatient services to a remote footing: a rapid evaluation study Health Services Management Centre 2 LEARNING FROM THE PANDEMIC SHIFT OF OUTPATIENT SERVICES TO A REMOTE FOOTING: A RAPID EVALUATION STUDY. [online] Available at: </w:t>
      </w:r>
      <w:hyperlink r:id="rId8" w:history="1">
        <w:r w:rsidRPr="001570E8">
          <w:rPr>
            <w:rStyle w:val="Hyperlink"/>
            <w:lang w:val="en-GB"/>
          </w:rPr>
          <w:t>https://www.birminghamhealthpartners.co.uk/wp-content/uploads/2024/01/Learning-from-the-pandemic-shift-of-outpatient-services-to-a-remote-footing-a-BHP-rapid-evaluation-study.pdf</w:t>
        </w:r>
      </w:hyperlink>
      <w:r w:rsidRPr="003A1D68">
        <w:rPr>
          <w:lang w:val="en-GB"/>
        </w:rPr>
        <w:t>.</w:t>
      </w:r>
      <w:r>
        <w:rPr>
          <w:lang w:val="en-GB"/>
        </w:rPr>
        <w:t xml:space="preserve"> </w:t>
      </w:r>
    </w:p>
    <w:p w14:paraId="2305E11B" w14:textId="77777777" w:rsidR="00B109DF" w:rsidRDefault="00B109DF" w:rsidP="002F211D">
      <w:pPr>
        <w:ind w:left="720" w:hanging="720"/>
        <w:rPr>
          <w:lang w:val="en-GB"/>
        </w:rPr>
      </w:pPr>
      <w:r w:rsidRPr="00713D8E">
        <w:rPr>
          <w:lang w:val="en-GB"/>
        </w:rPr>
        <w:t xml:space="preserve">Digital Health (2025). Workplace pressures holding back NHS digital plans, finds survey. [online] Digital Health. Available at: </w:t>
      </w:r>
      <w:hyperlink r:id="rId9" w:history="1">
        <w:r w:rsidRPr="001570E8">
          <w:rPr>
            <w:rStyle w:val="Hyperlink"/>
            <w:lang w:val="en-GB"/>
          </w:rPr>
          <w:t>https://www.digitalhealth.net/2025/12/workplace-pressures-holding-back-nhs-digital-plans-finds-survey/</w:t>
        </w:r>
      </w:hyperlink>
      <w:r w:rsidRPr="00713D8E">
        <w:rPr>
          <w:lang w:val="en-GB"/>
        </w:rPr>
        <w:t>.</w:t>
      </w:r>
      <w:r>
        <w:rPr>
          <w:lang w:val="en-GB"/>
        </w:rPr>
        <w:t xml:space="preserve"> </w:t>
      </w:r>
    </w:p>
    <w:p w14:paraId="33997F95" w14:textId="77777777" w:rsidR="00B109DF" w:rsidRDefault="00B109DF" w:rsidP="002F211D">
      <w:pPr>
        <w:ind w:left="720" w:hanging="720"/>
        <w:rPr>
          <w:lang w:val="en-GB"/>
        </w:rPr>
      </w:pPr>
      <w:r w:rsidRPr="00761351">
        <w:rPr>
          <w:lang w:val="en-GB"/>
        </w:rPr>
        <w:t xml:space="preserve">Eddison, N., Leone, E., Healy, A., Royse, C., </w:t>
      </w:r>
      <w:r>
        <w:rPr>
          <w:lang w:val="en-GB"/>
        </w:rPr>
        <w:t>and</w:t>
      </w:r>
      <w:r w:rsidRPr="00761351">
        <w:rPr>
          <w:lang w:val="en-GB"/>
        </w:rPr>
        <w:t xml:space="preserve"> Chockalingam, N. (2022). The potential impact of allied health professional telehealth consultations on health inequities and the burden of treatment. International Journal for Equity in Health, 21(1), 91.</w:t>
      </w:r>
      <w:r>
        <w:rPr>
          <w:lang w:val="en-GB"/>
        </w:rPr>
        <w:t xml:space="preserve"> </w:t>
      </w:r>
    </w:p>
    <w:p w14:paraId="22C04881" w14:textId="77777777" w:rsidR="00B109DF" w:rsidRDefault="00B109DF" w:rsidP="002F211D">
      <w:pPr>
        <w:ind w:left="720" w:hanging="720"/>
        <w:rPr>
          <w:lang w:val="en-GB"/>
        </w:rPr>
      </w:pPr>
      <w:r w:rsidRPr="00A67BBB">
        <w:rPr>
          <w:lang w:val="en-GB"/>
        </w:rPr>
        <w:t>Evans, K. (2025). Optimizing Urgent Care Workflow to Improve Wait Times for Patients (Doctoral dissertation, Walden University).</w:t>
      </w:r>
    </w:p>
    <w:p w14:paraId="45AA3A61" w14:textId="77777777" w:rsidR="00B109DF" w:rsidRDefault="00B109DF" w:rsidP="002F211D">
      <w:pPr>
        <w:ind w:left="720" w:hanging="720"/>
        <w:rPr>
          <w:lang w:val="en-GB"/>
        </w:rPr>
      </w:pPr>
      <w:r w:rsidRPr="00A950D5">
        <w:rPr>
          <w:lang w:val="en-GB"/>
        </w:rPr>
        <w:t xml:space="preserve">Ezeamii, V. C., Okobi, O. E., Wambai-Sani, H., Perera, G. S., Zaynieva, S., Okonkwo, C. C., ... </w:t>
      </w:r>
      <w:r>
        <w:rPr>
          <w:lang w:val="en-GB"/>
        </w:rPr>
        <w:t>and</w:t>
      </w:r>
      <w:r w:rsidRPr="00A950D5">
        <w:rPr>
          <w:lang w:val="en-GB"/>
        </w:rPr>
        <w:t xml:space="preserve"> Obiefuna, N. G. (2024). Revolutionizing healthcare: how telemedicine is improving patient outcomes and expanding access to care. Cureus, 16(7).</w:t>
      </w:r>
      <w:r>
        <w:rPr>
          <w:lang w:val="en-GB"/>
        </w:rPr>
        <w:t xml:space="preserve"> </w:t>
      </w:r>
    </w:p>
    <w:p w14:paraId="2E8E79F3" w14:textId="77777777" w:rsidR="00B109DF" w:rsidRDefault="00B109DF" w:rsidP="002F211D">
      <w:pPr>
        <w:ind w:left="720" w:hanging="720"/>
        <w:rPr>
          <w:lang w:val="en-GB"/>
        </w:rPr>
      </w:pPr>
      <w:r w:rsidRPr="00941E56">
        <w:rPr>
          <w:lang w:val="en-GB"/>
        </w:rPr>
        <w:t xml:space="preserve">Greenhalgh, T., Shaw, S. E., Nishio, A. A., Booth, A., Byng, R., Clarke, A., ... </w:t>
      </w:r>
      <w:r>
        <w:rPr>
          <w:lang w:val="en-GB"/>
        </w:rPr>
        <w:t>and</w:t>
      </w:r>
      <w:r w:rsidRPr="00941E56">
        <w:rPr>
          <w:lang w:val="en-GB"/>
        </w:rPr>
        <w:t xml:space="preserve"> Wieringa, S. (2022). Protocol: Remote care as the ‘new normal’? Multi-site case study in UK general practice. NIHR open research, 2, 46.</w:t>
      </w:r>
      <w:r>
        <w:rPr>
          <w:lang w:val="en-GB"/>
        </w:rPr>
        <w:t xml:space="preserve"> </w:t>
      </w:r>
    </w:p>
    <w:p w14:paraId="2AE92988" w14:textId="77777777" w:rsidR="00B109DF" w:rsidRDefault="00B109DF" w:rsidP="00A67BEB">
      <w:pPr>
        <w:ind w:left="720" w:hanging="720"/>
        <w:rPr>
          <w:lang w:val="en-GB"/>
        </w:rPr>
      </w:pPr>
      <w:r w:rsidRPr="00A67BEB">
        <w:rPr>
          <w:lang w:val="en-GB"/>
        </w:rPr>
        <w:t xml:space="preserve">Lu, A. D., Veet, C. A., Aljundi, O., Whitaker, E., Smith, W. B., </w:t>
      </w:r>
      <w:r>
        <w:rPr>
          <w:lang w:val="en-GB"/>
        </w:rPr>
        <w:t>and</w:t>
      </w:r>
      <w:r w:rsidRPr="00A67BEB">
        <w:rPr>
          <w:lang w:val="en-GB"/>
        </w:rPr>
        <w:t xml:space="preserve"> Smith, J. E. (2022). A systematic review of physical examination components adapted for telemedicine. Telemedicine and e-Health, 28(12), 1764-1785.</w:t>
      </w:r>
      <w:r>
        <w:rPr>
          <w:lang w:val="en-GB"/>
        </w:rPr>
        <w:t xml:space="preserve"> </w:t>
      </w:r>
    </w:p>
    <w:p w14:paraId="4DEB2078" w14:textId="77777777" w:rsidR="00B109DF" w:rsidRDefault="00B109DF" w:rsidP="002F211D">
      <w:pPr>
        <w:ind w:left="720" w:hanging="720"/>
        <w:rPr>
          <w:lang w:val="en-GB"/>
        </w:rPr>
      </w:pPr>
      <w:r w:rsidRPr="0054347A">
        <w:rPr>
          <w:lang w:val="en-GB"/>
        </w:rPr>
        <w:t xml:space="preserve">Mental Health Reform (2023). Digital Inclusion and Access to Mental Health Services: Reducing barriers and leveraging the positive potential. [online] Available at: </w:t>
      </w:r>
      <w:hyperlink r:id="rId10" w:history="1">
        <w:r w:rsidRPr="001570E8">
          <w:rPr>
            <w:rStyle w:val="Hyperlink"/>
            <w:lang w:val="en-GB"/>
          </w:rPr>
          <w:t>https://mentalhealthreform.ie/wp-content/uploads/2023/10/Mental-Health-Reform_Digital-Inclustion-Report_2023-V2.pdf</w:t>
        </w:r>
      </w:hyperlink>
      <w:r w:rsidRPr="0054347A">
        <w:rPr>
          <w:lang w:val="en-GB"/>
        </w:rPr>
        <w:t>.</w:t>
      </w:r>
      <w:r>
        <w:rPr>
          <w:lang w:val="en-GB"/>
        </w:rPr>
        <w:t xml:space="preserve"> </w:t>
      </w:r>
    </w:p>
    <w:p w14:paraId="5049822B" w14:textId="77777777" w:rsidR="00B109DF" w:rsidRPr="0018748B" w:rsidRDefault="00B109DF" w:rsidP="002F211D">
      <w:pPr>
        <w:ind w:left="720" w:hanging="720"/>
        <w:rPr>
          <w:lang w:val="en-GB"/>
        </w:rPr>
      </w:pPr>
      <w:r w:rsidRPr="002F211D">
        <w:rPr>
          <w:lang w:val="en-GB"/>
        </w:rPr>
        <w:t xml:space="preserve">NHS England (2023). Inclusive digital healthcare: a framework for NHS action on digital inclusion. [online] NHS England. Available at: </w:t>
      </w:r>
      <w:hyperlink r:id="rId11" w:history="1">
        <w:r w:rsidRPr="001570E8">
          <w:rPr>
            <w:rStyle w:val="Hyperlink"/>
            <w:lang w:val="en-GB"/>
          </w:rPr>
          <w:t>https://www.england.nhs.uk/long-read/inclusive-digital-healthcare-a-framework-for-nhs-action-on-digital-inclusion/</w:t>
        </w:r>
      </w:hyperlink>
      <w:r w:rsidRPr="002F211D">
        <w:rPr>
          <w:lang w:val="en-GB"/>
        </w:rPr>
        <w:t>.</w:t>
      </w:r>
      <w:r>
        <w:rPr>
          <w:lang w:val="en-GB"/>
        </w:rPr>
        <w:t xml:space="preserve"> </w:t>
      </w:r>
    </w:p>
    <w:p w14:paraId="2F139F03" w14:textId="77777777" w:rsidR="00B109DF" w:rsidRDefault="00B109DF" w:rsidP="002F211D">
      <w:pPr>
        <w:ind w:left="720" w:hanging="720"/>
        <w:rPr>
          <w:lang w:val="en-GB"/>
        </w:rPr>
      </w:pPr>
      <w:r w:rsidRPr="00B45E31">
        <w:rPr>
          <w:lang w:val="en-GB"/>
        </w:rPr>
        <w:t xml:space="preserve">NHS Long Term Plan (2024). Transforming healthcare in the digital age. [online] NHS Long Term Plan. Available at: </w:t>
      </w:r>
      <w:hyperlink r:id="rId12" w:history="1">
        <w:r w:rsidRPr="001570E8">
          <w:rPr>
            <w:rStyle w:val="Hyperlink"/>
            <w:lang w:val="en-GB"/>
          </w:rPr>
          <w:t>https://www.longtermplan.nhs.uk/blog/transforming-healthcare-in-the-digital-age/</w:t>
        </w:r>
      </w:hyperlink>
      <w:r w:rsidRPr="00B45E31">
        <w:rPr>
          <w:lang w:val="en-GB"/>
        </w:rPr>
        <w:t>.</w:t>
      </w:r>
      <w:r>
        <w:rPr>
          <w:lang w:val="en-GB"/>
        </w:rPr>
        <w:t xml:space="preserve"> </w:t>
      </w:r>
    </w:p>
    <w:p w14:paraId="1EC80571" w14:textId="77777777" w:rsidR="00B109DF" w:rsidRDefault="00B109DF" w:rsidP="002F211D">
      <w:pPr>
        <w:ind w:left="720" w:hanging="720"/>
        <w:rPr>
          <w:lang w:val="en-GB"/>
        </w:rPr>
      </w:pPr>
      <w:r w:rsidRPr="00A90E4C">
        <w:rPr>
          <w:lang w:val="en-GB"/>
        </w:rPr>
        <w:t>OECD (2025). Beyond the Pandemic: Leading Practices for the Future of Telemedicine. Beyond the Pandemic: Leading Practices for the Future of Telemedicine, [online] 173. doi:</w:t>
      </w:r>
      <w:r>
        <w:rPr>
          <w:lang w:val="en-GB"/>
        </w:rPr>
        <w:t xml:space="preserve"> </w:t>
      </w:r>
      <w:hyperlink r:id="rId13" w:history="1">
        <w:r w:rsidRPr="001570E8">
          <w:rPr>
            <w:rStyle w:val="Hyperlink"/>
            <w:lang w:val="en-GB"/>
          </w:rPr>
          <w:t>https://doi.org/10.1787/98863928-en</w:t>
        </w:r>
      </w:hyperlink>
      <w:r w:rsidRPr="00A90E4C">
        <w:rPr>
          <w:lang w:val="en-GB"/>
        </w:rPr>
        <w:t>.</w:t>
      </w:r>
      <w:r>
        <w:rPr>
          <w:lang w:val="en-GB"/>
        </w:rPr>
        <w:t xml:space="preserve">  </w:t>
      </w:r>
    </w:p>
    <w:p w14:paraId="7A85813C" w14:textId="77777777" w:rsidR="00B109DF" w:rsidRDefault="00B109DF" w:rsidP="002F211D">
      <w:pPr>
        <w:ind w:left="720" w:hanging="720"/>
        <w:rPr>
          <w:lang w:val="en-GB"/>
        </w:rPr>
      </w:pPr>
      <w:r w:rsidRPr="007364B4">
        <w:rPr>
          <w:lang w:val="en-GB"/>
        </w:rPr>
        <w:t xml:space="preserve">Restrepo, J. A., Henriquez, R., Torre, D., </w:t>
      </w:r>
      <w:r>
        <w:rPr>
          <w:lang w:val="en-GB"/>
        </w:rPr>
        <w:t>and</w:t>
      </w:r>
      <w:r w:rsidRPr="007364B4">
        <w:rPr>
          <w:lang w:val="en-GB"/>
        </w:rPr>
        <w:t xml:space="preserve"> Graber, M. L. (2024). The physical exam and telehealth: between past and future. Diagnosis, 11(1), 1-3.</w:t>
      </w:r>
      <w:r>
        <w:rPr>
          <w:lang w:val="en-GB"/>
        </w:rPr>
        <w:t xml:space="preserve"> </w:t>
      </w:r>
    </w:p>
    <w:p w14:paraId="6EBBDC0C" w14:textId="77777777" w:rsidR="00B109DF" w:rsidRDefault="00B109DF" w:rsidP="00A67BEB">
      <w:pPr>
        <w:ind w:left="720" w:hanging="720"/>
        <w:rPr>
          <w:lang w:val="en-GB"/>
        </w:rPr>
      </w:pPr>
      <w:r w:rsidRPr="000112F3">
        <w:rPr>
          <w:lang w:val="en-GB"/>
        </w:rPr>
        <w:t xml:space="preserve">Sankaranarayanan, R., Rasoul, D., Murphy, N., Kelly, A., Nyjo, S., Jackson, C., ... </w:t>
      </w:r>
      <w:r>
        <w:rPr>
          <w:lang w:val="en-GB"/>
        </w:rPr>
        <w:t>and</w:t>
      </w:r>
      <w:r w:rsidRPr="000112F3">
        <w:rPr>
          <w:lang w:val="en-GB"/>
        </w:rPr>
        <w:t xml:space="preserve"> Lip, G. Y. (2024). Telehealth</w:t>
      </w:r>
      <w:r w:rsidRPr="000112F3">
        <w:rPr>
          <w:rFonts w:ascii="Cambria Math" w:hAnsi="Cambria Math" w:cs="Cambria Math"/>
          <w:lang w:val="en-GB"/>
        </w:rPr>
        <w:t>‐</w:t>
      </w:r>
      <w:r w:rsidRPr="000112F3">
        <w:rPr>
          <w:lang w:val="en-GB"/>
        </w:rPr>
        <w:t>aided outpatient management of acute heart failure in a specialist virtual ward compared with standard care. ESC Heart Failure, 11(6), 4172-4184.</w:t>
      </w:r>
      <w:r>
        <w:rPr>
          <w:lang w:val="en-GB"/>
        </w:rPr>
        <w:t xml:space="preserve"> </w:t>
      </w:r>
    </w:p>
    <w:p w14:paraId="37F59EF0" w14:textId="77777777" w:rsidR="00B109DF" w:rsidRDefault="00B109DF" w:rsidP="002F211D">
      <w:pPr>
        <w:ind w:left="720" w:hanging="720"/>
        <w:rPr>
          <w:lang w:val="en-GB"/>
        </w:rPr>
      </w:pPr>
      <w:r w:rsidRPr="0020773C">
        <w:rPr>
          <w:lang w:val="en-GB"/>
        </w:rPr>
        <w:t xml:space="preserve">Sharma, A., Pruthi, M., </w:t>
      </w:r>
      <w:r>
        <w:rPr>
          <w:lang w:val="en-GB"/>
        </w:rPr>
        <w:t>and</w:t>
      </w:r>
      <w:r w:rsidRPr="0020773C">
        <w:rPr>
          <w:lang w:val="en-GB"/>
        </w:rPr>
        <w:t xml:space="preserve"> Sageena, G. (2022). Adoption of telehealth technologies: an approach to improving healthcare system. Translational medicine communications, 7(1), 20.</w:t>
      </w:r>
      <w:r>
        <w:rPr>
          <w:lang w:val="en-GB"/>
        </w:rPr>
        <w:t xml:space="preserve"> </w:t>
      </w:r>
    </w:p>
    <w:p w14:paraId="64DF2A49" w14:textId="77777777" w:rsidR="00B109DF" w:rsidRDefault="00B109DF" w:rsidP="002F211D">
      <w:pPr>
        <w:ind w:left="720" w:hanging="720"/>
        <w:rPr>
          <w:lang w:val="en-GB"/>
        </w:rPr>
      </w:pPr>
      <w:r w:rsidRPr="00276612">
        <w:rPr>
          <w:lang w:val="en-GB"/>
        </w:rPr>
        <w:t xml:space="preserve">Sota, T., Jackson, T., Yang, E., </w:t>
      </w:r>
      <w:r>
        <w:rPr>
          <w:lang w:val="en-GB"/>
        </w:rPr>
        <w:t>and</w:t>
      </w:r>
      <w:r w:rsidRPr="00276612">
        <w:rPr>
          <w:lang w:val="en-GB"/>
        </w:rPr>
        <w:t xml:space="preserve"> Lau, A. Y. (2025). Communication challenges experienced by clinicians and patients during teleconsultation: a scoping review. Applied Clinical Informatics, 16(01), 056-066.</w:t>
      </w:r>
      <w:r>
        <w:rPr>
          <w:lang w:val="en-GB"/>
        </w:rPr>
        <w:t xml:space="preserve"> </w:t>
      </w:r>
    </w:p>
    <w:p w14:paraId="60662F33" w14:textId="77777777" w:rsidR="00B109DF" w:rsidRDefault="00B109DF" w:rsidP="00A67BEB">
      <w:pPr>
        <w:ind w:left="720" w:hanging="720"/>
        <w:rPr>
          <w:lang w:val="en-GB"/>
        </w:rPr>
      </w:pPr>
      <w:r w:rsidRPr="00345F4B">
        <w:rPr>
          <w:lang w:val="en-GB"/>
        </w:rPr>
        <w:t xml:space="preserve">Syamjith, P., Sharma, S., Sharma, A., Sharma, A., </w:t>
      </w:r>
      <w:r>
        <w:rPr>
          <w:lang w:val="en-GB"/>
        </w:rPr>
        <w:t>and</w:t>
      </w:r>
      <w:r w:rsidRPr="00345F4B">
        <w:rPr>
          <w:lang w:val="en-GB"/>
        </w:rPr>
        <w:t xml:space="preserve"> Mansoor, M. (2025). Telehealth for Rural and Underserved Communities. In Optimized Healthcare: Leveraging Technology for Efficiency and Accessibility (Part 2) (pp. 113-137). Bentham Science Publishers.</w:t>
      </w:r>
      <w:r>
        <w:rPr>
          <w:lang w:val="en-GB"/>
        </w:rPr>
        <w:t xml:space="preserve"> </w:t>
      </w:r>
    </w:p>
    <w:p w14:paraId="4B2D9AF5" w14:textId="77777777" w:rsidR="00B109DF" w:rsidRDefault="00B109DF" w:rsidP="002F211D">
      <w:pPr>
        <w:ind w:left="720" w:hanging="720"/>
        <w:rPr>
          <w:lang w:val="en-GB"/>
        </w:rPr>
      </w:pPr>
      <w:r w:rsidRPr="002B6C0A">
        <w:rPr>
          <w:lang w:val="en-GB"/>
        </w:rPr>
        <w:t xml:space="preserve">Telehealth and Medicine Today (2025). The Impact of Digital Health Technologies on Chronic Disease Management | Telehealth and Medicine Today. [online] Telehealthandmedicinetoday.com. Available at: </w:t>
      </w:r>
      <w:hyperlink r:id="rId14" w:history="1">
        <w:r w:rsidRPr="001570E8">
          <w:rPr>
            <w:rStyle w:val="Hyperlink"/>
            <w:lang w:val="en-GB"/>
          </w:rPr>
          <w:t>https://telehealthandmedicinetoday.com/index.php/journal/article/view/556/1256</w:t>
        </w:r>
      </w:hyperlink>
      <w:r w:rsidRPr="002B6C0A">
        <w:rPr>
          <w:lang w:val="en-GB"/>
        </w:rPr>
        <w:t>.</w:t>
      </w:r>
      <w:r>
        <w:rPr>
          <w:lang w:val="en-GB"/>
        </w:rPr>
        <w:t xml:space="preserve"> </w:t>
      </w:r>
    </w:p>
    <w:p w14:paraId="498EC566" w14:textId="77777777" w:rsidR="0018748B" w:rsidRPr="0018748B" w:rsidRDefault="0018748B" w:rsidP="0018748B">
      <w:pPr>
        <w:rPr>
          <w:lang w:val="en-GB"/>
        </w:rPr>
      </w:pPr>
    </w:p>
    <w:sectPr w:rsidR="0018748B" w:rsidRPr="0018748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1185B" w14:textId="77777777" w:rsidR="00FC0994" w:rsidRDefault="00FC0994">
      <w:pPr>
        <w:spacing w:after="0" w:line="240" w:lineRule="auto"/>
      </w:pPr>
      <w:r>
        <w:separator/>
      </w:r>
    </w:p>
  </w:endnote>
  <w:endnote w:type="continuationSeparator" w:id="0">
    <w:p w14:paraId="1637DE8B" w14:textId="77777777" w:rsidR="00FC0994" w:rsidRDefault="00FC0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7870322"/>
      <w:docPartObj>
        <w:docPartGallery w:val="Page Numbers (Bottom of Page)"/>
        <w:docPartUnique/>
      </w:docPartObj>
    </w:sdtPr>
    <w:sdtEndPr>
      <w:rPr>
        <w:noProof/>
      </w:rPr>
    </w:sdtEndPr>
    <w:sdtContent>
      <w:p w14:paraId="31DCCEAD" w14:textId="77777777" w:rsidR="001B4C2E" w:rsidRDefault="00510198">
        <w:pPr>
          <w:pStyle w:val="Footer"/>
          <w:jc w:val="right"/>
        </w:pPr>
        <w:r>
          <w:fldChar w:fldCharType="begin"/>
        </w:r>
        <w:r>
          <w:instrText xml:space="preserve"> PAGE   \* MERGEFORMAT </w:instrText>
        </w:r>
        <w:r>
          <w:fldChar w:fldCharType="separate"/>
        </w:r>
        <w:r w:rsidR="00313136">
          <w:rPr>
            <w:noProof/>
          </w:rPr>
          <w:t>1</w:t>
        </w:r>
        <w:r>
          <w:rPr>
            <w:noProof/>
          </w:rPr>
          <w:fldChar w:fldCharType="end"/>
        </w:r>
      </w:p>
    </w:sdtContent>
  </w:sdt>
  <w:p w14:paraId="7EF17FE9" w14:textId="77777777" w:rsidR="001B2CC4" w:rsidRDefault="001B2CC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D4ABD" w14:textId="77777777" w:rsidR="00FC0994" w:rsidRDefault="00FC0994">
      <w:pPr>
        <w:spacing w:after="0" w:line="240" w:lineRule="auto"/>
      </w:pPr>
      <w:r>
        <w:separator/>
      </w:r>
    </w:p>
  </w:footnote>
  <w:footnote w:type="continuationSeparator" w:id="0">
    <w:p w14:paraId="5A2A7374" w14:textId="77777777" w:rsidR="00FC0994" w:rsidRDefault="00FC09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71304"/>
    <w:multiLevelType w:val="hybridMultilevel"/>
    <w:tmpl w:val="E94804BE"/>
    <w:lvl w:ilvl="0" w:tplc="E97277FC">
      <w:start w:val="1"/>
      <w:numFmt w:val="bullet"/>
      <w:lvlText w:val=""/>
      <w:lvlJc w:val="left"/>
      <w:pPr>
        <w:ind w:left="720" w:hanging="360"/>
      </w:pPr>
      <w:rPr>
        <w:rFonts w:ascii="Wingdings" w:hAnsi="Wingdings" w:hint="default"/>
      </w:rPr>
    </w:lvl>
    <w:lvl w:ilvl="1" w:tplc="6758FE38" w:tentative="1">
      <w:start w:val="1"/>
      <w:numFmt w:val="bullet"/>
      <w:lvlText w:val="o"/>
      <w:lvlJc w:val="left"/>
      <w:pPr>
        <w:ind w:left="1440" w:hanging="360"/>
      </w:pPr>
      <w:rPr>
        <w:rFonts w:ascii="Courier New" w:hAnsi="Courier New" w:cs="Courier New" w:hint="default"/>
      </w:rPr>
    </w:lvl>
    <w:lvl w:ilvl="2" w:tplc="5C3A9A3C" w:tentative="1">
      <w:start w:val="1"/>
      <w:numFmt w:val="bullet"/>
      <w:lvlText w:val=""/>
      <w:lvlJc w:val="left"/>
      <w:pPr>
        <w:ind w:left="2160" w:hanging="360"/>
      </w:pPr>
      <w:rPr>
        <w:rFonts w:ascii="Wingdings" w:hAnsi="Wingdings" w:hint="default"/>
      </w:rPr>
    </w:lvl>
    <w:lvl w:ilvl="3" w:tplc="79E021C4" w:tentative="1">
      <w:start w:val="1"/>
      <w:numFmt w:val="bullet"/>
      <w:lvlText w:val=""/>
      <w:lvlJc w:val="left"/>
      <w:pPr>
        <w:ind w:left="2880" w:hanging="360"/>
      </w:pPr>
      <w:rPr>
        <w:rFonts w:ascii="Symbol" w:hAnsi="Symbol" w:hint="default"/>
      </w:rPr>
    </w:lvl>
    <w:lvl w:ilvl="4" w:tplc="B78E583E" w:tentative="1">
      <w:start w:val="1"/>
      <w:numFmt w:val="bullet"/>
      <w:lvlText w:val="o"/>
      <w:lvlJc w:val="left"/>
      <w:pPr>
        <w:ind w:left="3600" w:hanging="360"/>
      </w:pPr>
      <w:rPr>
        <w:rFonts w:ascii="Courier New" w:hAnsi="Courier New" w:cs="Courier New" w:hint="default"/>
      </w:rPr>
    </w:lvl>
    <w:lvl w:ilvl="5" w:tplc="A240E302" w:tentative="1">
      <w:start w:val="1"/>
      <w:numFmt w:val="bullet"/>
      <w:lvlText w:val=""/>
      <w:lvlJc w:val="left"/>
      <w:pPr>
        <w:ind w:left="4320" w:hanging="360"/>
      </w:pPr>
      <w:rPr>
        <w:rFonts w:ascii="Wingdings" w:hAnsi="Wingdings" w:hint="default"/>
      </w:rPr>
    </w:lvl>
    <w:lvl w:ilvl="6" w:tplc="702E045E" w:tentative="1">
      <w:start w:val="1"/>
      <w:numFmt w:val="bullet"/>
      <w:lvlText w:val=""/>
      <w:lvlJc w:val="left"/>
      <w:pPr>
        <w:ind w:left="5040" w:hanging="360"/>
      </w:pPr>
      <w:rPr>
        <w:rFonts w:ascii="Symbol" w:hAnsi="Symbol" w:hint="default"/>
      </w:rPr>
    </w:lvl>
    <w:lvl w:ilvl="7" w:tplc="DA604712" w:tentative="1">
      <w:start w:val="1"/>
      <w:numFmt w:val="bullet"/>
      <w:lvlText w:val="o"/>
      <w:lvlJc w:val="left"/>
      <w:pPr>
        <w:ind w:left="5760" w:hanging="360"/>
      </w:pPr>
      <w:rPr>
        <w:rFonts w:ascii="Courier New" w:hAnsi="Courier New" w:cs="Courier New" w:hint="default"/>
      </w:rPr>
    </w:lvl>
    <w:lvl w:ilvl="8" w:tplc="EAB6F19C" w:tentative="1">
      <w:start w:val="1"/>
      <w:numFmt w:val="bullet"/>
      <w:lvlText w:val=""/>
      <w:lvlJc w:val="left"/>
      <w:pPr>
        <w:ind w:left="6480" w:hanging="360"/>
      </w:pPr>
      <w:rPr>
        <w:rFonts w:ascii="Wingdings" w:hAnsi="Wingdings" w:hint="default"/>
      </w:rPr>
    </w:lvl>
  </w:abstractNum>
  <w:abstractNum w:abstractNumId="1" w15:restartNumberingAfterBreak="0">
    <w:nsid w:val="41E95849"/>
    <w:multiLevelType w:val="multilevel"/>
    <w:tmpl w:val="569A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904C5F"/>
    <w:multiLevelType w:val="hybridMultilevel"/>
    <w:tmpl w:val="18C4754C"/>
    <w:lvl w:ilvl="0" w:tplc="E040760E">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5EE6042C">
      <w:numFmt w:val="bullet"/>
      <w:lvlText w:val="o"/>
      <w:lvlJc w:val="left"/>
      <w:pPr>
        <w:ind w:left="1447" w:hanging="360"/>
      </w:pPr>
      <w:rPr>
        <w:rFonts w:ascii="Courier New" w:eastAsia="Courier New" w:hAnsi="Courier New" w:cs="Courier New" w:hint="default"/>
        <w:b w:val="0"/>
        <w:bCs w:val="0"/>
        <w:i w:val="0"/>
        <w:iCs w:val="0"/>
        <w:spacing w:val="0"/>
        <w:w w:val="100"/>
        <w:sz w:val="22"/>
        <w:szCs w:val="22"/>
        <w:lang w:val="en-US" w:eastAsia="en-US" w:bidi="ar-SA"/>
      </w:rPr>
    </w:lvl>
    <w:lvl w:ilvl="2" w:tplc="7CA2E810">
      <w:numFmt w:val="bullet"/>
      <w:lvlText w:val="•"/>
      <w:lvlJc w:val="left"/>
      <w:pPr>
        <w:ind w:left="2994" w:hanging="360"/>
      </w:pPr>
      <w:rPr>
        <w:rFonts w:hint="default"/>
        <w:lang w:val="en-US" w:eastAsia="en-US" w:bidi="ar-SA"/>
      </w:rPr>
    </w:lvl>
    <w:lvl w:ilvl="3" w:tplc="4C945C66">
      <w:numFmt w:val="bullet"/>
      <w:lvlText w:val="•"/>
      <w:lvlJc w:val="left"/>
      <w:pPr>
        <w:ind w:left="4549" w:hanging="360"/>
      </w:pPr>
      <w:rPr>
        <w:rFonts w:hint="default"/>
        <w:lang w:val="en-US" w:eastAsia="en-US" w:bidi="ar-SA"/>
      </w:rPr>
    </w:lvl>
    <w:lvl w:ilvl="4" w:tplc="4AD2CBA2">
      <w:numFmt w:val="bullet"/>
      <w:lvlText w:val="•"/>
      <w:lvlJc w:val="left"/>
      <w:pPr>
        <w:ind w:left="6103" w:hanging="360"/>
      </w:pPr>
      <w:rPr>
        <w:rFonts w:hint="default"/>
        <w:lang w:val="en-US" w:eastAsia="en-US" w:bidi="ar-SA"/>
      </w:rPr>
    </w:lvl>
    <w:lvl w:ilvl="5" w:tplc="8FC29BDC">
      <w:numFmt w:val="bullet"/>
      <w:lvlText w:val="•"/>
      <w:lvlJc w:val="left"/>
      <w:pPr>
        <w:ind w:left="7658" w:hanging="360"/>
      </w:pPr>
      <w:rPr>
        <w:rFonts w:hint="default"/>
        <w:lang w:val="en-US" w:eastAsia="en-US" w:bidi="ar-SA"/>
      </w:rPr>
    </w:lvl>
    <w:lvl w:ilvl="6" w:tplc="CF1E3C5E">
      <w:numFmt w:val="bullet"/>
      <w:lvlText w:val="•"/>
      <w:lvlJc w:val="left"/>
      <w:pPr>
        <w:ind w:left="9212" w:hanging="360"/>
      </w:pPr>
      <w:rPr>
        <w:rFonts w:hint="default"/>
        <w:lang w:val="en-US" w:eastAsia="en-US" w:bidi="ar-SA"/>
      </w:rPr>
    </w:lvl>
    <w:lvl w:ilvl="7" w:tplc="6B30913C">
      <w:numFmt w:val="bullet"/>
      <w:lvlText w:val="•"/>
      <w:lvlJc w:val="left"/>
      <w:pPr>
        <w:ind w:left="10767" w:hanging="360"/>
      </w:pPr>
      <w:rPr>
        <w:rFonts w:hint="default"/>
        <w:lang w:val="en-US" w:eastAsia="en-US" w:bidi="ar-SA"/>
      </w:rPr>
    </w:lvl>
    <w:lvl w:ilvl="8" w:tplc="12186D24">
      <w:numFmt w:val="bullet"/>
      <w:lvlText w:val="•"/>
      <w:lvlJc w:val="left"/>
      <w:pPr>
        <w:ind w:left="12321" w:hanging="360"/>
      </w:pPr>
      <w:rPr>
        <w:rFonts w:hint="default"/>
        <w:lang w:val="en-US" w:eastAsia="en-US" w:bidi="ar-SA"/>
      </w:rPr>
    </w:lvl>
  </w:abstractNum>
  <w:abstractNum w:abstractNumId="3" w15:restartNumberingAfterBreak="0">
    <w:nsid w:val="6EA75EBF"/>
    <w:multiLevelType w:val="hybridMultilevel"/>
    <w:tmpl w:val="1666B046"/>
    <w:lvl w:ilvl="0" w:tplc="491649D0">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192E678A">
      <w:numFmt w:val="bullet"/>
      <w:lvlText w:val="•"/>
      <w:lvlJc w:val="left"/>
      <w:pPr>
        <w:ind w:left="2191" w:hanging="361"/>
      </w:pPr>
      <w:rPr>
        <w:rFonts w:hint="default"/>
        <w:lang w:val="en-US" w:eastAsia="en-US" w:bidi="ar-SA"/>
      </w:rPr>
    </w:lvl>
    <w:lvl w:ilvl="2" w:tplc="97FE90B8">
      <w:numFmt w:val="bullet"/>
      <w:lvlText w:val="•"/>
      <w:lvlJc w:val="left"/>
      <w:pPr>
        <w:ind w:left="3662" w:hanging="361"/>
      </w:pPr>
      <w:rPr>
        <w:rFonts w:hint="default"/>
        <w:lang w:val="en-US" w:eastAsia="en-US" w:bidi="ar-SA"/>
      </w:rPr>
    </w:lvl>
    <w:lvl w:ilvl="3" w:tplc="8EFCCEB8">
      <w:numFmt w:val="bullet"/>
      <w:lvlText w:val="•"/>
      <w:lvlJc w:val="left"/>
      <w:pPr>
        <w:ind w:left="5133" w:hanging="361"/>
      </w:pPr>
      <w:rPr>
        <w:rFonts w:hint="default"/>
        <w:lang w:val="en-US" w:eastAsia="en-US" w:bidi="ar-SA"/>
      </w:rPr>
    </w:lvl>
    <w:lvl w:ilvl="4" w:tplc="12769978">
      <w:numFmt w:val="bullet"/>
      <w:lvlText w:val="•"/>
      <w:lvlJc w:val="left"/>
      <w:pPr>
        <w:ind w:left="6604" w:hanging="361"/>
      </w:pPr>
      <w:rPr>
        <w:rFonts w:hint="default"/>
        <w:lang w:val="en-US" w:eastAsia="en-US" w:bidi="ar-SA"/>
      </w:rPr>
    </w:lvl>
    <w:lvl w:ilvl="5" w:tplc="23E8CC58">
      <w:numFmt w:val="bullet"/>
      <w:lvlText w:val="•"/>
      <w:lvlJc w:val="left"/>
      <w:pPr>
        <w:ind w:left="8075" w:hanging="361"/>
      </w:pPr>
      <w:rPr>
        <w:rFonts w:hint="default"/>
        <w:lang w:val="en-US" w:eastAsia="en-US" w:bidi="ar-SA"/>
      </w:rPr>
    </w:lvl>
    <w:lvl w:ilvl="6" w:tplc="D12C284A">
      <w:numFmt w:val="bullet"/>
      <w:lvlText w:val="•"/>
      <w:lvlJc w:val="left"/>
      <w:pPr>
        <w:ind w:left="9546" w:hanging="361"/>
      </w:pPr>
      <w:rPr>
        <w:rFonts w:hint="default"/>
        <w:lang w:val="en-US" w:eastAsia="en-US" w:bidi="ar-SA"/>
      </w:rPr>
    </w:lvl>
    <w:lvl w:ilvl="7" w:tplc="27BCB6BA">
      <w:numFmt w:val="bullet"/>
      <w:lvlText w:val="•"/>
      <w:lvlJc w:val="left"/>
      <w:pPr>
        <w:ind w:left="11017" w:hanging="361"/>
      </w:pPr>
      <w:rPr>
        <w:rFonts w:hint="default"/>
        <w:lang w:val="en-US" w:eastAsia="en-US" w:bidi="ar-SA"/>
      </w:rPr>
    </w:lvl>
    <w:lvl w:ilvl="8" w:tplc="989AE7DA">
      <w:numFmt w:val="bullet"/>
      <w:lvlText w:val="•"/>
      <w:lvlJc w:val="left"/>
      <w:pPr>
        <w:ind w:left="12488" w:hanging="361"/>
      </w:pPr>
      <w:rPr>
        <w:rFonts w:hint="default"/>
        <w:lang w:val="en-US" w:eastAsia="en-US" w:bidi="ar-SA"/>
      </w:rPr>
    </w:lvl>
  </w:abstractNum>
  <w:num w:numId="1" w16cid:durableId="1396970246">
    <w:abstractNumId w:val="3"/>
  </w:num>
  <w:num w:numId="2" w16cid:durableId="1905067803">
    <w:abstractNumId w:val="2"/>
  </w:num>
  <w:num w:numId="3" w16cid:durableId="54204254">
    <w:abstractNumId w:val="0"/>
  </w:num>
  <w:num w:numId="4" w16cid:durableId="625084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7CB"/>
    <w:rsid w:val="000112F3"/>
    <w:rsid w:val="000154C1"/>
    <w:rsid w:val="00017BD3"/>
    <w:rsid w:val="00020F77"/>
    <w:rsid w:val="000270E4"/>
    <w:rsid w:val="0003451F"/>
    <w:rsid w:val="000379EC"/>
    <w:rsid w:val="00044065"/>
    <w:rsid w:val="00070329"/>
    <w:rsid w:val="00070DAB"/>
    <w:rsid w:val="00074531"/>
    <w:rsid w:val="000748DC"/>
    <w:rsid w:val="00086848"/>
    <w:rsid w:val="00091727"/>
    <w:rsid w:val="000922E4"/>
    <w:rsid w:val="000932E2"/>
    <w:rsid w:val="000A0F28"/>
    <w:rsid w:val="000A25A0"/>
    <w:rsid w:val="000A7127"/>
    <w:rsid w:val="000A777C"/>
    <w:rsid w:val="000A7927"/>
    <w:rsid w:val="000B604D"/>
    <w:rsid w:val="000C06F5"/>
    <w:rsid w:val="000C59ED"/>
    <w:rsid w:val="00100461"/>
    <w:rsid w:val="001053AF"/>
    <w:rsid w:val="00110B75"/>
    <w:rsid w:val="00112AD3"/>
    <w:rsid w:val="00117EDF"/>
    <w:rsid w:val="00125661"/>
    <w:rsid w:val="00130E9F"/>
    <w:rsid w:val="001317F8"/>
    <w:rsid w:val="001456F2"/>
    <w:rsid w:val="00147B47"/>
    <w:rsid w:val="001524F3"/>
    <w:rsid w:val="001551C0"/>
    <w:rsid w:val="001570E8"/>
    <w:rsid w:val="001634AD"/>
    <w:rsid w:val="001636E9"/>
    <w:rsid w:val="00177C1D"/>
    <w:rsid w:val="0018748B"/>
    <w:rsid w:val="001A1F9B"/>
    <w:rsid w:val="001A7F7C"/>
    <w:rsid w:val="001B2CC4"/>
    <w:rsid w:val="001B4C2E"/>
    <w:rsid w:val="001C0F41"/>
    <w:rsid w:val="001D0469"/>
    <w:rsid w:val="001D09C5"/>
    <w:rsid w:val="001D2071"/>
    <w:rsid w:val="001D25DC"/>
    <w:rsid w:val="001D66A6"/>
    <w:rsid w:val="001F3905"/>
    <w:rsid w:val="0020773C"/>
    <w:rsid w:val="00213E8A"/>
    <w:rsid w:val="002202C1"/>
    <w:rsid w:val="00226700"/>
    <w:rsid w:val="00227183"/>
    <w:rsid w:val="00227D54"/>
    <w:rsid w:val="00230189"/>
    <w:rsid w:val="0023185A"/>
    <w:rsid w:val="002351AD"/>
    <w:rsid w:val="00236A9C"/>
    <w:rsid w:val="00244413"/>
    <w:rsid w:val="0025526F"/>
    <w:rsid w:val="002763F7"/>
    <w:rsid w:val="00276612"/>
    <w:rsid w:val="00277720"/>
    <w:rsid w:val="0029194F"/>
    <w:rsid w:val="00291CC1"/>
    <w:rsid w:val="0029485F"/>
    <w:rsid w:val="00295360"/>
    <w:rsid w:val="002A7BBD"/>
    <w:rsid w:val="002B1441"/>
    <w:rsid w:val="002B6C0A"/>
    <w:rsid w:val="002C3B8C"/>
    <w:rsid w:val="002D2938"/>
    <w:rsid w:val="002D3DA0"/>
    <w:rsid w:val="002F027F"/>
    <w:rsid w:val="002F211D"/>
    <w:rsid w:val="002F4EBD"/>
    <w:rsid w:val="00301AAA"/>
    <w:rsid w:val="003053D8"/>
    <w:rsid w:val="00313136"/>
    <w:rsid w:val="00315559"/>
    <w:rsid w:val="00330A82"/>
    <w:rsid w:val="0033770D"/>
    <w:rsid w:val="00345F4B"/>
    <w:rsid w:val="00346FB6"/>
    <w:rsid w:val="00381C88"/>
    <w:rsid w:val="0038252C"/>
    <w:rsid w:val="00387AD6"/>
    <w:rsid w:val="003950A2"/>
    <w:rsid w:val="00396401"/>
    <w:rsid w:val="003A0876"/>
    <w:rsid w:val="003A0F0F"/>
    <w:rsid w:val="003A135F"/>
    <w:rsid w:val="003A1D68"/>
    <w:rsid w:val="003A430B"/>
    <w:rsid w:val="003C1201"/>
    <w:rsid w:val="003D22B1"/>
    <w:rsid w:val="003D64FF"/>
    <w:rsid w:val="003E5024"/>
    <w:rsid w:val="003E54C5"/>
    <w:rsid w:val="0040655B"/>
    <w:rsid w:val="004067CB"/>
    <w:rsid w:val="00420ADD"/>
    <w:rsid w:val="00422327"/>
    <w:rsid w:val="00426986"/>
    <w:rsid w:val="004324AA"/>
    <w:rsid w:val="004408FD"/>
    <w:rsid w:val="0045032B"/>
    <w:rsid w:val="00450505"/>
    <w:rsid w:val="00451382"/>
    <w:rsid w:val="004536E0"/>
    <w:rsid w:val="00453767"/>
    <w:rsid w:val="00454279"/>
    <w:rsid w:val="0049053E"/>
    <w:rsid w:val="00494DD1"/>
    <w:rsid w:val="00497B13"/>
    <w:rsid w:val="004A1D34"/>
    <w:rsid w:val="004A2C54"/>
    <w:rsid w:val="004B0A6E"/>
    <w:rsid w:val="004B227E"/>
    <w:rsid w:val="004B6633"/>
    <w:rsid w:val="004B71F8"/>
    <w:rsid w:val="004C3ED3"/>
    <w:rsid w:val="004C62EB"/>
    <w:rsid w:val="004D3E9B"/>
    <w:rsid w:val="004E0EA3"/>
    <w:rsid w:val="004F6BE5"/>
    <w:rsid w:val="004F79FA"/>
    <w:rsid w:val="00501B64"/>
    <w:rsid w:val="00506E27"/>
    <w:rsid w:val="00510198"/>
    <w:rsid w:val="00511DED"/>
    <w:rsid w:val="00524310"/>
    <w:rsid w:val="00534EE8"/>
    <w:rsid w:val="0054347A"/>
    <w:rsid w:val="00546ADA"/>
    <w:rsid w:val="00560EBD"/>
    <w:rsid w:val="005654EC"/>
    <w:rsid w:val="00585818"/>
    <w:rsid w:val="0059065E"/>
    <w:rsid w:val="00591771"/>
    <w:rsid w:val="00597272"/>
    <w:rsid w:val="005A4575"/>
    <w:rsid w:val="005A60A9"/>
    <w:rsid w:val="005E4705"/>
    <w:rsid w:val="005E4830"/>
    <w:rsid w:val="005E4E45"/>
    <w:rsid w:val="005F48A8"/>
    <w:rsid w:val="00621374"/>
    <w:rsid w:val="006355BF"/>
    <w:rsid w:val="006477A0"/>
    <w:rsid w:val="00661BA3"/>
    <w:rsid w:val="00670569"/>
    <w:rsid w:val="006705D1"/>
    <w:rsid w:val="006746BC"/>
    <w:rsid w:val="0067669D"/>
    <w:rsid w:val="006C2305"/>
    <w:rsid w:val="006C4BEA"/>
    <w:rsid w:val="006D0CC1"/>
    <w:rsid w:val="006D4CCB"/>
    <w:rsid w:val="006D775E"/>
    <w:rsid w:val="006E69DA"/>
    <w:rsid w:val="006F3F69"/>
    <w:rsid w:val="00713D8E"/>
    <w:rsid w:val="007303F7"/>
    <w:rsid w:val="00734D2E"/>
    <w:rsid w:val="00734E1E"/>
    <w:rsid w:val="007364B4"/>
    <w:rsid w:val="00741EA6"/>
    <w:rsid w:val="00744384"/>
    <w:rsid w:val="007454CF"/>
    <w:rsid w:val="00757DBC"/>
    <w:rsid w:val="00761061"/>
    <w:rsid w:val="00761351"/>
    <w:rsid w:val="00764ED4"/>
    <w:rsid w:val="00787C94"/>
    <w:rsid w:val="007A2F5E"/>
    <w:rsid w:val="007E2A51"/>
    <w:rsid w:val="00805496"/>
    <w:rsid w:val="00807320"/>
    <w:rsid w:val="0084074D"/>
    <w:rsid w:val="00842CDA"/>
    <w:rsid w:val="00870FC9"/>
    <w:rsid w:val="008820F3"/>
    <w:rsid w:val="00885344"/>
    <w:rsid w:val="008A1B13"/>
    <w:rsid w:val="008B25DA"/>
    <w:rsid w:val="008D6D24"/>
    <w:rsid w:val="008E23B2"/>
    <w:rsid w:val="008F0C55"/>
    <w:rsid w:val="008F0ECD"/>
    <w:rsid w:val="008F6369"/>
    <w:rsid w:val="009056EA"/>
    <w:rsid w:val="00905713"/>
    <w:rsid w:val="009079B1"/>
    <w:rsid w:val="00907BB0"/>
    <w:rsid w:val="00910226"/>
    <w:rsid w:val="00911FEA"/>
    <w:rsid w:val="009265F8"/>
    <w:rsid w:val="0092684E"/>
    <w:rsid w:val="00930870"/>
    <w:rsid w:val="009324B1"/>
    <w:rsid w:val="009375C9"/>
    <w:rsid w:val="00941E56"/>
    <w:rsid w:val="009428AB"/>
    <w:rsid w:val="009442D0"/>
    <w:rsid w:val="00946260"/>
    <w:rsid w:val="00953628"/>
    <w:rsid w:val="00963C85"/>
    <w:rsid w:val="0097328A"/>
    <w:rsid w:val="00973B34"/>
    <w:rsid w:val="00973F25"/>
    <w:rsid w:val="00976BCE"/>
    <w:rsid w:val="009903F4"/>
    <w:rsid w:val="00990E28"/>
    <w:rsid w:val="009979FB"/>
    <w:rsid w:val="009A6BDF"/>
    <w:rsid w:val="009C2E85"/>
    <w:rsid w:val="009C35B4"/>
    <w:rsid w:val="009C710C"/>
    <w:rsid w:val="009D170C"/>
    <w:rsid w:val="009E5061"/>
    <w:rsid w:val="009E552B"/>
    <w:rsid w:val="00A10EC1"/>
    <w:rsid w:val="00A14CD3"/>
    <w:rsid w:val="00A16EF3"/>
    <w:rsid w:val="00A33AA2"/>
    <w:rsid w:val="00A34420"/>
    <w:rsid w:val="00A42408"/>
    <w:rsid w:val="00A43FFA"/>
    <w:rsid w:val="00A64AFC"/>
    <w:rsid w:val="00A67BBB"/>
    <w:rsid w:val="00A67BEB"/>
    <w:rsid w:val="00A71778"/>
    <w:rsid w:val="00A73EC9"/>
    <w:rsid w:val="00A836B4"/>
    <w:rsid w:val="00A84BB7"/>
    <w:rsid w:val="00A86106"/>
    <w:rsid w:val="00A90E4C"/>
    <w:rsid w:val="00A94273"/>
    <w:rsid w:val="00A950D5"/>
    <w:rsid w:val="00A9557E"/>
    <w:rsid w:val="00AC5087"/>
    <w:rsid w:val="00AD2249"/>
    <w:rsid w:val="00AD5350"/>
    <w:rsid w:val="00AE511F"/>
    <w:rsid w:val="00AF3533"/>
    <w:rsid w:val="00B109DF"/>
    <w:rsid w:val="00B142DE"/>
    <w:rsid w:val="00B1559A"/>
    <w:rsid w:val="00B26E3E"/>
    <w:rsid w:val="00B3051B"/>
    <w:rsid w:val="00B31652"/>
    <w:rsid w:val="00B42C9E"/>
    <w:rsid w:val="00B45E31"/>
    <w:rsid w:val="00B467F0"/>
    <w:rsid w:val="00B46E56"/>
    <w:rsid w:val="00B4755B"/>
    <w:rsid w:val="00B570C5"/>
    <w:rsid w:val="00B8276D"/>
    <w:rsid w:val="00B83935"/>
    <w:rsid w:val="00B849BA"/>
    <w:rsid w:val="00B92AD0"/>
    <w:rsid w:val="00B930E5"/>
    <w:rsid w:val="00B96B21"/>
    <w:rsid w:val="00BB0405"/>
    <w:rsid w:val="00BD111E"/>
    <w:rsid w:val="00BD1B82"/>
    <w:rsid w:val="00BD4415"/>
    <w:rsid w:val="00BD4583"/>
    <w:rsid w:val="00BD5A8F"/>
    <w:rsid w:val="00BD5C4A"/>
    <w:rsid w:val="00BE1A94"/>
    <w:rsid w:val="00BF3442"/>
    <w:rsid w:val="00C01032"/>
    <w:rsid w:val="00C070F9"/>
    <w:rsid w:val="00C07F53"/>
    <w:rsid w:val="00C1148D"/>
    <w:rsid w:val="00C17016"/>
    <w:rsid w:val="00C249DE"/>
    <w:rsid w:val="00C24E96"/>
    <w:rsid w:val="00C26837"/>
    <w:rsid w:val="00C33F14"/>
    <w:rsid w:val="00C40A9C"/>
    <w:rsid w:val="00C40FE3"/>
    <w:rsid w:val="00C448FB"/>
    <w:rsid w:val="00C45CFD"/>
    <w:rsid w:val="00C53147"/>
    <w:rsid w:val="00C5460B"/>
    <w:rsid w:val="00C65B40"/>
    <w:rsid w:val="00C92423"/>
    <w:rsid w:val="00C92782"/>
    <w:rsid w:val="00CA1D1D"/>
    <w:rsid w:val="00CA42F1"/>
    <w:rsid w:val="00CA7327"/>
    <w:rsid w:val="00CA778A"/>
    <w:rsid w:val="00CB5388"/>
    <w:rsid w:val="00CC39E1"/>
    <w:rsid w:val="00CC3D0C"/>
    <w:rsid w:val="00CC6202"/>
    <w:rsid w:val="00CC62D7"/>
    <w:rsid w:val="00CC6B98"/>
    <w:rsid w:val="00CD07B3"/>
    <w:rsid w:val="00CD0ADD"/>
    <w:rsid w:val="00CD0F3A"/>
    <w:rsid w:val="00CE463A"/>
    <w:rsid w:val="00CE4C4B"/>
    <w:rsid w:val="00CF0272"/>
    <w:rsid w:val="00CF2406"/>
    <w:rsid w:val="00CF5C79"/>
    <w:rsid w:val="00CF6DDF"/>
    <w:rsid w:val="00CF7866"/>
    <w:rsid w:val="00D01174"/>
    <w:rsid w:val="00D16692"/>
    <w:rsid w:val="00D24ECA"/>
    <w:rsid w:val="00D43A1B"/>
    <w:rsid w:val="00D56FCB"/>
    <w:rsid w:val="00D611D7"/>
    <w:rsid w:val="00D6173A"/>
    <w:rsid w:val="00D61D14"/>
    <w:rsid w:val="00D62230"/>
    <w:rsid w:val="00D91689"/>
    <w:rsid w:val="00D9707B"/>
    <w:rsid w:val="00DA0C44"/>
    <w:rsid w:val="00DA2271"/>
    <w:rsid w:val="00DA2EE1"/>
    <w:rsid w:val="00DA7E76"/>
    <w:rsid w:val="00DB48D0"/>
    <w:rsid w:val="00DB6655"/>
    <w:rsid w:val="00DB6C2E"/>
    <w:rsid w:val="00DD2A63"/>
    <w:rsid w:val="00DD2C2F"/>
    <w:rsid w:val="00DD48ED"/>
    <w:rsid w:val="00DE27AF"/>
    <w:rsid w:val="00DF1906"/>
    <w:rsid w:val="00DF3CB7"/>
    <w:rsid w:val="00E054C8"/>
    <w:rsid w:val="00E20637"/>
    <w:rsid w:val="00E258F9"/>
    <w:rsid w:val="00E25AFA"/>
    <w:rsid w:val="00E2725F"/>
    <w:rsid w:val="00E275B3"/>
    <w:rsid w:val="00E34A96"/>
    <w:rsid w:val="00E50AE9"/>
    <w:rsid w:val="00E573DD"/>
    <w:rsid w:val="00E6516A"/>
    <w:rsid w:val="00E670CB"/>
    <w:rsid w:val="00E70FE5"/>
    <w:rsid w:val="00EB1FAE"/>
    <w:rsid w:val="00EB366A"/>
    <w:rsid w:val="00ED5D80"/>
    <w:rsid w:val="00EF5EA5"/>
    <w:rsid w:val="00F00FB7"/>
    <w:rsid w:val="00F02F2F"/>
    <w:rsid w:val="00F07127"/>
    <w:rsid w:val="00F10B7F"/>
    <w:rsid w:val="00F13957"/>
    <w:rsid w:val="00F22690"/>
    <w:rsid w:val="00F26DD5"/>
    <w:rsid w:val="00F34374"/>
    <w:rsid w:val="00F42A39"/>
    <w:rsid w:val="00F43D2A"/>
    <w:rsid w:val="00F4423D"/>
    <w:rsid w:val="00F56F72"/>
    <w:rsid w:val="00F64322"/>
    <w:rsid w:val="00F8148F"/>
    <w:rsid w:val="00F938E1"/>
    <w:rsid w:val="00FA3BA2"/>
    <w:rsid w:val="00FB0EE6"/>
    <w:rsid w:val="00FB43CB"/>
    <w:rsid w:val="00FB6937"/>
    <w:rsid w:val="00FC0994"/>
    <w:rsid w:val="00FE1C6C"/>
    <w:rsid w:val="00FE2E88"/>
    <w:rsid w:val="00FE4B2C"/>
    <w:rsid w:val="00FF06AF"/>
    <w:rsid w:val="00FF1878"/>
    <w:rsid w:val="00FF34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D079"/>
  <w15:chartTrackingRefBased/>
  <w15:docId w15:val="{885D0CCC-A9D5-4FF8-8A85-760BD4520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505"/>
    <w:pPr>
      <w:spacing w:line="360" w:lineRule="auto"/>
    </w:pPr>
    <w:rPr>
      <w:rFonts w:ascii="Arial" w:hAnsi="Arial"/>
    </w:rPr>
  </w:style>
  <w:style w:type="paragraph" w:styleId="Heading1">
    <w:name w:val="heading 1"/>
    <w:basedOn w:val="Normal"/>
    <w:next w:val="Normal"/>
    <w:link w:val="Heading1Char"/>
    <w:uiPriority w:val="9"/>
    <w:qFormat/>
    <w:rsid w:val="009442D0"/>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442D0"/>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442D0"/>
    <w:pPr>
      <w:keepNext/>
      <w:keepLines/>
      <w:spacing w:before="40" w:after="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50505"/>
    <w:pPr>
      <w:spacing w:after="0" w:line="360" w:lineRule="auto"/>
    </w:pPr>
    <w:rPr>
      <w:rFonts w:ascii="Arial" w:hAnsi="Arial"/>
    </w:rPr>
  </w:style>
  <w:style w:type="character" w:customStyle="1" w:styleId="Heading1Char">
    <w:name w:val="Heading 1 Char"/>
    <w:basedOn w:val="DefaultParagraphFont"/>
    <w:link w:val="Heading1"/>
    <w:uiPriority w:val="9"/>
    <w:rsid w:val="009442D0"/>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442D0"/>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442D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4A2C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C54"/>
    <w:rPr>
      <w:rFonts w:ascii="Times New Roman" w:hAnsi="Times New Roman"/>
      <w:sz w:val="24"/>
    </w:rPr>
  </w:style>
  <w:style w:type="paragraph" w:styleId="Footer">
    <w:name w:val="footer"/>
    <w:basedOn w:val="Normal"/>
    <w:link w:val="FooterChar"/>
    <w:uiPriority w:val="99"/>
    <w:unhideWhenUsed/>
    <w:rsid w:val="004A2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C54"/>
    <w:rPr>
      <w:rFonts w:ascii="Times New Roman" w:hAnsi="Times New Roman"/>
      <w:sz w:val="24"/>
    </w:rPr>
  </w:style>
  <w:style w:type="character" w:styleId="Hyperlink">
    <w:name w:val="Hyperlink"/>
    <w:basedOn w:val="DefaultParagraphFont"/>
    <w:uiPriority w:val="99"/>
    <w:unhideWhenUsed/>
    <w:rsid w:val="003D22B1"/>
    <w:rPr>
      <w:color w:val="0563C1" w:themeColor="hyperlink"/>
      <w:u w:val="single"/>
    </w:rPr>
  </w:style>
  <w:style w:type="paragraph" w:styleId="BodyText">
    <w:name w:val="Body Text"/>
    <w:basedOn w:val="Normal"/>
    <w:link w:val="BodyTextChar"/>
    <w:uiPriority w:val="99"/>
    <w:semiHidden/>
    <w:unhideWhenUsed/>
    <w:rsid w:val="009A6BDF"/>
    <w:pPr>
      <w:spacing w:after="120"/>
    </w:pPr>
  </w:style>
  <w:style w:type="character" w:customStyle="1" w:styleId="BodyTextChar">
    <w:name w:val="Body Text Char"/>
    <w:basedOn w:val="DefaultParagraphFont"/>
    <w:link w:val="BodyText"/>
    <w:uiPriority w:val="99"/>
    <w:semiHidden/>
    <w:rsid w:val="009A6BDF"/>
    <w:rPr>
      <w:rFonts w:ascii="Times New Roman" w:hAnsi="Times New Roman"/>
      <w:sz w:val="24"/>
    </w:rPr>
  </w:style>
  <w:style w:type="paragraph" w:styleId="ListParagraph">
    <w:name w:val="List Paragraph"/>
    <w:basedOn w:val="Normal"/>
    <w:uiPriority w:val="34"/>
    <w:qFormat/>
    <w:rsid w:val="009A6BDF"/>
    <w:pPr>
      <w:ind w:left="720"/>
      <w:contextualSpacing/>
    </w:pPr>
  </w:style>
  <w:style w:type="table" w:styleId="TableGrid">
    <w:name w:val="Table Grid"/>
    <w:basedOn w:val="TableNormal"/>
    <w:uiPriority w:val="39"/>
    <w:rsid w:val="004269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42698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1634AD"/>
    <w:pPr>
      <w:spacing w:after="200" w:line="240" w:lineRule="auto"/>
    </w:pPr>
    <w:rPr>
      <w:i/>
      <w:iCs/>
      <w:color w:val="44546A" w:themeColor="text2"/>
      <w:sz w:val="18"/>
      <w:szCs w:val="18"/>
    </w:rPr>
  </w:style>
  <w:style w:type="character" w:styleId="Strong">
    <w:name w:val="Strong"/>
    <w:basedOn w:val="DefaultParagraphFont"/>
    <w:uiPriority w:val="22"/>
    <w:qFormat/>
    <w:rsid w:val="008E23B2"/>
    <w:rPr>
      <w:b/>
      <w:bCs/>
    </w:rPr>
  </w:style>
  <w:style w:type="table" w:styleId="GridTable4-Accent5">
    <w:name w:val="Grid Table 4 Accent 5"/>
    <w:basedOn w:val="TableNormal"/>
    <w:uiPriority w:val="49"/>
    <w:rsid w:val="00F02F2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D01174"/>
    <w:rPr>
      <w:color w:val="605E5C"/>
      <w:shd w:val="clear" w:color="auto" w:fill="E1DFDD"/>
    </w:rPr>
  </w:style>
  <w:style w:type="paragraph" w:styleId="TOCHeading">
    <w:name w:val="TOC Heading"/>
    <w:basedOn w:val="Heading1"/>
    <w:next w:val="Normal"/>
    <w:uiPriority w:val="39"/>
    <w:unhideWhenUsed/>
    <w:qFormat/>
    <w:rsid w:val="004F6BE5"/>
    <w:pPr>
      <w:spacing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4F6BE5"/>
    <w:pPr>
      <w:spacing w:after="100"/>
    </w:pPr>
  </w:style>
  <w:style w:type="paragraph" w:styleId="TOC2">
    <w:name w:val="toc 2"/>
    <w:basedOn w:val="Normal"/>
    <w:next w:val="Normal"/>
    <w:autoRedefine/>
    <w:uiPriority w:val="39"/>
    <w:unhideWhenUsed/>
    <w:rsid w:val="004F6BE5"/>
    <w:pPr>
      <w:spacing w:after="100"/>
      <w:ind w:left="240"/>
    </w:pPr>
  </w:style>
  <w:style w:type="paragraph" w:styleId="TOC3">
    <w:name w:val="toc 3"/>
    <w:basedOn w:val="Normal"/>
    <w:next w:val="Normal"/>
    <w:autoRedefine/>
    <w:uiPriority w:val="39"/>
    <w:unhideWhenUsed/>
    <w:rsid w:val="004F6BE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healthpartners.co.uk/wp-content/uploads/2024/01/Learning-from-the-pandemic-shift-of-outpatient-services-to-a-remote-footing-a-BHP-rapid-evaluation-study.pdf" TargetMode="External" /><Relationship Id="rId13" Type="http://schemas.openxmlformats.org/officeDocument/2006/relationships/hyperlink" Target="https://doi.org/10.1787/98863928-en"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longtermplan.nhs.uk/blog/transforming-healthcare-in-the-digital-age/"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ngland.nhs.uk/long-read/inclusive-digital-healthcare-a-framework-for-nhs-action-on-digital-inclusion/"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mentalhealthreform.ie/wp-content/uploads/2023/10/Mental-Health-Reform_Digital-Inclustion-Report_2023-V2.pdf" TargetMode="External" /><Relationship Id="rId4" Type="http://schemas.openxmlformats.org/officeDocument/2006/relationships/settings" Target="settings.xml" /><Relationship Id="rId9" Type="http://schemas.openxmlformats.org/officeDocument/2006/relationships/hyperlink" Target="https://www.digitalhealth.net/2025/12/workplace-pressures-holding-back-nhs-digital-plans-finds-survey/" TargetMode="External" /><Relationship Id="rId14" Type="http://schemas.openxmlformats.org/officeDocument/2006/relationships/hyperlink" Target="https://telehealthandmedicinetoday.com/index.php/journal/article/view/556/125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A2BF6-B7AE-4F97-8082-E5EC98892D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3024</Words>
  <Characters>17241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Zulfkcar Ali</cp:lastModifiedBy>
  <cp:revision>2</cp:revision>
  <dcterms:created xsi:type="dcterms:W3CDTF">2026-03-01T21:22:00Z</dcterms:created>
  <dcterms:modified xsi:type="dcterms:W3CDTF">2026-03-01T21:22:00Z</dcterms:modified>
</cp:coreProperties>
</file>