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E4258" w:rsidR="00311A96" w:rsidP="000E4258" w:rsidRDefault="00311A96" w14:paraId="16AED2BC" w14:textId="77777777">
      <w:pPr>
        <w:spacing w:line="480" w:lineRule="auto"/>
      </w:pPr>
    </w:p>
    <w:p w:rsidRPr="004042DD" w:rsidR="00311A96" w:rsidP="43B80322" w:rsidRDefault="004042DD" w14:paraId="185363A4" w14:textId="55A3AC3C">
      <w:pPr>
        <w:spacing w:line="480" w:lineRule="auto"/>
        <w:jc w:val="center"/>
        <w:rPr>
          <w:b w:val="1"/>
          <w:bCs w:val="1"/>
          <w:sz w:val="40"/>
          <w:szCs w:val="40"/>
        </w:rPr>
      </w:pPr>
      <w:r w:rsidRPr="43B80322" w:rsidR="004042DD">
        <w:rPr>
          <w:b w:val="1"/>
          <w:bCs w:val="1"/>
          <w:sz w:val="40"/>
          <w:szCs w:val="40"/>
        </w:rPr>
        <w:t>Reflective Portfolio on Professional Development and Career Readiness in Health and Social Care</w:t>
      </w:r>
    </w:p>
    <w:p w:rsidR="43B80322" w:rsidP="43B80322" w:rsidRDefault="43B80322" w14:paraId="217048AF" w14:textId="21AC18D6">
      <w:pPr>
        <w:spacing w:line="480" w:lineRule="auto"/>
        <w:jc w:val="center"/>
        <w:rPr>
          <w:sz w:val="40"/>
          <w:szCs w:val="40"/>
        </w:rPr>
      </w:pPr>
    </w:p>
    <w:p w:rsidR="43B80322" w:rsidP="43B80322" w:rsidRDefault="43B80322" w14:paraId="3EF905AB" w14:textId="3EE17B33">
      <w:pPr>
        <w:spacing w:line="480" w:lineRule="auto"/>
        <w:jc w:val="center"/>
      </w:pPr>
    </w:p>
    <w:p w:rsidR="004042DD" w:rsidP="43B80322" w:rsidRDefault="004042DD" w14:paraId="1AF507C2" w14:textId="47CD5D11">
      <w:pPr>
        <w:spacing w:line="480" w:lineRule="auto"/>
        <w:jc w:val="center"/>
        <w:rPr>
          <w:sz w:val="28"/>
          <w:szCs w:val="28"/>
        </w:rPr>
      </w:pPr>
      <w:r w:rsidRPr="43B80322" w:rsidR="004042DD">
        <w:rPr>
          <w:sz w:val="28"/>
          <w:szCs w:val="28"/>
        </w:rPr>
        <w:t xml:space="preserve">Student’s </w:t>
      </w:r>
      <w:r w:rsidRPr="43B80322" w:rsidR="26900B8A">
        <w:rPr>
          <w:sz w:val="28"/>
          <w:szCs w:val="28"/>
        </w:rPr>
        <w:t>Name:</w:t>
      </w:r>
      <w:r w:rsidRPr="43B80322" w:rsidR="518D2A68">
        <w:rPr>
          <w:sz w:val="28"/>
          <w:szCs w:val="28"/>
        </w:rPr>
        <w:t xml:space="preserve"> Huma Zafar </w:t>
      </w:r>
    </w:p>
    <w:p w:rsidR="034B41A6" w:rsidP="43B80322" w:rsidRDefault="034B41A6" w14:paraId="57B09D8E" w14:textId="3648A942">
      <w:pPr>
        <w:spacing w:line="480" w:lineRule="auto"/>
        <w:jc w:val="center"/>
        <w:rPr>
          <w:sz w:val="28"/>
          <w:szCs w:val="28"/>
        </w:rPr>
      </w:pPr>
      <w:r w:rsidRPr="43B80322" w:rsidR="034B41A6">
        <w:rPr>
          <w:sz w:val="28"/>
          <w:szCs w:val="28"/>
        </w:rPr>
        <w:t xml:space="preserve">Student id </w:t>
      </w:r>
      <w:r w:rsidRPr="43B80322" w:rsidR="2E68ACEC">
        <w:rPr>
          <w:sz w:val="28"/>
          <w:szCs w:val="28"/>
        </w:rPr>
        <w:t>N</w:t>
      </w:r>
      <w:r w:rsidRPr="43B80322" w:rsidR="5D206DE2">
        <w:rPr>
          <w:sz w:val="28"/>
          <w:szCs w:val="28"/>
        </w:rPr>
        <w:t>umber:</w:t>
      </w:r>
      <w:r w:rsidRPr="43B80322" w:rsidR="034B41A6">
        <w:rPr>
          <w:sz w:val="28"/>
          <w:szCs w:val="28"/>
        </w:rPr>
        <w:t xml:space="preserve"> 2324433</w:t>
      </w:r>
    </w:p>
    <w:p w:rsidRPr="000E4258" w:rsidR="004042DD" w:rsidP="43B80322" w:rsidRDefault="004042DD" w14:paraId="4D9C2A18" w14:textId="7250B742">
      <w:pPr>
        <w:spacing w:line="480" w:lineRule="auto"/>
        <w:jc w:val="center"/>
        <w:rPr>
          <w:sz w:val="28"/>
          <w:szCs w:val="28"/>
        </w:rPr>
      </w:pPr>
      <w:r w:rsidRPr="43B80322" w:rsidR="004042DD">
        <w:rPr>
          <w:sz w:val="28"/>
          <w:szCs w:val="28"/>
        </w:rPr>
        <w:t xml:space="preserve">Course </w:t>
      </w:r>
      <w:r w:rsidRPr="43B80322" w:rsidR="332A283C">
        <w:rPr>
          <w:sz w:val="28"/>
          <w:szCs w:val="28"/>
        </w:rPr>
        <w:t>code;</w:t>
      </w:r>
      <w:r w:rsidRPr="43B80322" w:rsidR="1C826D7B">
        <w:rPr>
          <w:sz w:val="28"/>
          <w:szCs w:val="28"/>
        </w:rPr>
        <w:t xml:space="preserve"> BMH P5015</w:t>
      </w:r>
    </w:p>
    <w:p w:rsidR="44872943" w:rsidP="43B80322" w:rsidRDefault="44872943" w14:paraId="38F82DB1" w14:textId="0155643C">
      <w:pPr>
        <w:spacing w:line="480" w:lineRule="auto"/>
        <w:jc w:val="center"/>
        <w:rPr>
          <w:sz w:val="28"/>
          <w:szCs w:val="28"/>
        </w:rPr>
      </w:pPr>
      <w:r w:rsidRPr="43B80322" w:rsidR="44872943">
        <w:rPr>
          <w:sz w:val="28"/>
          <w:szCs w:val="28"/>
        </w:rPr>
        <w:t xml:space="preserve">Coarse </w:t>
      </w:r>
      <w:r w:rsidRPr="43B80322" w:rsidR="16DCA1DE">
        <w:rPr>
          <w:sz w:val="28"/>
          <w:szCs w:val="28"/>
        </w:rPr>
        <w:t>Name:</w:t>
      </w:r>
      <w:r w:rsidRPr="43B80322" w:rsidR="16DCA1DE">
        <w:rPr>
          <w:sz w:val="28"/>
          <w:szCs w:val="28"/>
        </w:rPr>
        <w:t xml:space="preserve"> Changemakers: Building your Personal Brand for Sustainable Employment</w:t>
      </w:r>
    </w:p>
    <w:p w:rsidR="16DCA1DE" w:rsidP="43B80322" w:rsidRDefault="16DCA1DE" w14:paraId="62B91739" w14:textId="09DE24FC">
      <w:pPr>
        <w:spacing w:line="480" w:lineRule="auto"/>
        <w:jc w:val="center"/>
        <w:rPr>
          <w:sz w:val="28"/>
          <w:szCs w:val="28"/>
        </w:rPr>
      </w:pPr>
      <w:r w:rsidRPr="43B80322" w:rsidR="16DCA1DE">
        <w:rPr>
          <w:sz w:val="28"/>
          <w:szCs w:val="28"/>
        </w:rPr>
        <w:t>Teacher Name: Caroline Salami</w:t>
      </w:r>
    </w:p>
    <w:p w:rsidR="43B80322" w:rsidP="43B80322" w:rsidRDefault="43B80322" w14:paraId="62359DCD" w14:textId="28087E41">
      <w:pPr>
        <w:spacing w:line="480" w:lineRule="auto"/>
        <w:jc w:val="center"/>
        <w:rPr>
          <w:sz w:val="28"/>
          <w:szCs w:val="28"/>
        </w:rPr>
      </w:pPr>
    </w:p>
    <w:p w:rsidRPr="000E4258" w:rsidR="00311A96" w:rsidP="000E4258" w:rsidRDefault="00311A96" w14:paraId="05D33AD9" w14:textId="77777777">
      <w:pPr>
        <w:spacing w:line="480" w:lineRule="auto"/>
      </w:pPr>
    </w:p>
    <w:p w:rsidRPr="000E4258" w:rsidR="00311A96" w:rsidP="000E4258" w:rsidRDefault="00311A96" w14:paraId="7D9CF20E" w14:textId="77777777">
      <w:pPr>
        <w:spacing w:line="480" w:lineRule="auto"/>
      </w:pPr>
    </w:p>
    <w:p w:rsidRPr="000E4258" w:rsidR="00311A96" w:rsidP="000E4258" w:rsidRDefault="00311A96" w14:paraId="38FD4D57" w14:textId="77777777">
      <w:pPr>
        <w:spacing w:line="480" w:lineRule="auto"/>
      </w:pPr>
    </w:p>
    <w:p w:rsidRPr="000E4258" w:rsidR="00311A96" w:rsidP="000E4258" w:rsidRDefault="00311A96" w14:paraId="7C655071" w14:textId="77777777">
      <w:pPr>
        <w:spacing w:line="480" w:lineRule="auto"/>
      </w:pPr>
    </w:p>
    <w:p w:rsidRPr="000E4258" w:rsidR="00311A96" w:rsidP="000E4258" w:rsidRDefault="00311A96" w14:paraId="0A717BF4" w14:textId="77777777">
      <w:pPr>
        <w:spacing w:line="480" w:lineRule="auto"/>
      </w:pPr>
    </w:p>
    <w:p w:rsidRPr="000E4258" w:rsidR="00311A96" w:rsidP="43B80322" w:rsidRDefault="00311A96" w14:paraId="7DBB5F5B" w14:textId="655D9EF8">
      <w:pPr>
        <w:pStyle w:val="Normal"/>
        <w:spacing w:line="480" w:lineRule="auto"/>
        <w:rPr>
          <w:b w:val="1"/>
          <w:bCs w:val="1"/>
        </w:rPr>
      </w:pPr>
      <w:r w:rsidRPr="43B80322" w:rsidR="00311A96">
        <w:rPr>
          <w:b w:val="1"/>
          <w:bCs w:val="1"/>
        </w:rPr>
        <w:t>Self-Reflection on Autonomy and Self-Determination</w:t>
      </w:r>
    </w:p>
    <w:p w:rsidRPr="000E4258" w:rsidR="00311A96" w:rsidP="000E4258" w:rsidRDefault="00311A96" w14:paraId="553115C8" w14:textId="77777777">
      <w:pPr>
        <w:spacing w:line="480" w:lineRule="auto"/>
      </w:pPr>
      <w:r w:rsidRPr="000E4258">
        <w:t>A key learning outcome of this module was to increase their understanding of autonomy and self-determination and the impact these have on person-centred and ethical practice in Health and Social Care. Prior to the learning activities, I had a vague sense of the concepts, and thought that they were just about an individual's right to make choices. I have been able to develop a deeper understanding of their role in promoting independence, protecting rights and helping people to take an active role in decisions that impact their lives, as a result of class discussions, independent reading, and reflective activities (Beauchamp and Childress, 2019).</w:t>
      </w:r>
    </w:p>
    <w:p w:rsidRPr="000E4258" w:rsidR="00311A96" w:rsidP="000E4258" w:rsidRDefault="00311A96" w14:paraId="52576CAF" w14:textId="6066FDAA">
      <w:pPr>
        <w:spacing w:line="480" w:lineRule="auto"/>
      </w:pPr>
      <w:r w:rsidR="00311A96">
        <w:rPr/>
        <w:t>Autonomy is an individual's right to make decisions about their own life and care without undue interference from others. In the field of health and social care, respecting autonomy involves practitioners understanding service users as experts in their own lives and involving them in decision making wherever possible. This approach is in line with person centred care which is defined as care that is based on dignity, respect, partnership and shared decision making with the professionals and service users (National Institute for Health and Care Excellence, 2021).</w:t>
      </w:r>
    </w:p>
    <w:p w:rsidRPr="000E4258" w:rsidR="00311A96" w:rsidP="000E4258" w:rsidRDefault="00311A96" w14:paraId="634137E9" w14:textId="28A38AB3">
      <w:pPr>
        <w:spacing w:line="480" w:lineRule="auto"/>
      </w:pPr>
    </w:p>
    <w:p w:rsidRPr="000E4258" w:rsidR="00311A96" w:rsidP="43B80322" w:rsidRDefault="00311A96" w14:paraId="1E88D076" w14:textId="646D8E82">
      <w:pPr>
        <w:pStyle w:val="Normal"/>
        <w:spacing w:line="480" w:lineRule="auto"/>
      </w:pPr>
      <w:r w:rsidR="39807FB3">
        <w:drawing>
          <wp:inline wp14:editId="6A1D9D50" wp14:anchorId="1AD49085">
            <wp:extent cx="5724525" cy="2819400"/>
            <wp:effectExtent l="0" t="0" r="0" b="0"/>
            <wp:docPr id="1550521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0521746" name="Picture 1550521746"/>
                    <pic:cNvPicPr/>
                  </pic:nvPicPr>
                  <pic:blipFill>
                    <a:blip xmlns:r="http://schemas.openxmlformats.org/officeDocument/2006/relationships" r:embed="rId1712196544">
                      <a:extLst>
                        <a:ext uri="{28A0092B-C50C-407E-A947-70E740481C1C}">
                          <a14:useLocalDpi xmlns:a14="http://schemas.microsoft.com/office/drawing/2010/main"/>
                        </a:ext>
                      </a:extLst>
                    </a:blip>
                    <a:stretch>
                      <a:fillRect/>
                    </a:stretch>
                  </pic:blipFill>
                  <pic:spPr>
                    <a:xfrm>
                      <a:off x="0" y="0"/>
                      <a:ext cx="5724525" cy="2819400"/>
                    </a:xfrm>
                    <a:prstGeom prst="rect">
                      <a:avLst/>
                    </a:prstGeom>
                  </pic:spPr>
                </pic:pic>
              </a:graphicData>
            </a:graphic>
          </wp:inline>
        </w:drawing>
      </w:r>
      <w:r w:rsidR="7F003C83">
        <w:drawing>
          <wp:inline wp14:editId="23506A63" wp14:anchorId="4E9E9C1D">
            <wp:extent cx="5724525" cy="2876550"/>
            <wp:effectExtent l="0" t="0" r="0" b="0"/>
            <wp:docPr id="12825522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2552225" name="Picture 1282552225"/>
                    <pic:cNvPicPr/>
                  </pic:nvPicPr>
                  <pic:blipFill>
                    <a:blip xmlns:r="http://schemas.openxmlformats.org/officeDocument/2006/relationships" r:embed="rId157929000">
                      <a:extLst>
                        <a:ext uri="{28A0092B-C50C-407E-A947-70E740481C1C}">
                          <a14:useLocalDpi xmlns:a14="http://schemas.microsoft.com/office/drawing/2010/main"/>
                        </a:ext>
                      </a:extLst>
                    </a:blip>
                    <a:stretch>
                      <a:fillRect/>
                    </a:stretch>
                  </pic:blipFill>
                  <pic:spPr>
                    <a:xfrm>
                      <a:off x="0" y="0"/>
                      <a:ext cx="5724525" cy="2876550"/>
                    </a:xfrm>
                    <a:prstGeom prst="rect">
                      <a:avLst/>
                    </a:prstGeom>
                  </pic:spPr>
                </pic:pic>
              </a:graphicData>
            </a:graphic>
          </wp:inline>
        </w:drawing>
      </w:r>
    </w:p>
    <w:p w:rsidRPr="000E4258" w:rsidR="00311A96" w:rsidP="43B80322" w:rsidRDefault="00311A96" w14:paraId="631C1F7D" w14:textId="7028E03A">
      <w:pPr>
        <w:pStyle w:val="Normal"/>
        <w:spacing w:line="480" w:lineRule="auto"/>
      </w:pPr>
    </w:p>
    <w:p w:rsidRPr="000E4258" w:rsidR="00311A96" w:rsidP="000E4258" w:rsidRDefault="00311A96" w14:paraId="3852490B" w14:textId="1E4EAD2E">
      <w:pPr>
        <w:spacing w:line="480" w:lineRule="auto"/>
      </w:pPr>
    </w:p>
    <w:p w:rsidRPr="000E4258" w:rsidR="00311A96" w:rsidP="43B80322" w:rsidRDefault="00311A96" w14:paraId="30C0E988" w14:textId="2B91EC30">
      <w:pPr>
        <w:pStyle w:val="Normal"/>
        <w:spacing w:line="480" w:lineRule="auto"/>
      </w:pPr>
      <w:r w:rsidR="75C10666">
        <w:drawing>
          <wp:inline wp14:editId="573B97A2" wp14:anchorId="67EE8CFA">
            <wp:extent cx="6238875" cy="3453483"/>
            <wp:effectExtent l="0" t="0" r="0" b="0"/>
            <wp:docPr id="16016040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1604078" name="Picture 1601604078"/>
                    <pic:cNvPicPr/>
                  </pic:nvPicPr>
                  <pic:blipFill>
                    <a:blip xmlns:r="http://schemas.openxmlformats.org/officeDocument/2006/relationships" r:embed="rId1898140790">
                      <a:extLst>
                        <a:ext uri="{28A0092B-C50C-407E-A947-70E740481C1C}">
                          <a14:useLocalDpi xmlns:a14="http://schemas.microsoft.com/office/drawing/2010/main"/>
                        </a:ext>
                      </a:extLst>
                    </a:blip>
                    <a:stretch>
                      <a:fillRect/>
                    </a:stretch>
                  </pic:blipFill>
                  <pic:spPr>
                    <a:xfrm rot="0">
                      <a:off x="0" y="0"/>
                      <a:ext cx="6238875" cy="3453483"/>
                    </a:xfrm>
                    <a:prstGeom prst="rect">
                      <a:avLst/>
                    </a:prstGeom>
                  </pic:spPr>
                </pic:pic>
              </a:graphicData>
            </a:graphic>
          </wp:inline>
        </w:drawing>
      </w:r>
    </w:p>
    <w:p w:rsidRPr="000E4258" w:rsidR="00311A96" w:rsidP="43B80322" w:rsidRDefault="00311A96" w14:paraId="0262111E" w14:textId="4C41CDD6">
      <w:pPr>
        <w:pStyle w:val="Normal"/>
        <w:spacing w:line="480" w:lineRule="auto"/>
      </w:pPr>
    </w:p>
    <w:p w:rsidRPr="000E4258" w:rsidR="00311A96" w:rsidP="43B80322" w:rsidRDefault="00311A96" w14:paraId="2A678FF6" w14:textId="7F73E546">
      <w:pPr>
        <w:pStyle w:val="Normal"/>
        <w:spacing w:line="480" w:lineRule="auto"/>
      </w:pPr>
    </w:p>
    <w:p w:rsidRPr="000E4258" w:rsidR="00311A96" w:rsidP="43B80322" w:rsidRDefault="00311A96" w14:paraId="2296CC8C" w14:textId="5A2E6CB9">
      <w:pPr>
        <w:pStyle w:val="Normal"/>
        <w:spacing w:line="480" w:lineRule="auto"/>
      </w:pPr>
      <w:r w:rsidR="00311A96">
        <w:rPr/>
        <w:t xml:space="preserve">This learning has helped me to see the role of the social worker differently. In the opening stages of the </w:t>
      </w:r>
      <w:r w:rsidR="00311A96">
        <w:rPr/>
        <w:t>module</w:t>
      </w:r>
      <w:r w:rsidR="00311A96">
        <w:rPr/>
        <w:t xml:space="preserve"> I had the view that professionals make decisions most of the time due to their specialism and experience. I have learned, however, that good social work is not a matter of taking control of people's lives, but of helping people to make choices and offering them the right help and advice. This change in thinking has led me to pursue more collaborative ways of thinking, respecting the experiences, </w:t>
      </w:r>
      <w:r w:rsidR="00311A96">
        <w:rPr/>
        <w:t>preferences</w:t>
      </w:r>
      <w:r w:rsidR="00311A96">
        <w:rPr/>
        <w:t xml:space="preserve"> and aspirations of each person.</w:t>
      </w:r>
    </w:p>
    <w:p w:rsidRPr="000E4258" w:rsidR="00311A96" w:rsidP="000E4258" w:rsidRDefault="00311A96" w14:paraId="2B6D9CE7" w14:textId="77777777">
      <w:pPr>
        <w:spacing w:line="480" w:lineRule="auto"/>
      </w:pPr>
      <w:r w:rsidRPr="000E4258">
        <w:lastRenderedPageBreak/>
        <w:t xml:space="preserve">A case study to illustrate the significance of autonomy is to support a young adult who is moving from local authority care to living independently from a young age. The transition from care for young people can often present a number of difficulties such as finding suitable housing, education/employment, financial management and confidence to live independently. My Job as a future </w:t>
      </w:r>
      <w:proofErr w:type="gramStart"/>
      <w:r w:rsidRPr="000E4258">
        <w:t>Social</w:t>
      </w:r>
      <w:proofErr w:type="gramEnd"/>
      <w:r w:rsidRPr="000E4258">
        <w:t xml:space="preserve"> worker would be to discuss the options that they may have in their own lives and the possible outcomes of their decisions as well as giving them the opportunity to decide on what they want to achieve in their lives. If a care leaver would choose to do vocational training instead of going to university, I would take into account their choice and give them information about vocational training providers, financial support and employment opportunities. This ensures independence, and shows respect for the person's goals and desires instead of my own ideas on what might be best (Department for Education, 2024).</w:t>
      </w:r>
    </w:p>
    <w:p w:rsidRPr="000E4258" w:rsidR="00311A96" w:rsidP="000E4258" w:rsidRDefault="00311A96" w14:paraId="7087188F" w14:textId="77777777">
      <w:pPr>
        <w:spacing w:line="480" w:lineRule="auto"/>
      </w:pPr>
      <w:r w:rsidRPr="000E4258">
        <w:t>I have come to understand that good communication and listening are essential to promoting independence through this example. I cannot presume to know what is best for the person, I need to provide space for them to share their opinions, worries and aspirations. Active listening helps practitioners to grasp what is important and unique to every individual and provides the base for care planning that truly meets the individual's needs. This learning has reinforced the importance of building trusting relationships based on mutual respect, honesty and empathy; qualities that enable people to be involved confidently in decisions that impact on their lives (British Association of Social Workers, 2021).</w:t>
      </w:r>
    </w:p>
    <w:p w:rsidRPr="000E4258" w:rsidR="00311A96" w:rsidP="000E4258" w:rsidRDefault="00311A96" w14:paraId="10C6C286" w14:textId="77777777">
      <w:pPr>
        <w:spacing w:line="480" w:lineRule="auto"/>
      </w:pPr>
      <w:r w:rsidRPr="000E4258">
        <w:t xml:space="preserve">Another critical topic covered throughout the module was self-determination, which is more than just autonomy, as it acknowledges the individual's right to pursue personal goals and assumes responsibility for his or her own life. Self-determination facilitates practitioners to build confidence, resilience and independence in people instead of artificial dependence on professional services. I understand this principle well and it has made a huge impact on my worldview of how to support others. I used to think that it meant I was helping the other </w:t>
      </w:r>
      <w:r w:rsidRPr="000E4258">
        <w:lastRenderedPageBreak/>
        <w:t>person by solving their problem. Now, however, I am aware of the importance of providing people with the knowledge, confidence and skill to tackle problems on their own (United Nations, 2006).</w:t>
      </w:r>
    </w:p>
    <w:p w:rsidRPr="000E4258" w:rsidR="00311A96" w:rsidP="000E4258" w:rsidRDefault="00311A96" w14:paraId="7AD42B9F" w14:textId="77777777">
      <w:pPr>
        <w:spacing w:line="480" w:lineRule="auto"/>
      </w:pPr>
      <w:r w:rsidRPr="000E4258">
        <w:t>I understand self-determination as an understanding of the importance of promoting the individual's involvement in planning for their future, for example in the context of a young adult leaving care. Rather than arranging all aspects of transition into adulthood, I would encourage them to think about their own targets and plans for transition in education, employment, housing and wellbeing and help them to devise realistic plans of action. This way the person can become self-confident in doing their own work and understand that they can call upon expert help if necessary. Considering this situation has shown that empowering people can often have more sustainable outcomes than taking decisions for them as individuals are more likely to engage with plans that they have helped to design (Skills for Care, 2024).</w:t>
      </w:r>
    </w:p>
    <w:p w:rsidRPr="000E4258" w:rsidR="00311A96" w:rsidP="000E4258" w:rsidRDefault="00311A96" w14:paraId="1933544E" w14:textId="77777777">
      <w:pPr>
        <w:spacing w:line="480" w:lineRule="auto"/>
      </w:pPr>
      <w:r w:rsidRPr="000E4258">
        <w:t>Autonomy and self-determination are core values and principles of ethical practice, but I have also been taught that there are occasions when autonomy and self-determination must be balanced with responsibility as a practitioner. Social workers often face difficult situations where safeguarding issues, mental capacity and/or substantial risk issues need to be addressed to safeguard vulnerable people. If a young person leaving care were immediately at risk of exploitation, homelessness or serious harm for example, then I would have a professional and legal responsibility to take appropriate safeguarding action whilst maintaining their involvement in decision-making wherever possible. This reflection has given me insight into respect of autonomy does not mean avoiding unnecessary harm to the person. Rather, practitioners will need to strike a balance between supporting independence and meeting their duty of care (Mental Capacity Act, 2005).</w:t>
      </w:r>
    </w:p>
    <w:p w:rsidRPr="000E4258" w:rsidR="00311A96" w:rsidP="000E4258" w:rsidRDefault="00311A96" w14:paraId="6C1387D8" w14:textId="77777777">
      <w:pPr>
        <w:spacing w:line="480" w:lineRule="auto"/>
      </w:pPr>
      <w:r w:rsidRPr="000E4258">
        <w:lastRenderedPageBreak/>
        <w:t xml:space="preserve">I have certainly grown in my understanding of professional responsibility after thinking about these issues of ethics. As a future social </w:t>
      </w:r>
      <w:proofErr w:type="gramStart"/>
      <w:r w:rsidRPr="000E4258">
        <w:t>worker</w:t>
      </w:r>
      <w:proofErr w:type="gramEnd"/>
      <w:r w:rsidRPr="000E4258">
        <w:t xml:space="preserve"> I will be required to justify my decisions according to the law, professional standards and based on evidence of practice, and not on my own opinions or assumptions. This involves constant introspection, critical thinking and accepting feedback from peers and managers in complex scenarios. I now recognise that reflective practice is a key part of enhancing professional judgement and ensuring service user rights, safety and wellbeing are always at the forefront of any decision making (Social Work England, 2024).</w:t>
      </w:r>
    </w:p>
    <w:p w:rsidRPr="000E4258" w:rsidR="00311A96" w:rsidP="000E4258" w:rsidRDefault="00311A96" w14:paraId="33AA3346" w14:textId="77777777">
      <w:pPr>
        <w:spacing w:line="480" w:lineRule="auto"/>
      </w:pPr>
      <w:r w:rsidRPr="000E4258">
        <w:t>This learning has also applied to my own pathway of learning and career development. In this module I have taken greater responsibility for my own learning, identifying where I need to develop further, finding more reading and responding, positively, to feedback from the tutor. Having developed more autonomy as a learner, my confidence has grown and the need for lifelong learning in health and social care has been strengthened. Practitioners will need to keep up to date with their knowledge and skills to ensure they are able to deliver high quality care, given that professional practice is continually changing due to changes in legislation, policy and evidence-based interventions (Health and Care Professions Council, 2023).</w:t>
      </w:r>
    </w:p>
    <w:p w:rsidRPr="000E4258" w:rsidR="00311A96" w:rsidP="000E4258" w:rsidRDefault="00311A96" w14:paraId="2B13194A" w14:textId="77777777">
      <w:pPr>
        <w:spacing w:line="480" w:lineRule="auto"/>
      </w:pPr>
      <w:r w:rsidRPr="000E4258">
        <w:t>My future learning goals involve further developing my communication skills, confidence in shared decision making and experience in taking care of myself through volunteering and placements. I also want to improve my knowledge about the legislation for safeguarding and how to support young people when they are leaving care, to enable me to offer informed, caring and person-centred support. These experiences will enable me to be a practitioner who supports others to be independent, uphold their rights, dignity and wellbeing in all professional decisions.</w:t>
      </w:r>
    </w:p>
    <w:p w:rsidRPr="000E4258" w:rsidR="003D231E" w:rsidP="000E4258" w:rsidRDefault="00311A96" w14:paraId="264F8EEB" w14:textId="0F14683E">
      <w:pPr>
        <w:spacing w:line="480" w:lineRule="auto"/>
      </w:pPr>
      <w:r w:rsidRPr="000E4258">
        <w:lastRenderedPageBreak/>
        <w:t xml:space="preserve">In general, thinking about autonomy and </w:t>
      </w:r>
      <w:proofErr w:type="spellStart"/>
      <w:r w:rsidRPr="000E4258">
        <w:t>self determination</w:t>
      </w:r>
      <w:proofErr w:type="spellEnd"/>
      <w:r w:rsidRPr="000E4258">
        <w:t xml:space="preserve"> has changed my views of ethical social work practice. I now understand that effective practitioners aren't just able to solve people's problems, they work with people to enable them to make informed choices, reach their own objectives and build confidence in their ability to live their life. As an example, supporting a young adult who has left care has shown me how these principles can be implemented in practice and it has deepened my belief that as a social worker I need to be someone who empowers, includes and cares about the person in my working life.</w:t>
      </w:r>
    </w:p>
    <w:p w:rsidRPr="000E4258" w:rsidR="00311A96" w:rsidP="000E4258" w:rsidRDefault="00311A96" w14:paraId="7F785284" w14:textId="35F92368">
      <w:pPr>
        <w:spacing w:line="480" w:lineRule="auto"/>
        <w:rPr>
          <w:b/>
          <w:bCs/>
        </w:rPr>
      </w:pPr>
      <w:r w:rsidRPr="000E4258">
        <w:rPr>
          <w:b/>
          <w:bCs/>
        </w:rPr>
        <w:t xml:space="preserve">A reflective assignment on Professional Networking and Soft Skills in Health and Social Care </w:t>
      </w:r>
    </w:p>
    <w:p w:rsidRPr="000E4258" w:rsidR="00311A96" w:rsidP="000E4258" w:rsidRDefault="00311A96" w14:paraId="460294A1" w14:textId="77777777">
      <w:pPr>
        <w:spacing w:line="480" w:lineRule="auto"/>
      </w:pPr>
      <w:r w:rsidRPr="000E4258">
        <w:t>A key part of career development in health and social care is professional networking and soft skills development. Through reflections on what I have done in this module, I have learned that to be an effective social worker, I must not only have the academic knowledge and technical skills, but I must also have the skills and knowledge of an effective social worker. It also includes the development of meaningful working relationships, good communication skills with a range of people and the ongoing development of interpersonal skills which improve the quality of the care given to the service user. Prior to doing this module I used to think of networking as a way to get a job. However, I now appreciate (Barker 2018) that professional networking is a continuous process of establishing collaborative relationships which allow for learning, knowledge sharing, and better service provision in interprofessional health and social care service settings.</w:t>
      </w:r>
    </w:p>
    <w:p w:rsidRPr="000E4258" w:rsidR="00311A96" w:rsidP="000E4258" w:rsidRDefault="00311A96" w14:paraId="3EAC7CAC" w14:textId="77777777">
      <w:pPr>
        <w:spacing w:line="480" w:lineRule="auto"/>
      </w:pPr>
      <w:r w:rsidRPr="000E4258">
        <w:t xml:space="preserve">Lessons I have learned is that social work is not a lonely profession. Rather, they work with experts from a range of professions such as nurses, occupational therapists, psychologists, teachers, housing officers, police officers and voluntary organisations. Good networking helps practitioners to tap into the specialist knowledge, coordinate access to other support </w:t>
      </w:r>
      <w:r w:rsidRPr="000E4258">
        <w:lastRenderedPageBreak/>
        <w:t>services and provide individuals with a holistic approach to their care and support, covering physical, emotional, psychological and social aspects. This has helped me to understand that building professional relationships is not just about progression but a key part of delivering positive outcomes for service users. As a future social worker, I aim to engage in collaborative team working by attending professional meetings, events in the community, and multidisciplinary discussions on cases to develop and enhance professional working practice (Social Work England, 2024).</w:t>
      </w:r>
    </w:p>
    <w:p w:rsidRPr="000E4258" w:rsidR="00311A96" w:rsidP="000E4258" w:rsidRDefault="00311A96" w14:paraId="44FD3C46" w14:textId="77777777">
      <w:pPr>
        <w:spacing w:line="480" w:lineRule="auto"/>
      </w:pPr>
      <w:r w:rsidRPr="000E4258">
        <w:t>I also gained an awareness of the value of networking outside of my career from the networking activity. At first, I thought that networking should be done with other social workers as they have similar responsibilities and experiences. But now I understand that cross professional, cultural and community organisation interaction will extend professional views and develop problem solving skills. For instance, developing links with people who work in education, mental health and the housing sector will help me to gain a better understanding of the broader context that can have a significant impact on the wellbeing of vulnerable people. This learning has influenced my approach to be more proactive in my efforts to connect with people from various sectors as it is the interworking of networks which can provide more holistic and person-centred care (Skills for Care, 2024).</w:t>
      </w:r>
    </w:p>
    <w:p w:rsidRPr="000E4258" w:rsidR="00D657A2" w:rsidP="000E4258" w:rsidRDefault="00D657A2" w14:paraId="416E3A68" w14:textId="77777777">
      <w:pPr>
        <w:spacing w:line="480" w:lineRule="auto"/>
      </w:pPr>
      <w:r w:rsidRPr="000E4258">
        <w:t xml:space="preserve">The focus of this module has been on the role of soft skills in health and social care, including the development of professional networks and working collaboratively. As well as academic knowledge, practitioners need to have a range of other attributes to provide safe, compassionate and person-centred care, including communication, empathy, adaptability, teamworking, critical thinking and emotional intelligence. These skills are crucial to building trust, handling conflict, supporting someone in distress and working well in multi-professional teams (Health and Care Professions Council, 2023). I am keen to continually </w:t>
      </w:r>
      <w:r w:rsidRPr="000E4258">
        <w:lastRenderedPageBreak/>
        <w:t>strengthen and refine these transferable skills, as well as my academic skills, so that I can continue to improve myself as a person.</w:t>
      </w:r>
    </w:p>
    <w:p w:rsidRPr="000E4258" w:rsidR="00D657A2" w:rsidP="000E4258" w:rsidRDefault="00D657A2" w14:paraId="3CC376AE" w14:textId="77777777">
      <w:pPr>
        <w:spacing w:line="480" w:lineRule="auto"/>
      </w:pPr>
    </w:p>
    <w:p w:rsidRPr="000E4258" w:rsidR="00D657A2" w:rsidP="000E4258" w:rsidRDefault="00D657A2" w14:paraId="26338150" w14:textId="42F91F9D">
      <w:pPr>
        <w:spacing w:line="480" w:lineRule="auto"/>
      </w:pPr>
      <w:r w:rsidRPr="000E4258">
        <w:t>My core potential development area is communication skills, including active listening, nonverbal communication and tailoring methods to meet a variety of needs. As a social worker of the future, I will meet with service users with learning disabilities, language barriers and/or trauma history who will need my patience and empathy. EI will also be essential to the regulation of emotions, maintain boundaries and establish therapeutic relationships (Goleman, 1998). I hope to continue developing these skills through placements, volunteering and feedback so that my professional practice will continue to be ethical, resilient and collaborative. Finally, for health and social care to be successful, practitioners need to be able to communicate, network and reflect on their learning and development to ensure that they can deliver high quality, person-centred care</w:t>
      </w:r>
      <w:r w:rsidRPr="000E4258" w:rsidR="000E4258">
        <w:t>.</w:t>
      </w:r>
    </w:p>
    <w:p w:rsidRPr="000E4258" w:rsidR="00D657A2" w:rsidP="000E4258" w:rsidRDefault="00D657A2" w14:paraId="63CF374F" w14:textId="77777777">
      <w:pPr>
        <w:spacing w:line="480" w:lineRule="auto"/>
      </w:pPr>
    </w:p>
    <w:p w:rsidRPr="000E4258" w:rsidR="00D657A2" w:rsidP="000E4258" w:rsidRDefault="00D657A2" w14:paraId="74F60687" w14:textId="77777777">
      <w:pPr>
        <w:spacing w:line="480" w:lineRule="auto"/>
      </w:pPr>
    </w:p>
    <w:p w:rsidRPr="000E4258" w:rsidR="00311A96" w:rsidP="000E4258" w:rsidRDefault="00311A96" w14:paraId="34976AAA" w14:textId="565C1D1B">
      <w:pPr>
        <w:spacing w:line="480" w:lineRule="auto"/>
        <w:rPr>
          <w:b/>
          <w:bCs/>
        </w:rPr>
      </w:pPr>
      <w:r w:rsidRPr="000E4258">
        <w:rPr>
          <w:b/>
          <w:bCs/>
        </w:rPr>
        <w:t>References</w:t>
      </w:r>
    </w:p>
    <w:p w:rsidRPr="00D657A2" w:rsidR="00D657A2" w:rsidP="000E4258" w:rsidRDefault="00D657A2" w14:paraId="64E7AFCA" w14:textId="77777777">
      <w:pPr>
        <w:spacing w:line="480" w:lineRule="auto"/>
      </w:pPr>
      <w:r w:rsidRPr="00D657A2">
        <w:t xml:space="preserve">Barker, R.L. (2018) </w:t>
      </w:r>
      <w:r w:rsidRPr="00D657A2">
        <w:rPr>
          <w:i/>
          <w:iCs/>
        </w:rPr>
        <w:t>The Social Work Dictionary</w:t>
      </w:r>
      <w:r w:rsidRPr="00D657A2">
        <w:t xml:space="preserve">. 7th </w:t>
      </w:r>
      <w:proofErr w:type="spellStart"/>
      <w:r w:rsidRPr="00D657A2">
        <w:t>edn</w:t>
      </w:r>
      <w:proofErr w:type="spellEnd"/>
      <w:r w:rsidRPr="00D657A2">
        <w:t>. Washington, DC: NASW Press.</w:t>
      </w:r>
    </w:p>
    <w:p w:rsidRPr="00D657A2" w:rsidR="00D657A2" w:rsidP="000E4258" w:rsidRDefault="00D657A2" w14:paraId="274FBC6A" w14:textId="77777777">
      <w:pPr>
        <w:spacing w:line="480" w:lineRule="auto"/>
      </w:pPr>
      <w:r w:rsidRPr="00D657A2">
        <w:t xml:space="preserve">Beauchamp, T.L. and Childress, J.F. (2019) </w:t>
      </w:r>
      <w:r w:rsidRPr="00D657A2">
        <w:rPr>
          <w:i/>
          <w:iCs/>
        </w:rPr>
        <w:t>Principles of Biomedical Ethics</w:t>
      </w:r>
      <w:r w:rsidRPr="00D657A2">
        <w:t xml:space="preserve">. 8th </w:t>
      </w:r>
      <w:proofErr w:type="spellStart"/>
      <w:r w:rsidRPr="00D657A2">
        <w:t>edn</w:t>
      </w:r>
      <w:proofErr w:type="spellEnd"/>
      <w:r w:rsidRPr="00D657A2">
        <w:t>. New York: Oxford University Press.</w:t>
      </w:r>
    </w:p>
    <w:p w:rsidRPr="00D657A2" w:rsidR="00D657A2" w:rsidP="000E4258" w:rsidRDefault="00D657A2" w14:paraId="38FBF4CB" w14:textId="77777777">
      <w:pPr>
        <w:spacing w:line="480" w:lineRule="auto"/>
      </w:pPr>
      <w:r w:rsidRPr="00D657A2">
        <w:t xml:space="preserve">British Association of Social Workers (2021) </w:t>
      </w:r>
      <w:r w:rsidRPr="00D657A2">
        <w:rPr>
          <w:i/>
          <w:iCs/>
        </w:rPr>
        <w:t>Code of Ethics for Social Work</w:t>
      </w:r>
      <w:r w:rsidRPr="00D657A2">
        <w:t xml:space="preserve">. Birmingham: BASW. Available at: </w:t>
      </w:r>
      <w:hyperlink w:tgtFrame="_new" w:history="1" r:id="rId6">
        <w:r w:rsidRPr="00D657A2">
          <w:rPr>
            <w:rStyle w:val="Hyperlink"/>
          </w:rPr>
          <w:t>https://www.basw.co.uk/about-basw/code-ethics</w:t>
        </w:r>
      </w:hyperlink>
      <w:r w:rsidRPr="00D657A2">
        <w:t xml:space="preserve"> (Accessed: 30 July 2026).</w:t>
      </w:r>
    </w:p>
    <w:p w:rsidRPr="00D657A2" w:rsidR="00D657A2" w:rsidP="000E4258" w:rsidRDefault="00D657A2" w14:paraId="34EAD1C2" w14:textId="77777777">
      <w:pPr>
        <w:spacing w:line="480" w:lineRule="auto"/>
      </w:pPr>
      <w:r w:rsidRPr="00D657A2">
        <w:lastRenderedPageBreak/>
        <w:t xml:space="preserve">Care Quality Commission (2024) </w:t>
      </w:r>
      <w:r w:rsidRPr="00D657A2">
        <w:rPr>
          <w:i/>
          <w:iCs/>
        </w:rPr>
        <w:t>Guidance for Providers on Meeting the Regulations</w:t>
      </w:r>
      <w:r w:rsidRPr="00D657A2">
        <w:t>. Newcastle upon Tyne: Care Quality Commission. Available at: https://www.cqc.org.uk/guidance-providers (Accessed: 30 July 2026).</w:t>
      </w:r>
    </w:p>
    <w:p w:rsidRPr="00D657A2" w:rsidR="00D657A2" w:rsidP="000E4258" w:rsidRDefault="00D657A2" w14:paraId="2F7DDA4A" w14:textId="77777777">
      <w:pPr>
        <w:spacing w:line="480" w:lineRule="auto"/>
      </w:pPr>
      <w:r w:rsidRPr="00D657A2">
        <w:t xml:space="preserve">Department for Education (2024) </w:t>
      </w:r>
      <w:r w:rsidRPr="00D657A2">
        <w:rPr>
          <w:i/>
          <w:iCs/>
        </w:rPr>
        <w:t>Children Leaving Care: Getting the Best from Continuing Care</w:t>
      </w:r>
      <w:r w:rsidRPr="00D657A2">
        <w:t xml:space="preserve">. London: Department for Education. Available at: </w:t>
      </w:r>
      <w:hyperlink w:tgtFrame="_new" w:history="1" r:id="rId7">
        <w:r w:rsidRPr="00D657A2">
          <w:rPr>
            <w:rStyle w:val="Hyperlink"/>
          </w:rPr>
          <w:t>https://www.gov.uk/government/organisations/department-for-education</w:t>
        </w:r>
      </w:hyperlink>
      <w:r w:rsidRPr="00D657A2">
        <w:t xml:space="preserve"> (Accessed: 30 July 2026).</w:t>
      </w:r>
    </w:p>
    <w:p w:rsidRPr="00D657A2" w:rsidR="00D657A2" w:rsidP="000E4258" w:rsidRDefault="00D657A2" w14:paraId="0A2C286C" w14:textId="77777777">
      <w:pPr>
        <w:spacing w:line="480" w:lineRule="auto"/>
      </w:pPr>
      <w:r w:rsidRPr="00D657A2">
        <w:t xml:space="preserve">Department of Health and Social Care (2022) </w:t>
      </w:r>
      <w:r w:rsidRPr="00D657A2">
        <w:rPr>
          <w:i/>
          <w:iCs/>
        </w:rPr>
        <w:t>Health and Care Act 2022</w:t>
      </w:r>
      <w:r w:rsidRPr="00D657A2">
        <w:t xml:space="preserve">. London: The Stationery Office. Available at: </w:t>
      </w:r>
      <w:hyperlink w:tgtFrame="_new" w:history="1" r:id="rId8">
        <w:r w:rsidRPr="00D657A2">
          <w:rPr>
            <w:rStyle w:val="Hyperlink"/>
          </w:rPr>
          <w:t>https://www.legislation.gov.uk/ukpga/2022/31/contents</w:t>
        </w:r>
      </w:hyperlink>
      <w:r w:rsidRPr="00D657A2">
        <w:t xml:space="preserve"> (Accessed: 30 July 2026).</w:t>
      </w:r>
    </w:p>
    <w:p w:rsidRPr="00D657A2" w:rsidR="00D657A2" w:rsidP="000E4258" w:rsidRDefault="00D657A2" w14:paraId="5B175B0C" w14:textId="77777777">
      <w:pPr>
        <w:spacing w:line="480" w:lineRule="auto"/>
      </w:pPr>
      <w:r w:rsidRPr="00D657A2">
        <w:t xml:space="preserve">Goleman, D. (1998) </w:t>
      </w:r>
      <w:r w:rsidRPr="00D657A2">
        <w:rPr>
          <w:i/>
          <w:iCs/>
        </w:rPr>
        <w:t>Working with Emotional Intelligence</w:t>
      </w:r>
      <w:r w:rsidRPr="00D657A2">
        <w:t>. New York: Bantam Books.</w:t>
      </w:r>
    </w:p>
    <w:p w:rsidRPr="00D657A2" w:rsidR="00D657A2" w:rsidP="000E4258" w:rsidRDefault="00D657A2" w14:paraId="2A0CD4D2" w14:textId="77777777">
      <w:pPr>
        <w:spacing w:line="480" w:lineRule="auto"/>
      </w:pPr>
      <w:r w:rsidRPr="00D657A2">
        <w:t xml:space="preserve">Health and Care Professions Council (2023) </w:t>
      </w:r>
      <w:r w:rsidRPr="00D657A2">
        <w:rPr>
          <w:i/>
          <w:iCs/>
        </w:rPr>
        <w:t>Standards of Continuing Professional Development</w:t>
      </w:r>
      <w:r w:rsidRPr="00D657A2">
        <w:t xml:space="preserve">. London: HCPC. Available at: </w:t>
      </w:r>
      <w:hyperlink w:tgtFrame="_new" w:history="1" r:id="rId9">
        <w:r w:rsidRPr="00D657A2">
          <w:rPr>
            <w:rStyle w:val="Hyperlink"/>
          </w:rPr>
          <w:t>https://www.hcpc-uk.org/standards/standards-of-continuing-professional-development/</w:t>
        </w:r>
      </w:hyperlink>
      <w:r w:rsidRPr="00D657A2">
        <w:t xml:space="preserve"> (Accessed: 30 July 2026).</w:t>
      </w:r>
    </w:p>
    <w:p w:rsidRPr="00D657A2" w:rsidR="00D657A2" w:rsidP="000E4258" w:rsidRDefault="00D657A2" w14:paraId="494D40A0" w14:textId="77777777">
      <w:pPr>
        <w:spacing w:line="480" w:lineRule="auto"/>
      </w:pPr>
      <w:r w:rsidRPr="00D657A2">
        <w:t xml:space="preserve">Kolb, D.A. (1984) </w:t>
      </w:r>
      <w:r w:rsidRPr="00D657A2">
        <w:rPr>
          <w:i/>
          <w:iCs/>
        </w:rPr>
        <w:t>Experiential Learning: Experience as the Source of Learning and Development</w:t>
      </w:r>
      <w:r w:rsidRPr="00D657A2">
        <w:t>. Englewood Cliffs, NJ: Prentice Hall.</w:t>
      </w:r>
    </w:p>
    <w:p w:rsidRPr="00D657A2" w:rsidR="00D657A2" w:rsidP="000E4258" w:rsidRDefault="00D657A2" w14:paraId="33B506C7" w14:textId="77777777">
      <w:pPr>
        <w:spacing w:line="480" w:lineRule="auto"/>
      </w:pPr>
      <w:r w:rsidRPr="00D657A2">
        <w:t xml:space="preserve">Mental Capacity Act 2005 (c. 9). London: The Stationery Office. Available at: </w:t>
      </w:r>
      <w:hyperlink w:tgtFrame="_new" w:history="1" r:id="rId10">
        <w:r w:rsidRPr="00D657A2">
          <w:rPr>
            <w:rStyle w:val="Hyperlink"/>
          </w:rPr>
          <w:t>https://www.legislation.gov.uk/ukpga/2005/9/contents</w:t>
        </w:r>
      </w:hyperlink>
      <w:r w:rsidRPr="00D657A2">
        <w:t xml:space="preserve"> (Accessed: 30 July 2026).</w:t>
      </w:r>
    </w:p>
    <w:p w:rsidRPr="00D657A2" w:rsidR="00D657A2" w:rsidP="000E4258" w:rsidRDefault="00D657A2" w14:paraId="42D1D32A" w14:textId="77777777">
      <w:pPr>
        <w:spacing w:line="480" w:lineRule="auto"/>
      </w:pPr>
      <w:r w:rsidRPr="00D657A2">
        <w:t xml:space="preserve">National Institute for Health and Care Excellence (2021) </w:t>
      </w:r>
      <w:r w:rsidRPr="00D657A2">
        <w:rPr>
          <w:i/>
          <w:iCs/>
        </w:rPr>
        <w:t>Shared Decision Making (NG197)</w:t>
      </w:r>
      <w:r w:rsidRPr="00D657A2">
        <w:t xml:space="preserve">. London: NICE. Available at: </w:t>
      </w:r>
      <w:hyperlink w:tgtFrame="_new" w:history="1" r:id="rId11">
        <w:r w:rsidRPr="00D657A2">
          <w:rPr>
            <w:rStyle w:val="Hyperlink"/>
          </w:rPr>
          <w:t>https://www.nice.org.uk/guidance/ng197</w:t>
        </w:r>
      </w:hyperlink>
      <w:r w:rsidRPr="00D657A2">
        <w:t xml:space="preserve"> (Accessed: 30 July 2026).</w:t>
      </w:r>
    </w:p>
    <w:p w:rsidRPr="00D657A2" w:rsidR="00D657A2" w:rsidP="000E4258" w:rsidRDefault="00D657A2" w14:paraId="069EC80E" w14:textId="77777777">
      <w:pPr>
        <w:spacing w:line="480" w:lineRule="auto"/>
      </w:pPr>
      <w:r w:rsidRPr="00D657A2">
        <w:lastRenderedPageBreak/>
        <w:t xml:space="preserve">NHS England (2023) </w:t>
      </w:r>
      <w:r w:rsidRPr="00D657A2">
        <w:rPr>
          <w:i/>
          <w:iCs/>
        </w:rPr>
        <w:t>NHS Long Term Workforce Plan</w:t>
      </w:r>
      <w:r w:rsidRPr="00D657A2">
        <w:t xml:space="preserve">. London: NHS England. Available at: </w:t>
      </w:r>
      <w:hyperlink w:tgtFrame="_new" w:history="1" r:id="rId12">
        <w:r w:rsidRPr="00D657A2">
          <w:rPr>
            <w:rStyle w:val="Hyperlink"/>
          </w:rPr>
          <w:t>https://www.england.nhs.uk/long-read/nhs-long-term-workforce-plan/</w:t>
        </w:r>
      </w:hyperlink>
      <w:r w:rsidRPr="00D657A2">
        <w:t xml:space="preserve"> (Accessed: 30 July 2026).</w:t>
      </w:r>
    </w:p>
    <w:p w:rsidRPr="00D657A2" w:rsidR="00D657A2" w:rsidP="000E4258" w:rsidRDefault="00D657A2" w14:paraId="146D73BE" w14:textId="77777777">
      <w:pPr>
        <w:spacing w:line="480" w:lineRule="auto"/>
      </w:pPr>
      <w:r w:rsidRPr="00D657A2">
        <w:t xml:space="preserve">NHS Leadership Academy (2023) </w:t>
      </w:r>
      <w:r w:rsidRPr="00D657A2">
        <w:rPr>
          <w:i/>
          <w:iCs/>
        </w:rPr>
        <w:t>Healthcare Leadership Model</w:t>
      </w:r>
      <w:r w:rsidRPr="00D657A2">
        <w:t xml:space="preserve">. Leeds: NHS Leadership Academy. Available at: </w:t>
      </w:r>
      <w:hyperlink w:tgtFrame="_new" w:history="1" r:id="rId13">
        <w:r w:rsidRPr="00D657A2">
          <w:rPr>
            <w:rStyle w:val="Hyperlink"/>
          </w:rPr>
          <w:t>https://www.leadershipacademy.nhs.uk/resources/healthcare-leadership-model/</w:t>
        </w:r>
      </w:hyperlink>
      <w:r w:rsidRPr="00D657A2">
        <w:t xml:space="preserve"> (Accessed: 30 July 2026).</w:t>
      </w:r>
    </w:p>
    <w:p w:rsidRPr="00D657A2" w:rsidR="00D657A2" w:rsidP="000E4258" w:rsidRDefault="00D657A2" w14:paraId="45FDEB68" w14:textId="77777777">
      <w:pPr>
        <w:spacing w:line="480" w:lineRule="auto"/>
      </w:pPr>
      <w:r w:rsidRPr="00D657A2">
        <w:t xml:space="preserve">Schön, D.A. (1983) </w:t>
      </w:r>
      <w:r w:rsidRPr="00D657A2">
        <w:rPr>
          <w:i/>
          <w:iCs/>
        </w:rPr>
        <w:t>The Reflective Practitioner: How Professionals Think in Action</w:t>
      </w:r>
      <w:r w:rsidRPr="00D657A2">
        <w:t>. New York: Basic Books.</w:t>
      </w:r>
    </w:p>
    <w:p w:rsidRPr="00D657A2" w:rsidR="00D657A2" w:rsidP="000E4258" w:rsidRDefault="00D657A2" w14:paraId="393CD524" w14:textId="77777777">
      <w:pPr>
        <w:spacing w:line="480" w:lineRule="auto"/>
      </w:pPr>
      <w:r w:rsidRPr="00D657A2">
        <w:t xml:space="preserve">Skills for Care (2024) </w:t>
      </w:r>
      <w:r w:rsidRPr="00D657A2">
        <w:rPr>
          <w:i/>
          <w:iCs/>
        </w:rPr>
        <w:t>Workforce Strategy for Adult Social Care in England</w:t>
      </w:r>
      <w:r w:rsidRPr="00D657A2">
        <w:t>. Leeds: Skills for Care. Available at: https://www.skillsforcare.org.uk/WorkforceStrategy (Accessed: 30 July 2026).</w:t>
      </w:r>
    </w:p>
    <w:p w:rsidRPr="00D657A2" w:rsidR="00D657A2" w:rsidP="000E4258" w:rsidRDefault="00D657A2" w14:paraId="6DC9902E" w14:textId="77777777">
      <w:pPr>
        <w:spacing w:line="480" w:lineRule="auto"/>
      </w:pPr>
      <w:r w:rsidRPr="00D657A2">
        <w:t xml:space="preserve">Social Work England (2024) </w:t>
      </w:r>
      <w:r w:rsidRPr="00D657A2">
        <w:rPr>
          <w:i/>
          <w:iCs/>
        </w:rPr>
        <w:t>Professional Standards</w:t>
      </w:r>
      <w:r w:rsidRPr="00D657A2">
        <w:t xml:space="preserve">. Sheffield: Social Work England. Available at: </w:t>
      </w:r>
      <w:hyperlink w:tgtFrame="_new" w:history="1" r:id="rId14">
        <w:r w:rsidRPr="00D657A2">
          <w:rPr>
            <w:rStyle w:val="Hyperlink"/>
          </w:rPr>
          <w:t>https://www.socialworkengland.org.uk/standards/professional-standards/</w:t>
        </w:r>
      </w:hyperlink>
      <w:r w:rsidRPr="00D657A2">
        <w:t xml:space="preserve"> (Accessed: 30 July 2026).</w:t>
      </w:r>
    </w:p>
    <w:p w:rsidRPr="00D657A2" w:rsidR="00D657A2" w:rsidP="000E4258" w:rsidRDefault="00D657A2" w14:paraId="68AD2733" w14:textId="77777777">
      <w:pPr>
        <w:spacing w:line="480" w:lineRule="auto"/>
      </w:pPr>
      <w:r w:rsidRPr="00D657A2">
        <w:t xml:space="preserve">United Nations (2006) </w:t>
      </w:r>
      <w:r w:rsidRPr="00D657A2">
        <w:rPr>
          <w:i/>
          <w:iCs/>
        </w:rPr>
        <w:t>Convention on the Rights of Persons with Disabilities</w:t>
      </w:r>
      <w:r w:rsidRPr="00D657A2">
        <w:t xml:space="preserve">. New York: United Nations. Available at: </w:t>
      </w:r>
      <w:hyperlink w:tgtFrame="_new" w:history="1" r:id="rId15">
        <w:r w:rsidRPr="00D657A2">
          <w:rPr>
            <w:rStyle w:val="Hyperlink"/>
          </w:rPr>
          <w:t>https://www.un.org/development/desa/disabilities/convention-on-the-rights-of-persons-with-disabilities.html</w:t>
        </w:r>
      </w:hyperlink>
      <w:r w:rsidRPr="00D657A2">
        <w:t xml:space="preserve"> (Accessed: 30 July 2026).</w:t>
      </w:r>
    </w:p>
    <w:p w:rsidRPr="00D657A2" w:rsidR="00D657A2" w:rsidP="000E4258" w:rsidRDefault="00D657A2" w14:paraId="55C5BE58" w14:textId="77777777">
      <w:pPr>
        <w:spacing w:line="480" w:lineRule="auto"/>
      </w:pPr>
      <w:r w:rsidRPr="00D657A2">
        <w:t xml:space="preserve">World Health Organization (2022) </w:t>
      </w:r>
      <w:r w:rsidRPr="00D657A2">
        <w:rPr>
          <w:i/>
          <w:iCs/>
        </w:rPr>
        <w:t>World Mental Health Report: Transforming Mental Health for All</w:t>
      </w:r>
      <w:r w:rsidRPr="00D657A2">
        <w:t xml:space="preserve">. Geneva: World Health Organization. Available at: </w:t>
      </w:r>
      <w:hyperlink w:tgtFrame="_new" w:history="1" r:id="rId16">
        <w:r w:rsidRPr="00D657A2">
          <w:rPr>
            <w:rStyle w:val="Hyperlink"/>
          </w:rPr>
          <w:t>https://www.who.int/publications/i/item/9789240049338</w:t>
        </w:r>
      </w:hyperlink>
      <w:r w:rsidRPr="00D657A2">
        <w:t xml:space="preserve"> (Accessed: 30 July 2026).</w:t>
      </w:r>
    </w:p>
    <w:p w:rsidRPr="000E4258" w:rsidR="00D657A2" w:rsidP="000E4258" w:rsidRDefault="00D657A2" w14:paraId="2BCA3E1A" w14:textId="77777777">
      <w:pPr>
        <w:spacing w:line="480" w:lineRule="auto"/>
      </w:pPr>
    </w:p>
    <w:sectPr w:rsidRPr="000E4258" w:rsidR="00D657A2">
      <w:head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5F37" w:rsidP="004042DD" w:rsidRDefault="00435F37" w14:paraId="4C06A6F9" w14:textId="77777777">
      <w:pPr>
        <w:spacing w:after="0" w:line="240" w:lineRule="auto"/>
      </w:pPr>
      <w:r>
        <w:separator/>
      </w:r>
    </w:p>
  </w:endnote>
  <w:endnote w:type="continuationSeparator" w:id="0">
    <w:p w:rsidR="00435F37" w:rsidP="004042DD" w:rsidRDefault="00435F37" w14:paraId="6198F5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5F37" w:rsidP="004042DD" w:rsidRDefault="00435F37" w14:paraId="7A4390A8" w14:textId="77777777">
      <w:pPr>
        <w:spacing w:after="0" w:line="240" w:lineRule="auto"/>
      </w:pPr>
      <w:r>
        <w:separator/>
      </w:r>
    </w:p>
  </w:footnote>
  <w:footnote w:type="continuationSeparator" w:id="0">
    <w:p w:rsidR="00435F37" w:rsidP="004042DD" w:rsidRDefault="00435F37" w14:paraId="6FF33B8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09074"/>
      <w:docPartObj>
        <w:docPartGallery w:val="Page Numbers (Top of Page)"/>
        <w:docPartUnique/>
      </w:docPartObj>
    </w:sdtPr>
    <w:sdtEndPr>
      <w:rPr>
        <w:noProof/>
      </w:rPr>
    </w:sdtEndPr>
    <w:sdtContent>
      <w:p w:rsidR="004042DD" w:rsidRDefault="004042DD" w14:paraId="3354A81A" w14:textId="0DC87E1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042DD" w:rsidRDefault="004042DD" w14:paraId="2FFE49D0"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A96"/>
    <w:rsid w:val="000E4258"/>
    <w:rsid w:val="001347F0"/>
    <w:rsid w:val="00311A96"/>
    <w:rsid w:val="003D231E"/>
    <w:rsid w:val="004042DD"/>
    <w:rsid w:val="00435F37"/>
    <w:rsid w:val="0054731E"/>
    <w:rsid w:val="00D657A2"/>
    <w:rsid w:val="028CF9DD"/>
    <w:rsid w:val="034B41A6"/>
    <w:rsid w:val="07F12065"/>
    <w:rsid w:val="08902379"/>
    <w:rsid w:val="0F689173"/>
    <w:rsid w:val="12A93669"/>
    <w:rsid w:val="1399C218"/>
    <w:rsid w:val="16DCA1DE"/>
    <w:rsid w:val="1C3DB2CB"/>
    <w:rsid w:val="1C826D7B"/>
    <w:rsid w:val="26900B8A"/>
    <w:rsid w:val="29F54E7C"/>
    <w:rsid w:val="2E68ACEC"/>
    <w:rsid w:val="332A283C"/>
    <w:rsid w:val="3385212A"/>
    <w:rsid w:val="38CD496D"/>
    <w:rsid w:val="39807FB3"/>
    <w:rsid w:val="42AF9EFB"/>
    <w:rsid w:val="43B80322"/>
    <w:rsid w:val="44872943"/>
    <w:rsid w:val="4AACA664"/>
    <w:rsid w:val="518D2A68"/>
    <w:rsid w:val="57A3211F"/>
    <w:rsid w:val="5D206DE2"/>
    <w:rsid w:val="74C18D1C"/>
    <w:rsid w:val="75C10666"/>
    <w:rsid w:val="76B677CA"/>
    <w:rsid w:val="79BAD039"/>
    <w:rsid w:val="7AF06B5F"/>
    <w:rsid w:val="7F00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009D"/>
  <w15:chartTrackingRefBased/>
  <w15:docId w15:val="{D73172E0-7164-4E41-AE5E-E8697E04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11A9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1A9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1A96"/>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1A96"/>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1A96"/>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1A96"/>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A96"/>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A96"/>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A96"/>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11A9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311A9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311A96"/>
    <w:rPr>
      <w:rFonts w:asciiTheme="minorHAnsi" w:hAnsiTheme="min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311A96"/>
    <w:rPr>
      <w:rFonts w:asciiTheme="minorHAnsi" w:hAnsiTheme="min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311A96"/>
    <w:rPr>
      <w:rFonts w:asciiTheme="minorHAnsi" w:hAnsiTheme="min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311A96"/>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11A96"/>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11A96"/>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11A96"/>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311A9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11A9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11A96"/>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11A96"/>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A96"/>
    <w:pPr>
      <w:spacing w:before="160"/>
      <w:jc w:val="center"/>
    </w:pPr>
    <w:rPr>
      <w:i/>
      <w:iCs/>
      <w:color w:val="404040" w:themeColor="text1" w:themeTint="BF"/>
    </w:rPr>
  </w:style>
  <w:style w:type="character" w:styleId="QuoteChar" w:customStyle="1">
    <w:name w:val="Quote Char"/>
    <w:basedOn w:val="DefaultParagraphFont"/>
    <w:link w:val="Quote"/>
    <w:uiPriority w:val="29"/>
    <w:rsid w:val="00311A96"/>
    <w:rPr>
      <w:i/>
      <w:iCs/>
      <w:color w:val="404040" w:themeColor="text1" w:themeTint="BF"/>
    </w:rPr>
  </w:style>
  <w:style w:type="paragraph" w:styleId="ListParagraph">
    <w:name w:val="List Paragraph"/>
    <w:basedOn w:val="Normal"/>
    <w:uiPriority w:val="34"/>
    <w:qFormat/>
    <w:rsid w:val="00311A96"/>
    <w:pPr>
      <w:ind w:left="720"/>
      <w:contextualSpacing/>
    </w:pPr>
  </w:style>
  <w:style w:type="character" w:styleId="IntenseEmphasis">
    <w:name w:val="Intense Emphasis"/>
    <w:basedOn w:val="DefaultParagraphFont"/>
    <w:uiPriority w:val="21"/>
    <w:qFormat/>
    <w:rsid w:val="00311A96"/>
    <w:rPr>
      <w:i/>
      <w:iCs/>
      <w:color w:val="2F5496" w:themeColor="accent1" w:themeShade="BF"/>
    </w:rPr>
  </w:style>
  <w:style w:type="paragraph" w:styleId="IntenseQuote">
    <w:name w:val="Intense Quote"/>
    <w:basedOn w:val="Normal"/>
    <w:next w:val="Normal"/>
    <w:link w:val="IntenseQuoteChar"/>
    <w:uiPriority w:val="30"/>
    <w:qFormat/>
    <w:rsid w:val="00311A9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311A96"/>
    <w:rPr>
      <w:i/>
      <w:iCs/>
      <w:color w:val="2F5496" w:themeColor="accent1" w:themeShade="BF"/>
    </w:rPr>
  </w:style>
  <w:style w:type="character" w:styleId="IntenseReference">
    <w:name w:val="Intense Reference"/>
    <w:basedOn w:val="DefaultParagraphFont"/>
    <w:uiPriority w:val="32"/>
    <w:qFormat/>
    <w:rsid w:val="00311A96"/>
    <w:rPr>
      <w:b/>
      <w:bCs/>
      <w:smallCaps/>
      <w:color w:val="2F5496" w:themeColor="accent1" w:themeShade="BF"/>
      <w:spacing w:val="5"/>
    </w:rPr>
  </w:style>
  <w:style w:type="character" w:styleId="Hyperlink">
    <w:name w:val="Hyperlink"/>
    <w:basedOn w:val="DefaultParagraphFont"/>
    <w:uiPriority w:val="99"/>
    <w:unhideWhenUsed/>
    <w:rsid w:val="00D657A2"/>
    <w:rPr>
      <w:color w:val="0563C1" w:themeColor="hyperlink"/>
      <w:u w:val="single"/>
    </w:rPr>
  </w:style>
  <w:style w:type="character" w:styleId="UnresolvedMention">
    <w:name w:val="Unresolved Mention"/>
    <w:basedOn w:val="DefaultParagraphFont"/>
    <w:uiPriority w:val="99"/>
    <w:semiHidden/>
    <w:unhideWhenUsed/>
    <w:rsid w:val="00D657A2"/>
    <w:rPr>
      <w:color w:val="605E5C"/>
      <w:shd w:val="clear" w:color="auto" w:fill="E1DFDD"/>
    </w:rPr>
  </w:style>
  <w:style w:type="paragraph" w:styleId="Header">
    <w:name w:val="header"/>
    <w:basedOn w:val="Normal"/>
    <w:link w:val="HeaderChar"/>
    <w:uiPriority w:val="99"/>
    <w:unhideWhenUsed/>
    <w:rsid w:val="004042D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042DD"/>
  </w:style>
  <w:style w:type="paragraph" w:styleId="Footer">
    <w:name w:val="footer"/>
    <w:basedOn w:val="Normal"/>
    <w:link w:val="FooterChar"/>
    <w:uiPriority w:val="99"/>
    <w:unhideWhenUsed/>
    <w:rsid w:val="004042D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04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22/31/contents" TargetMode="External" Id="rId8" /><Relationship Type="http://schemas.openxmlformats.org/officeDocument/2006/relationships/hyperlink" Target="https://www.leadershipacademy.nhs.uk/resources/healthcare-leadership-model/"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hyperlink" Target="https://www.gov.uk/government/organisations/department-for-education" TargetMode="External" Id="rId7" /><Relationship Type="http://schemas.openxmlformats.org/officeDocument/2006/relationships/hyperlink" Target="https://www.england.nhs.uk/long-read/nhs-long-term-workforce-plan/" TargetMode="External" Id="rId12" /><Relationship Type="http://schemas.openxmlformats.org/officeDocument/2006/relationships/header" Target="header1.xml" Id="rId17" /><Relationship Type="http://schemas.openxmlformats.org/officeDocument/2006/relationships/settings" Target="settings.xml" Id="rId2" /><Relationship Type="http://schemas.openxmlformats.org/officeDocument/2006/relationships/hyperlink" Target="https://www.who.int/publications/i/item/9789240049338" TargetMode="External" Id="rId16" /><Relationship Type="http://schemas.openxmlformats.org/officeDocument/2006/relationships/styles" Target="styles.xml" Id="rId1" /><Relationship Type="http://schemas.openxmlformats.org/officeDocument/2006/relationships/hyperlink" Target="https://www.basw.co.uk/about-basw/code-ethics" TargetMode="External" Id="rId6" /><Relationship Type="http://schemas.openxmlformats.org/officeDocument/2006/relationships/hyperlink" Target="https://www.nice.org.uk/guidance/ng197" TargetMode="External" Id="rId11" /><Relationship Type="http://schemas.openxmlformats.org/officeDocument/2006/relationships/endnotes" Target="endnotes.xml" Id="rId5" /><Relationship Type="http://schemas.openxmlformats.org/officeDocument/2006/relationships/hyperlink" Target="https://www.un.org/development/desa/disabilities/convention-on-the-rights-of-persons-with-disabilities.html" TargetMode="External" Id="rId15" /><Relationship Type="http://schemas.openxmlformats.org/officeDocument/2006/relationships/hyperlink" Target="https://www.legislation.gov.uk/ukpga/2005/9/contents" TargetMode="External" Id="rId10" /><Relationship Type="http://schemas.openxmlformats.org/officeDocument/2006/relationships/theme" Target="theme/theme1.xml" Id="rId19" /><Relationship Type="http://schemas.openxmlformats.org/officeDocument/2006/relationships/footnotes" Target="footnotes.xml" Id="rId4" /><Relationship Type="http://schemas.openxmlformats.org/officeDocument/2006/relationships/hyperlink" Target="https://www.hcpc-uk.org/standards/standards-of-continuing-professional-development/" TargetMode="External" Id="rId9" /><Relationship Type="http://schemas.openxmlformats.org/officeDocument/2006/relationships/hyperlink" Target="https://www.socialworkengland.org.uk/standards/professional-standards/" TargetMode="External" Id="rId14" /><Relationship Type="http://schemas.openxmlformats.org/officeDocument/2006/relationships/image" Target="/media/image.png" Id="rId1712196544" /><Relationship Type="http://schemas.openxmlformats.org/officeDocument/2006/relationships/image" Target="/media/image2.png" Id="rId157929000" /><Relationship Type="http://schemas.openxmlformats.org/officeDocument/2006/relationships/image" Target="/media/image3.png" Id="rId189814079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Huma Zafar (2324433)</lastModifiedBy>
  <revision>3</revision>
  <dcterms:created xsi:type="dcterms:W3CDTF">2026-07-30T17:56:00.0000000Z</dcterms:created>
  <dcterms:modified xsi:type="dcterms:W3CDTF">2026-07-31T12:30:14.6011912Z</dcterms:modified>
</coreProperties>
</file>