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4F6E9" w14:textId="77777777" w:rsidR="00E7600F" w:rsidRPr="001F535A" w:rsidRDefault="00000000">
      <w:pPr>
        <w:pStyle w:val="Normal1"/>
        <w:spacing w:line="360" w:lineRule="auto"/>
        <w:jc w:val="both"/>
        <w:rPr>
          <w:rFonts w:ascii="Times New Roman" w:eastAsia="Times New Roman" w:hAnsi="Times New Roman" w:cs="Times New Roman"/>
          <w:b/>
          <w:sz w:val="24"/>
          <w:szCs w:val="24"/>
          <w:lang w:val="en-US"/>
        </w:rPr>
      </w:pPr>
      <w:r w:rsidRPr="001F535A">
        <w:rPr>
          <w:rFonts w:ascii="Times New Roman" w:eastAsia="SimSun" w:hAnsi="Times New Roman" w:cs="Times New Roman"/>
          <w:sz w:val="24"/>
          <w:szCs w:val="24"/>
          <w:lang w:val="en-IN"/>
        </w:rPr>
        <w:t xml:space="preserve">  </w:t>
      </w:r>
      <w:r w:rsidRPr="001F535A">
        <w:rPr>
          <w:rFonts w:ascii="Times New Roman" w:eastAsia="SimSun" w:hAnsi="Times New Roman" w:cs="Times New Roman"/>
          <w:noProof/>
          <w:sz w:val="24"/>
          <w:szCs w:val="24"/>
        </w:rPr>
        <w:drawing>
          <wp:inline distT="0" distB="0" distL="114300" distR="114300" wp14:anchorId="75582520" wp14:editId="51953CE7">
            <wp:extent cx="2792095" cy="1165860"/>
            <wp:effectExtent l="0" t="0" r="12065" b="762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8"/>
                    <a:stretch>
                      <a:fillRect/>
                    </a:stretch>
                  </pic:blipFill>
                  <pic:spPr>
                    <a:xfrm>
                      <a:off x="0" y="0"/>
                      <a:ext cx="2792095" cy="1165860"/>
                    </a:xfrm>
                    <a:prstGeom prst="rect">
                      <a:avLst/>
                    </a:prstGeom>
                    <a:noFill/>
                    <a:ln w="9525">
                      <a:noFill/>
                    </a:ln>
                  </pic:spPr>
                </pic:pic>
              </a:graphicData>
            </a:graphic>
          </wp:inline>
        </w:drawing>
      </w:r>
    </w:p>
    <w:p w14:paraId="5940FA19"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2CC7666E" w14:textId="77777777" w:rsidR="00E7600F" w:rsidRPr="00254C07" w:rsidRDefault="00E7600F">
      <w:pPr>
        <w:pStyle w:val="Normal1"/>
        <w:spacing w:line="360" w:lineRule="auto"/>
        <w:jc w:val="center"/>
        <w:rPr>
          <w:rFonts w:ascii="Times New Roman" w:eastAsia="Times New Roman" w:hAnsi="Times New Roman" w:cs="Times New Roman"/>
          <w:b/>
          <w:sz w:val="32"/>
          <w:szCs w:val="32"/>
        </w:rPr>
      </w:pPr>
    </w:p>
    <w:p w14:paraId="012926DD" w14:textId="137DCE76" w:rsidR="001F535A" w:rsidRPr="00254C07" w:rsidRDefault="001F535A">
      <w:pPr>
        <w:rPr>
          <w:rFonts w:ascii="Times New Roman" w:eastAsia="Times New Roman" w:hAnsi="Times New Roman" w:cs="Times New Roman"/>
          <w:bCs/>
          <w:sz w:val="32"/>
          <w:szCs w:val="32"/>
        </w:rPr>
      </w:pPr>
      <w:r w:rsidRPr="00254C07">
        <w:rPr>
          <w:rFonts w:ascii="Times New Roman" w:eastAsia="Times New Roman" w:hAnsi="Times New Roman" w:cs="Times New Roman"/>
          <w:bCs/>
          <w:sz w:val="32"/>
          <w:szCs w:val="32"/>
        </w:rPr>
        <w:t>Student name:</w:t>
      </w:r>
      <w:r w:rsidRPr="00254C07">
        <w:rPr>
          <w:rFonts w:ascii="Times New Roman" w:eastAsia="Times New Roman" w:hAnsi="Times New Roman" w:cs="Times New Roman"/>
          <w:bCs/>
          <w:sz w:val="32"/>
          <w:szCs w:val="32"/>
        </w:rPr>
        <w:t xml:space="preserve">       Gautam Malviya</w:t>
      </w:r>
    </w:p>
    <w:p w14:paraId="10421B5E" w14:textId="22960CC8" w:rsidR="001F535A" w:rsidRPr="00254C07" w:rsidRDefault="001F535A">
      <w:pPr>
        <w:rPr>
          <w:rFonts w:ascii="Times New Roman" w:eastAsia="Times New Roman" w:hAnsi="Times New Roman" w:cs="Times New Roman"/>
          <w:bCs/>
          <w:sz w:val="32"/>
          <w:szCs w:val="32"/>
        </w:rPr>
      </w:pPr>
      <w:r w:rsidRPr="00254C07">
        <w:rPr>
          <w:rFonts w:ascii="Times New Roman" w:eastAsia="Times New Roman" w:hAnsi="Times New Roman" w:cs="Times New Roman"/>
          <w:bCs/>
          <w:sz w:val="32"/>
          <w:szCs w:val="32"/>
        </w:rPr>
        <w:t>Student ID number</w:t>
      </w:r>
      <w:proofErr w:type="gramStart"/>
      <w:r w:rsidRPr="00254C07">
        <w:rPr>
          <w:rFonts w:ascii="Times New Roman" w:eastAsia="Times New Roman" w:hAnsi="Times New Roman" w:cs="Times New Roman"/>
          <w:bCs/>
          <w:sz w:val="32"/>
          <w:szCs w:val="32"/>
        </w:rPr>
        <w:t>:</w:t>
      </w:r>
      <w:r w:rsidRPr="00254C07">
        <w:rPr>
          <w:rFonts w:ascii="Times New Roman" w:eastAsia="Times New Roman" w:hAnsi="Times New Roman" w:cs="Times New Roman"/>
          <w:bCs/>
          <w:sz w:val="32"/>
          <w:szCs w:val="32"/>
        </w:rPr>
        <w:t xml:space="preserve">  2504384</w:t>
      </w:r>
      <w:proofErr w:type="gramEnd"/>
    </w:p>
    <w:p w14:paraId="23D9CBD1" w14:textId="5B245BC4" w:rsidR="001F535A" w:rsidRPr="00254C07" w:rsidRDefault="001F535A">
      <w:pPr>
        <w:rPr>
          <w:rFonts w:ascii="Times New Roman" w:eastAsia="Times New Roman" w:hAnsi="Times New Roman" w:cs="Times New Roman"/>
          <w:bCs/>
          <w:sz w:val="32"/>
          <w:szCs w:val="32"/>
        </w:rPr>
      </w:pPr>
      <w:proofErr w:type="spellStart"/>
      <w:r w:rsidRPr="00254C07">
        <w:rPr>
          <w:rFonts w:ascii="Times New Roman" w:eastAsia="Times New Roman" w:hAnsi="Times New Roman" w:cs="Times New Roman"/>
          <w:bCs/>
          <w:sz w:val="32"/>
          <w:szCs w:val="32"/>
        </w:rPr>
        <w:t>Programme</w:t>
      </w:r>
      <w:proofErr w:type="spellEnd"/>
      <w:r w:rsidRPr="00254C07">
        <w:rPr>
          <w:rFonts w:ascii="Times New Roman" w:eastAsia="Times New Roman" w:hAnsi="Times New Roman" w:cs="Times New Roman"/>
          <w:bCs/>
          <w:sz w:val="32"/>
          <w:szCs w:val="32"/>
        </w:rPr>
        <w:t xml:space="preserve">: </w:t>
      </w:r>
      <w:r w:rsidRPr="00254C07">
        <w:rPr>
          <w:rFonts w:ascii="Times New Roman" w:eastAsia="Times New Roman" w:hAnsi="Times New Roman" w:cs="Times New Roman"/>
          <w:bCs/>
          <w:sz w:val="32"/>
          <w:szCs w:val="32"/>
        </w:rPr>
        <w:t xml:space="preserve">        </w:t>
      </w:r>
      <w:r w:rsidRPr="00254C07">
        <w:rPr>
          <w:rFonts w:ascii="Times New Roman" w:eastAsia="Times New Roman" w:hAnsi="Times New Roman" w:cs="Times New Roman"/>
          <w:bCs/>
          <w:sz w:val="32"/>
          <w:szCs w:val="32"/>
        </w:rPr>
        <w:t>MSc Computing Portfolio</w:t>
      </w:r>
    </w:p>
    <w:p w14:paraId="5359ED28" w14:textId="77777777" w:rsidR="00254C07" w:rsidRDefault="001F535A">
      <w:pPr>
        <w:rPr>
          <w:rFonts w:ascii="Times New Roman" w:eastAsia="Times New Roman" w:hAnsi="Times New Roman" w:cs="Times New Roman"/>
          <w:bCs/>
          <w:sz w:val="32"/>
          <w:szCs w:val="32"/>
        </w:rPr>
      </w:pPr>
      <w:r w:rsidRPr="00254C07">
        <w:rPr>
          <w:rFonts w:ascii="Times New Roman" w:eastAsia="Times New Roman" w:hAnsi="Times New Roman" w:cs="Times New Roman"/>
          <w:bCs/>
          <w:sz w:val="32"/>
          <w:szCs w:val="32"/>
        </w:rPr>
        <w:t xml:space="preserve">Module: </w:t>
      </w:r>
      <w:r w:rsidRPr="00254C07">
        <w:rPr>
          <w:rFonts w:ascii="Times New Roman" w:eastAsia="Times New Roman" w:hAnsi="Times New Roman" w:cs="Times New Roman"/>
          <w:bCs/>
          <w:sz w:val="32"/>
          <w:szCs w:val="32"/>
        </w:rPr>
        <w:t xml:space="preserve">            </w:t>
      </w:r>
      <w:r w:rsidR="00254C07" w:rsidRPr="00254C07">
        <w:rPr>
          <w:rFonts w:ascii="Times New Roman" w:eastAsia="Times New Roman" w:hAnsi="Times New Roman" w:cs="Times New Roman"/>
          <w:bCs/>
          <w:sz w:val="32"/>
          <w:szCs w:val="32"/>
        </w:rPr>
        <w:t>Data Security, Governance and Compliance</w:t>
      </w:r>
    </w:p>
    <w:p w14:paraId="78B1502A" w14:textId="68D67B83" w:rsidR="00E7600F" w:rsidRPr="00254C07" w:rsidRDefault="00254C07">
      <w:pPr>
        <w:rPr>
          <w:rFonts w:ascii="Times New Roman" w:eastAsia="Times New Roman" w:hAnsi="Times New Roman" w:cs="Times New Roman"/>
          <w:bCs/>
          <w:sz w:val="32"/>
          <w:szCs w:val="32"/>
        </w:rPr>
      </w:pPr>
      <w:r w:rsidRPr="00254C07">
        <w:rPr>
          <w:rFonts w:ascii="Times New Roman" w:eastAsia="Times New Roman" w:hAnsi="Times New Roman" w:cs="Times New Roman"/>
          <w:bCs/>
          <w:sz w:val="32"/>
          <w:szCs w:val="32"/>
        </w:rPr>
        <w:t>Lecturer</w:t>
      </w:r>
      <w:r w:rsidRPr="00254C07">
        <w:rPr>
          <w:rFonts w:ascii="Times New Roman" w:eastAsia="Times New Roman" w:hAnsi="Times New Roman" w:cs="Times New Roman"/>
          <w:bCs/>
          <w:sz w:val="32"/>
          <w:szCs w:val="32"/>
        </w:rPr>
        <w:t xml:space="preserve">:     </w:t>
      </w:r>
      <w:r>
        <w:rPr>
          <w:rFonts w:ascii="Times New Roman" w:eastAsia="Times New Roman" w:hAnsi="Times New Roman" w:cs="Times New Roman"/>
          <w:bCs/>
          <w:sz w:val="32"/>
          <w:szCs w:val="32"/>
        </w:rPr>
        <w:t xml:space="preserve">     </w:t>
      </w:r>
      <w:r w:rsidRPr="00254C07">
        <w:rPr>
          <w:rFonts w:ascii="Times New Roman" w:eastAsia="Times New Roman" w:hAnsi="Times New Roman" w:cs="Times New Roman"/>
          <w:bCs/>
          <w:sz w:val="32"/>
          <w:szCs w:val="32"/>
        </w:rPr>
        <w:t xml:space="preserve">  </w:t>
      </w:r>
      <w:r w:rsidRPr="00254C07">
        <w:rPr>
          <w:rFonts w:ascii="Times New Roman" w:eastAsia="Times New Roman" w:hAnsi="Times New Roman" w:cs="Times New Roman"/>
          <w:bCs/>
          <w:sz w:val="32"/>
          <w:szCs w:val="32"/>
        </w:rPr>
        <w:t>Dr. Ayman Al Hajjar</w:t>
      </w:r>
      <w:r w:rsidR="00000000" w:rsidRPr="00254C07">
        <w:rPr>
          <w:rFonts w:ascii="Times New Roman" w:eastAsia="Times New Roman" w:hAnsi="Times New Roman" w:cs="Times New Roman"/>
          <w:bCs/>
          <w:sz w:val="32"/>
          <w:szCs w:val="32"/>
        </w:rPr>
        <w:br w:type="page"/>
      </w:r>
    </w:p>
    <w:p w14:paraId="6588A62F" w14:textId="77777777" w:rsidR="00197F99" w:rsidRPr="001F535A" w:rsidRDefault="00197F99">
      <w:pPr>
        <w:pStyle w:val="Normal1"/>
        <w:spacing w:line="360" w:lineRule="auto"/>
        <w:jc w:val="center"/>
        <w:rPr>
          <w:rFonts w:ascii="Times New Roman" w:eastAsia="Times New Roman" w:hAnsi="Times New Roman" w:cs="Times New Roman"/>
          <w:b/>
          <w:sz w:val="40"/>
          <w:szCs w:val="40"/>
        </w:rPr>
      </w:pPr>
    </w:p>
    <w:p w14:paraId="2AACE27B"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4579417B"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57D1D962"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288D6C4E"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5480AECC"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67BEA65E"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18015152" w14:textId="77777777" w:rsidR="00E7600F" w:rsidRPr="001F535A" w:rsidRDefault="00E7600F">
      <w:pPr>
        <w:pStyle w:val="Normal1"/>
        <w:spacing w:line="360" w:lineRule="auto"/>
        <w:jc w:val="center"/>
        <w:rPr>
          <w:rFonts w:ascii="Times New Roman" w:eastAsia="Times New Roman" w:hAnsi="Times New Roman" w:cs="Times New Roman"/>
          <w:b/>
          <w:sz w:val="40"/>
          <w:szCs w:val="40"/>
        </w:rPr>
      </w:pPr>
    </w:p>
    <w:p w14:paraId="05998338" w14:textId="77777777" w:rsidR="00E7600F" w:rsidRPr="001F535A" w:rsidRDefault="00000000">
      <w:pPr>
        <w:ind w:firstLineChars="200" w:firstLine="803"/>
        <w:rPr>
          <w:rFonts w:ascii="Times New Roman" w:eastAsia="SimSun" w:hAnsi="Times New Roman" w:cs="Times New Roman"/>
          <w:b/>
          <w:bCs/>
          <w:color w:val="000000"/>
          <w:sz w:val="40"/>
          <w:szCs w:val="40"/>
          <w:lang w:val="en-US" w:eastAsia="zh-CN" w:bidi="ar"/>
        </w:rPr>
      </w:pPr>
      <w:r w:rsidRPr="001F535A">
        <w:rPr>
          <w:rFonts w:ascii="Times New Roman" w:eastAsia="SimSun" w:hAnsi="Times New Roman" w:cs="Times New Roman"/>
          <w:b/>
          <w:bCs/>
          <w:color w:val="000000"/>
          <w:sz w:val="40"/>
          <w:szCs w:val="40"/>
          <w:lang w:val="en-US" w:eastAsia="zh-CN" w:bidi="ar"/>
        </w:rPr>
        <w:t>Data Security, Governance and Compliance</w:t>
      </w:r>
    </w:p>
    <w:p w14:paraId="6D4BB94F" w14:textId="77777777" w:rsidR="00E7600F" w:rsidRPr="001F535A" w:rsidRDefault="00E7600F">
      <w:pPr>
        <w:rPr>
          <w:rFonts w:ascii="Times New Roman" w:eastAsia="SimSun" w:hAnsi="Times New Roman" w:cs="Times New Roman"/>
          <w:b/>
          <w:bCs/>
          <w:color w:val="000000"/>
          <w:sz w:val="40"/>
          <w:szCs w:val="40"/>
          <w:lang w:val="en-US" w:eastAsia="zh-CN" w:bidi="ar"/>
        </w:rPr>
      </w:pPr>
    </w:p>
    <w:p w14:paraId="0D10EDDC" w14:textId="77777777" w:rsidR="00E7600F" w:rsidRPr="001F535A" w:rsidRDefault="00000000">
      <w:pPr>
        <w:pStyle w:val="Normal1"/>
        <w:spacing w:line="360" w:lineRule="auto"/>
        <w:jc w:val="center"/>
        <w:rPr>
          <w:rFonts w:ascii="Times New Roman" w:eastAsia="Times New Roman" w:hAnsi="Times New Roman" w:cs="Times New Roman"/>
          <w:b/>
          <w:sz w:val="40"/>
          <w:szCs w:val="40"/>
        </w:rPr>
      </w:pPr>
      <w:r w:rsidRPr="001F535A">
        <w:rPr>
          <w:rFonts w:ascii="Times New Roman" w:eastAsia="Times New Roman" w:hAnsi="Times New Roman" w:cs="Times New Roman"/>
          <w:b/>
          <w:sz w:val="40"/>
          <w:szCs w:val="40"/>
        </w:rPr>
        <w:t xml:space="preserve">Part A: Individual Task </w:t>
      </w:r>
    </w:p>
    <w:p w14:paraId="5D81C299" w14:textId="77777777" w:rsidR="00E7600F" w:rsidRPr="001F535A" w:rsidRDefault="00000000">
      <w:pPr>
        <w:rPr>
          <w:rFonts w:ascii="Times New Roman" w:eastAsia="Times New Roman" w:hAnsi="Times New Roman" w:cs="Times New Roman"/>
          <w:b/>
          <w:sz w:val="32"/>
          <w:szCs w:val="32"/>
        </w:rPr>
      </w:pPr>
      <w:r w:rsidRPr="001F535A">
        <w:rPr>
          <w:rFonts w:ascii="Times New Roman" w:eastAsia="Times New Roman" w:hAnsi="Times New Roman" w:cs="Times New Roman"/>
          <w:b/>
          <w:sz w:val="32"/>
          <w:szCs w:val="32"/>
        </w:rPr>
        <w:br w:type="page"/>
      </w:r>
    </w:p>
    <w:p w14:paraId="421AB654" w14:textId="375E005C" w:rsidR="00E7600F" w:rsidRPr="001F535A" w:rsidRDefault="00E7600F" w:rsidP="00BC34D7">
      <w:pPr>
        <w:pStyle w:val="TOCHeading1"/>
        <w:spacing w:line="360" w:lineRule="auto"/>
        <w:jc w:val="center"/>
        <w:rPr>
          <w:rFonts w:ascii="Times New Roman" w:hAnsi="Times New Roman" w:cs="Times New Roman"/>
        </w:rPr>
      </w:pPr>
    </w:p>
    <w:sdt>
      <w:sdtPr>
        <w:rPr>
          <w:rFonts w:ascii="Times New Roman" w:eastAsia="Arial" w:hAnsi="Times New Roman" w:cs="Times New Roman"/>
          <w:color w:val="auto"/>
          <w:sz w:val="22"/>
          <w:szCs w:val="22"/>
          <w:lang w:val="en"/>
        </w:rPr>
        <w:id w:val="1883674652"/>
        <w:docPartObj>
          <w:docPartGallery w:val="Table of Contents"/>
          <w:docPartUnique/>
        </w:docPartObj>
      </w:sdtPr>
      <w:sdtEndPr>
        <w:rPr>
          <w:b/>
          <w:bCs/>
          <w:noProof/>
        </w:rPr>
      </w:sdtEndPr>
      <w:sdtContent>
        <w:p w14:paraId="69FF0417" w14:textId="6BA271C4" w:rsidR="00BC34D7" w:rsidRPr="001F535A" w:rsidRDefault="00BC34D7">
          <w:pPr>
            <w:pStyle w:val="TOCHeading"/>
            <w:rPr>
              <w:rFonts w:ascii="Times New Roman" w:hAnsi="Times New Roman" w:cs="Times New Roman"/>
            </w:rPr>
          </w:pPr>
          <w:r w:rsidRPr="001F535A">
            <w:rPr>
              <w:rFonts w:ascii="Times New Roman" w:hAnsi="Times New Roman" w:cs="Times New Roman"/>
            </w:rPr>
            <w:t xml:space="preserve">                           Contents</w:t>
          </w:r>
        </w:p>
        <w:p w14:paraId="71D28896" w14:textId="75D81C62"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r w:rsidRPr="001F535A">
            <w:rPr>
              <w:rFonts w:ascii="Times New Roman" w:hAnsi="Times New Roman" w:cs="Times New Roman"/>
            </w:rPr>
            <w:fldChar w:fldCharType="begin"/>
          </w:r>
          <w:r w:rsidRPr="001F535A">
            <w:rPr>
              <w:rFonts w:ascii="Times New Roman" w:hAnsi="Times New Roman" w:cs="Times New Roman"/>
            </w:rPr>
            <w:instrText xml:space="preserve"> TOC \o "1-3" \h \z \u </w:instrText>
          </w:r>
          <w:r w:rsidRPr="001F535A">
            <w:rPr>
              <w:rFonts w:ascii="Times New Roman" w:hAnsi="Times New Roman" w:cs="Times New Roman"/>
            </w:rPr>
            <w:fldChar w:fldCharType="separate"/>
          </w:r>
          <w:hyperlink w:anchor="_Toc227408772" w:history="1">
            <w:r w:rsidRPr="001F535A">
              <w:rPr>
                <w:rStyle w:val="Hyperlink"/>
                <w:rFonts w:ascii="Times New Roman" w:hAnsi="Times New Roman" w:cs="Times New Roman"/>
                <w:noProof/>
              </w:rPr>
              <w:t>Introduction</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_Toc227408772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4</w:t>
            </w:r>
            <w:r w:rsidRPr="001F535A">
              <w:rPr>
                <w:rFonts w:ascii="Times New Roman" w:hAnsi="Times New Roman" w:cs="Times New Roman"/>
                <w:noProof/>
                <w:webHidden/>
              </w:rPr>
              <w:fldChar w:fldCharType="end"/>
            </w:r>
          </w:hyperlink>
        </w:p>
        <w:p w14:paraId="34CED535" w14:textId="076EA0EF"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73" w:history="1">
            <w:r w:rsidRPr="001F535A">
              <w:rPr>
                <w:rStyle w:val="Hyperlink"/>
                <w:rFonts w:ascii="Times New Roman" w:hAnsi="Times New Roman" w:cs="Times New Roman"/>
                <w:bCs/>
                <w:noProof/>
              </w:rPr>
              <w:t>Task 1: Data Security and Governance Needs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_Toc227408773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5</w:t>
            </w:r>
            <w:r w:rsidRPr="001F535A">
              <w:rPr>
                <w:rFonts w:ascii="Times New Roman" w:hAnsi="Times New Roman" w:cs="Times New Roman"/>
                <w:noProof/>
                <w:webHidden/>
              </w:rPr>
              <w:fldChar w:fldCharType="end"/>
            </w:r>
          </w:hyperlink>
        </w:p>
        <w:p w14:paraId="1CF0602F" w14:textId="22DF2AF3"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75" w:history="1">
            <w:r w:rsidRPr="001F535A">
              <w:rPr>
                <w:rStyle w:val="Hyperlink"/>
                <w:rFonts w:ascii="Times New Roman" w:hAnsi="Times New Roman" w:cs="Times New Roman"/>
                <w:noProof/>
              </w:rPr>
              <w:t>1.2 Categories of Cybersecurity Threats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_Toc227408775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5</w:t>
            </w:r>
            <w:r w:rsidRPr="001F535A">
              <w:rPr>
                <w:rFonts w:ascii="Times New Roman" w:hAnsi="Times New Roman" w:cs="Times New Roman"/>
                <w:noProof/>
                <w:webHidden/>
              </w:rPr>
              <w:fldChar w:fldCharType="end"/>
            </w:r>
          </w:hyperlink>
        </w:p>
        <w:p w14:paraId="4CA6BE9E" w14:textId="42B99C0F"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76" w:history="1">
            <w:r w:rsidRPr="001F535A">
              <w:rPr>
                <w:rStyle w:val="Hyperlink"/>
                <w:rFonts w:ascii="Times New Roman" w:hAnsi="Times New Roman" w:cs="Times New Roman"/>
                <w:noProof/>
              </w:rPr>
              <w:t>1.3 Emerging Threats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_Toc227408776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6</w:t>
            </w:r>
            <w:r w:rsidRPr="001F535A">
              <w:rPr>
                <w:rFonts w:ascii="Times New Roman" w:hAnsi="Times New Roman" w:cs="Times New Roman"/>
                <w:noProof/>
                <w:webHidden/>
              </w:rPr>
              <w:fldChar w:fldCharType="end"/>
            </w:r>
          </w:hyperlink>
        </w:p>
        <w:p w14:paraId="33EBA18B" w14:textId="7A34DBF4"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77" w:history="1">
            <w:r w:rsidRPr="001F535A">
              <w:rPr>
                <w:rStyle w:val="Hyperlink"/>
                <w:rFonts w:ascii="Times New Roman" w:hAnsi="Times New Roman" w:cs="Times New Roman"/>
                <w:bCs/>
                <w:noProof/>
              </w:rPr>
              <w:t>1.4 Data Governance Requirements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_Toc227408777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6</w:t>
            </w:r>
            <w:r w:rsidRPr="001F535A">
              <w:rPr>
                <w:rFonts w:ascii="Times New Roman" w:hAnsi="Times New Roman" w:cs="Times New Roman"/>
                <w:noProof/>
                <w:webHidden/>
              </w:rPr>
              <w:fldChar w:fldCharType="end"/>
            </w:r>
          </w:hyperlink>
        </w:p>
        <w:p w14:paraId="71A12BC8" w14:textId="33399030"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78" w:history="1">
            <w:r w:rsidRPr="001F535A">
              <w:rPr>
                <w:rStyle w:val="Hyperlink"/>
                <w:rFonts w:ascii="Times New Roman" w:hAnsi="Times New Roman" w:cs="Times New Roman"/>
                <w:bCs/>
                <w:noProof/>
              </w:rPr>
              <w:t>1.5 Importance of Data Security and Governance</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_Toc227408778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7</w:t>
            </w:r>
            <w:r w:rsidRPr="001F535A">
              <w:rPr>
                <w:rFonts w:ascii="Times New Roman" w:hAnsi="Times New Roman" w:cs="Times New Roman"/>
                <w:noProof/>
                <w:webHidden/>
              </w:rPr>
              <w:fldChar w:fldCharType="end"/>
            </w:r>
          </w:hyperlink>
        </w:p>
        <w:p w14:paraId="4F199323" w14:textId="0E19D74B"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79" w:history="1">
            <w:r w:rsidRPr="001F535A">
              <w:rPr>
                <w:rStyle w:val="Hyperlink"/>
                <w:rFonts w:ascii="Times New Roman" w:hAnsi="Times New Roman" w:cs="Times New Roman"/>
                <w:bCs/>
                <w:noProof/>
              </w:rPr>
              <w:t>1.6 Challenges and Solutions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_Toc227408779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7</w:t>
            </w:r>
            <w:r w:rsidRPr="001F535A">
              <w:rPr>
                <w:rFonts w:ascii="Times New Roman" w:hAnsi="Times New Roman" w:cs="Times New Roman"/>
                <w:noProof/>
                <w:webHidden/>
              </w:rPr>
              <w:fldChar w:fldCharType="end"/>
            </w:r>
          </w:hyperlink>
        </w:p>
        <w:p w14:paraId="232E8CBE" w14:textId="10AD5C4E"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0" w:history="1">
            <w:r w:rsidRPr="001F535A">
              <w:rPr>
                <w:rStyle w:val="Hyperlink"/>
                <w:rFonts w:ascii="Times New Roman" w:hAnsi="Times New Roman" w:cs="Times New Roman"/>
                <w:bCs/>
                <w:noProof/>
              </w:rPr>
              <w:t>1.7 Role of the Information Security Auditor</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_Toc227408780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7</w:t>
            </w:r>
            <w:r w:rsidRPr="001F535A">
              <w:rPr>
                <w:rFonts w:ascii="Times New Roman" w:hAnsi="Times New Roman" w:cs="Times New Roman"/>
                <w:noProof/>
                <w:webHidden/>
              </w:rPr>
              <w:fldChar w:fldCharType="end"/>
            </w:r>
          </w:hyperlink>
        </w:p>
        <w:p w14:paraId="4BDA257F" w14:textId="4916E381"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1" w:history="1">
            <w:r w:rsidRPr="001F535A">
              <w:rPr>
                <w:rStyle w:val="Hyperlink"/>
                <w:rFonts w:ascii="Times New Roman" w:hAnsi="Times New Roman" w:cs="Times New Roman"/>
                <w:noProof/>
              </w:rPr>
              <w:t>1.8 Responsibilities of the Data Security Auditor</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_Toc227408781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8</w:t>
            </w:r>
            <w:r w:rsidRPr="001F535A">
              <w:rPr>
                <w:rFonts w:ascii="Times New Roman" w:hAnsi="Times New Roman" w:cs="Times New Roman"/>
                <w:noProof/>
                <w:webHidden/>
              </w:rPr>
              <w:fldChar w:fldCharType="end"/>
            </w:r>
          </w:hyperlink>
        </w:p>
        <w:p w14:paraId="0ADD5620" w14:textId="62331C73"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2" w:history="1">
            <w:r w:rsidRPr="001F535A">
              <w:rPr>
                <w:rStyle w:val="Hyperlink"/>
                <w:rFonts w:ascii="Times New Roman" w:hAnsi="Times New Roman" w:cs="Times New Roman"/>
                <w:bCs/>
                <w:noProof/>
              </w:rPr>
              <w:t>1.9 Compliance with ethical, social, and legal requirements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_Toc227408782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8</w:t>
            </w:r>
            <w:r w:rsidRPr="001F535A">
              <w:rPr>
                <w:rFonts w:ascii="Times New Roman" w:hAnsi="Times New Roman" w:cs="Times New Roman"/>
                <w:noProof/>
                <w:webHidden/>
              </w:rPr>
              <w:fldChar w:fldCharType="end"/>
            </w:r>
          </w:hyperlink>
        </w:p>
        <w:p w14:paraId="683DCD0F" w14:textId="27C62782"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3" w:history="1">
            <w:r w:rsidRPr="001F535A">
              <w:rPr>
                <w:rStyle w:val="Hyperlink"/>
                <w:rFonts w:ascii="Times New Roman" w:hAnsi="Times New Roman" w:cs="Times New Roman"/>
                <w:noProof/>
              </w:rPr>
              <w:t>Task 2: Security Governance Framework</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_Toc227408783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9</w:t>
            </w:r>
            <w:r w:rsidRPr="001F535A">
              <w:rPr>
                <w:rFonts w:ascii="Times New Roman" w:hAnsi="Times New Roman" w:cs="Times New Roman"/>
                <w:noProof/>
                <w:webHidden/>
              </w:rPr>
              <w:fldChar w:fldCharType="end"/>
            </w:r>
          </w:hyperlink>
        </w:p>
        <w:p w14:paraId="25F0A493" w14:textId="6044C3ED"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4" w:history="1">
            <w:r w:rsidRPr="001F535A">
              <w:rPr>
                <w:rStyle w:val="Hyperlink"/>
                <w:rFonts w:ascii="Times New Roman" w:hAnsi="Times New Roman" w:cs="Times New Roman"/>
                <w:noProof/>
              </w:rPr>
              <w:t>2.2 Proposed ISMS Framework (ISO 27001)</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_Toc227408784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9</w:t>
            </w:r>
            <w:r w:rsidRPr="001F535A">
              <w:rPr>
                <w:rFonts w:ascii="Times New Roman" w:hAnsi="Times New Roman" w:cs="Times New Roman"/>
                <w:noProof/>
                <w:webHidden/>
              </w:rPr>
              <w:fldChar w:fldCharType="end"/>
            </w:r>
          </w:hyperlink>
        </w:p>
        <w:p w14:paraId="1BE65300" w14:textId="00BE2A47"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5" w:history="1">
            <w:r w:rsidRPr="001F535A">
              <w:rPr>
                <w:rStyle w:val="Hyperlink"/>
                <w:rFonts w:ascii="Times New Roman" w:hAnsi="Times New Roman" w:cs="Times New Roman"/>
                <w:bCs/>
                <w:noProof/>
              </w:rPr>
              <w:t>2.3 ITIL Integration for IT Service Management</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_Toc227408785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10</w:t>
            </w:r>
            <w:r w:rsidRPr="001F535A">
              <w:rPr>
                <w:rFonts w:ascii="Times New Roman" w:hAnsi="Times New Roman" w:cs="Times New Roman"/>
                <w:noProof/>
                <w:webHidden/>
              </w:rPr>
              <w:fldChar w:fldCharType="end"/>
            </w:r>
          </w:hyperlink>
        </w:p>
        <w:p w14:paraId="6E0AF84B" w14:textId="38E10858"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6" w:history="1">
            <w:r w:rsidRPr="001F535A">
              <w:rPr>
                <w:rStyle w:val="Hyperlink"/>
                <w:rFonts w:ascii="Times New Roman" w:hAnsi="Times New Roman" w:cs="Times New Roman"/>
                <w:bCs/>
                <w:noProof/>
              </w:rPr>
              <w:t>2.4 Justification of Chosen Approaches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_Toc227408786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10</w:t>
            </w:r>
            <w:r w:rsidRPr="001F535A">
              <w:rPr>
                <w:rFonts w:ascii="Times New Roman" w:hAnsi="Times New Roman" w:cs="Times New Roman"/>
                <w:noProof/>
                <w:webHidden/>
              </w:rPr>
              <w:fldChar w:fldCharType="end"/>
            </w:r>
          </w:hyperlink>
        </w:p>
        <w:p w14:paraId="35E45885" w14:textId="151CAD83" w:rsidR="00BC34D7" w:rsidRPr="001F535A" w:rsidRDefault="00BC34D7">
          <w:pPr>
            <w:pStyle w:val="TOC2"/>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7" w:history="1">
            <w:r w:rsidRPr="001F535A">
              <w:rPr>
                <w:rStyle w:val="Hyperlink"/>
                <w:rFonts w:ascii="Times New Roman" w:hAnsi="Times New Roman" w:cs="Times New Roman"/>
                <w:bCs/>
                <w:noProof/>
              </w:rPr>
              <w:t>2.5 Critical Discussion of the Framework</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_Toc227408787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11</w:t>
            </w:r>
            <w:r w:rsidRPr="001F535A">
              <w:rPr>
                <w:rFonts w:ascii="Times New Roman" w:hAnsi="Times New Roman" w:cs="Times New Roman"/>
                <w:noProof/>
                <w:webHidden/>
              </w:rPr>
              <w:fldChar w:fldCharType="end"/>
            </w:r>
          </w:hyperlink>
        </w:p>
        <w:p w14:paraId="1424C926" w14:textId="134A63A1"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8" w:history="1">
            <w:r w:rsidRPr="001F535A">
              <w:rPr>
                <w:rStyle w:val="Hyperlink"/>
                <w:rFonts w:ascii="Times New Roman" w:hAnsi="Times New Roman" w:cs="Times New Roman"/>
                <w:noProof/>
              </w:rPr>
              <w:t>Task 3: Risk Assessment</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_Toc227408788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11</w:t>
            </w:r>
            <w:r w:rsidRPr="001F535A">
              <w:rPr>
                <w:rFonts w:ascii="Times New Roman" w:hAnsi="Times New Roman" w:cs="Times New Roman"/>
                <w:noProof/>
                <w:webHidden/>
              </w:rPr>
              <w:fldChar w:fldCharType="end"/>
            </w:r>
          </w:hyperlink>
        </w:p>
        <w:p w14:paraId="624580AF" w14:textId="5CED3131"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89" w:history="1">
            <w:r w:rsidRPr="001F535A">
              <w:rPr>
                <w:rStyle w:val="Hyperlink"/>
                <w:rFonts w:ascii="Times New Roman" w:hAnsi="Times New Roman" w:cs="Times New Roman"/>
                <w:noProof/>
              </w:rPr>
              <w:t>3.1 Risk Assessment Methodology</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_Toc227408789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11</w:t>
            </w:r>
            <w:r w:rsidRPr="001F535A">
              <w:rPr>
                <w:rFonts w:ascii="Times New Roman" w:hAnsi="Times New Roman" w:cs="Times New Roman"/>
                <w:noProof/>
                <w:webHidden/>
              </w:rPr>
              <w:fldChar w:fldCharType="end"/>
            </w:r>
          </w:hyperlink>
        </w:p>
        <w:p w14:paraId="1F669729" w14:textId="17F23429"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90" w:history="1">
            <w:r w:rsidRPr="001F535A">
              <w:rPr>
                <w:rStyle w:val="Hyperlink"/>
                <w:rFonts w:ascii="Times New Roman" w:hAnsi="Times New Roman" w:cs="Times New Roman"/>
                <w:noProof/>
              </w:rPr>
              <w:t>3.2 Identification of Information Assets, Vulnerabilities, Threats, and Risks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_Toc227408790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12</w:t>
            </w:r>
            <w:r w:rsidRPr="001F535A">
              <w:rPr>
                <w:rFonts w:ascii="Times New Roman" w:hAnsi="Times New Roman" w:cs="Times New Roman"/>
                <w:noProof/>
                <w:webHidden/>
              </w:rPr>
              <w:fldChar w:fldCharType="end"/>
            </w:r>
          </w:hyperlink>
        </w:p>
        <w:p w14:paraId="3DC1D4B7" w14:textId="27DFCB2F"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91" w:history="1">
            <w:r w:rsidRPr="001F535A">
              <w:rPr>
                <w:rStyle w:val="Hyperlink"/>
                <w:rFonts w:ascii="Times New Roman" w:hAnsi="Times New Roman" w:cs="Times New Roman"/>
                <w:noProof/>
              </w:rPr>
              <w:t>Task 4: Conclusion</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_Toc227408791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12</w:t>
            </w:r>
            <w:r w:rsidRPr="001F535A">
              <w:rPr>
                <w:rFonts w:ascii="Times New Roman" w:hAnsi="Times New Roman" w:cs="Times New Roman"/>
                <w:noProof/>
                <w:webHidden/>
              </w:rPr>
              <w:fldChar w:fldCharType="end"/>
            </w:r>
          </w:hyperlink>
        </w:p>
        <w:p w14:paraId="500A3BA2" w14:textId="5F1F78FA" w:rsidR="00BC34D7" w:rsidRPr="001F535A" w:rsidRDefault="00BC34D7">
          <w:pPr>
            <w:pStyle w:val="TOC1"/>
            <w:tabs>
              <w:tab w:val="right" w:leader="dot" w:pos="9350"/>
            </w:tabs>
            <w:rPr>
              <w:rFonts w:ascii="Times New Roman" w:eastAsiaTheme="minorEastAsia" w:hAnsi="Times New Roman" w:cs="Times New Roman"/>
              <w:noProof/>
              <w:kern w:val="2"/>
              <w:sz w:val="24"/>
              <w:szCs w:val="24"/>
              <w:lang w:val="en-IN" w:eastAsia="en-IN"/>
              <w14:ligatures w14:val="standardContextual"/>
            </w:rPr>
          </w:pPr>
          <w:hyperlink w:anchor="_Toc227408792" w:history="1">
            <w:r w:rsidRPr="001F535A">
              <w:rPr>
                <w:rStyle w:val="Hyperlink"/>
                <w:rFonts w:ascii="Times New Roman" w:hAnsi="Times New Roman" w:cs="Times New Roman"/>
                <w:bCs/>
                <w:noProof/>
              </w:rPr>
              <w:t>Task 5: References</w:t>
            </w:r>
            <w:r w:rsidRPr="001F535A">
              <w:rPr>
                <w:rFonts w:ascii="Times New Roman" w:hAnsi="Times New Roman" w:cs="Times New Roman"/>
                <w:noProof/>
                <w:webHidden/>
              </w:rPr>
              <w:tab/>
            </w:r>
            <w:r w:rsidRPr="001F535A">
              <w:rPr>
                <w:rFonts w:ascii="Times New Roman" w:hAnsi="Times New Roman" w:cs="Times New Roman"/>
                <w:noProof/>
                <w:webHidden/>
              </w:rPr>
              <w:fldChar w:fldCharType="begin"/>
            </w:r>
            <w:r w:rsidRPr="001F535A">
              <w:rPr>
                <w:rFonts w:ascii="Times New Roman" w:hAnsi="Times New Roman" w:cs="Times New Roman"/>
                <w:noProof/>
                <w:webHidden/>
              </w:rPr>
              <w:instrText xml:space="preserve"> PAGEREF _Toc227408792 \h </w:instrText>
            </w:r>
            <w:r w:rsidRPr="001F535A">
              <w:rPr>
                <w:rFonts w:ascii="Times New Roman" w:hAnsi="Times New Roman" w:cs="Times New Roman"/>
                <w:noProof/>
                <w:webHidden/>
              </w:rPr>
            </w:r>
            <w:r w:rsidRPr="001F535A">
              <w:rPr>
                <w:rFonts w:ascii="Times New Roman" w:hAnsi="Times New Roman" w:cs="Times New Roman"/>
                <w:noProof/>
                <w:webHidden/>
              </w:rPr>
              <w:fldChar w:fldCharType="separate"/>
            </w:r>
            <w:r w:rsidRPr="001F535A">
              <w:rPr>
                <w:rFonts w:ascii="Times New Roman" w:hAnsi="Times New Roman" w:cs="Times New Roman"/>
                <w:noProof/>
                <w:webHidden/>
              </w:rPr>
              <w:t>13</w:t>
            </w:r>
            <w:r w:rsidRPr="001F535A">
              <w:rPr>
                <w:rFonts w:ascii="Times New Roman" w:hAnsi="Times New Roman" w:cs="Times New Roman"/>
                <w:noProof/>
                <w:webHidden/>
              </w:rPr>
              <w:fldChar w:fldCharType="end"/>
            </w:r>
          </w:hyperlink>
        </w:p>
        <w:p w14:paraId="774CD2A0" w14:textId="5570E80F" w:rsidR="00BC34D7" w:rsidRPr="001F535A" w:rsidRDefault="00BC34D7">
          <w:pPr>
            <w:rPr>
              <w:rFonts w:ascii="Times New Roman" w:hAnsi="Times New Roman" w:cs="Times New Roman"/>
            </w:rPr>
          </w:pPr>
          <w:r w:rsidRPr="001F535A">
            <w:rPr>
              <w:rFonts w:ascii="Times New Roman" w:hAnsi="Times New Roman" w:cs="Times New Roman"/>
              <w:b/>
              <w:bCs/>
              <w:noProof/>
            </w:rPr>
            <w:fldChar w:fldCharType="end"/>
          </w:r>
        </w:p>
      </w:sdtContent>
    </w:sdt>
    <w:p w14:paraId="4850C12A" w14:textId="77777777" w:rsidR="00BC34D7" w:rsidRPr="001F535A" w:rsidRDefault="00BC34D7" w:rsidP="00BC34D7">
      <w:pPr>
        <w:rPr>
          <w:rFonts w:ascii="Times New Roman" w:hAnsi="Times New Roman" w:cs="Times New Roman"/>
          <w:lang w:val="en-US"/>
        </w:rPr>
      </w:pPr>
    </w:p>
    <w:p w14:paraId="2E58FFE4" w14:textId="77777777" w:rsidR="00BC34D7" w:rsidRPr="001F535A" w:rsidRDefault="00BC34D7" w:rsidP="00BC34D7">
      <w:pPr>
        <w:rPr>
          <w:rFonts w:ascii="Times New Roman" w:hAnsi="Times New Roman" w:cs="Times New Roman"/>
          <w:lang w:val="en-US"/>
        </w:rPr>
      </w:pPr>
    </w:p>
    <w:p w14:paraId="4EC25F1F" w14:textId="77777777" w:rsidR="00BC34D7" w:rsidRPr="001F535A" w:rsidRDefault="00BC34D7" w:rsidP="00BC34D7">
      <w:pPr>
        <w:rPr>
          <w:rFonts w:ascii="Times New Roman" w:hAnsi="Times New Roman" w:cs="Times New Roman"/>
          <w:lang w:val="en-US"/>
        </w:rPr>
      </w:pPr>
    </w:p>
    <w:p w14:paraId="4092764A" w14:textId="77777777" w:rsidR="00BC34D7" w:rsidRPr="001F535A" w:rsidRDefault="00BC34D7" w:rsidP="00BC34D7">
      <w:pPr>
        <w:rPr>
          <w:rFonts w:ascii="Times New Roman" w:hAnsi="Times New Roman" w:cs="Times New Roman"/>
          <w:lang w:val="en-US"/>
        </w:rPr>
      </w:pPr>
    </w:p>
    <w:p w14:paraId="603B0DFF" w14:textId="77777777" w:rsidR="00BC34D7" w:rsidRPr="001F535A" w:rsidRDefault="00BC34D7" w:rsidP="00BC34D7">
      <w:pPr>
        <w:rPr>
          <w:rFonts w:ascii="Times New Roman" w:hAnsi="Times New Roman" w:cs="Times New Roman"/>
          <w:lang w:val="en-US"/>
        </w:rPr>
      </w:pPr>
    </w:p>
    <w:p w14:paraId="6CC28AD1" w14:textId="77777777" w:rsidR="00BC34D7" w:rsidRPr="001F535A" w:rsidRDefault="00BC34D7" w:rsidP="00BC34D7">
      <w:pPr>
        <w:rPr>
          <w:rFonts w:ascii="Times New Roman" w:hAnsi="Times New Roman" w:cs="Times New Roman"/>
          <w:lang w:val="en-US"/>
        </w:rPr>
      </w:pPr>
    </w:p>
    <w:p w14:paraId="048B5AB2" w14:textId="77777777" w:rsidR="00BC34D7" w:rsidRPr="001F535A" w:rsidRDefault="00BC34D7" w:rsidP="00BC34D7">
      <w:pPr>
        <w:rPr>
          <w:rFonts w:ascii="Times New Roman" w:hAnsi="Times New Roman" w:cs="Times New Roman"/>
          <w:lang w:val="en-US"/>
        </w:rPr>
      </w:pPr>
    </w:p>
    <w:p w14:paraId="6696221D" w14:textId="77777777" w:rsidR="00BC34D7" w:rsidRPr="001F535A" w:rsidRDefault="00BC34D7" w:rsidP="00BC34D7">
      <w:pPr>
        <w:rPr>
          <w:rFonts w:ascii="Times New Roman" w:hAnsi="Times New Roman" w:cs="Times New Roman"/>
          <w:lang w:val="en-US"/>
        </w:rPr>
      </w:pPr>
    </w:p>
    <w:p w14:paraId="42CBE1FD" w14:textId="77777777" w:rsidR="00BC34D7" w:rsidRPr="001F535A" w:rsidRDefault="00BC34D7" w:rsidP="00BC34D7">
      <w:pPr>
        <w:rPr>
          <w:rFonts w:ascii="Times New Roman" w:hAnsi="Times New Roman" w:cs="Times New Roman"/>
          <w:lang w:val="en-US"/>
        </w:rPr>
      </w:pPr>
    </w:p>
    <w:p w14:paraId="63503C2D" w14:textId="77777777" w:rsidR="00E7600F" w:rsidRPr="001F535A" w:rsidRDefault="00000000" w:rsidP="004524AD">
      <w:pPr>
        <w:pStyle w:val="Heading1"/>
        <w:rPr>
          <w:color w:val="4F81BD" w:themeColor="accent1"/>
          <w:sz w:val="32"/>
          <w:szCs w:val="32"/>
        </w:rPr>
      </w:pPr>
      <w:bookmarkStart w:id="0" w:name="_Toc227408772"/>
      <w:r w:rsidRPr="001F535A">
        <w:rPr>
          <w:color w:val="4F81BD" w:themeColor="accent1"/>
          <w:sz w:val="32"/>
          <w:szCs w:val="32"/>
        </w:rPr>
        <w:lastRenderedPageBreak/>
        <w:t>Introduction</w:t>
      </w:r>
      <w:bookmarkEnd w:id="0"/>
    </w:p>
    <w:p w14:paraId="005BB9A5" w14:textId="10CCCDFC" w:rsidR="000175D5" w:rsidRPr="001F535A" w:rsidRDefault="000175D5" w:rsidP="000175D5">
      <w:pPr>
        <w:pStyle w:val="Normal1"/>
        <w:jc w:val="both"/>
        <w:rPr>
          <w:rFonts w:ascii="Times New Roman" w:hAnsi="Times New Roman" w:cs="Times New Roman"/>
        </w:rPr>
      </w:pPr>
      <w:r w:rsidRPr="001F535A">
        <w:rPr>
          <w:rFonts w:ascii="Times New Roman" w:hAnsi="Times New Roman" w:cs="Times New Roman"/>
        </w:rPr>
        <w:t xml:space="preserve">DFIs like </w:t>
      </w: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have a context in which the volume of data is increasing </w:t>
      </w:r>
      <w:proofErr w:type="gramStart"/>
      <w:r w:rsidRPr="001F535A">
        <w:rPr>
          <w:rFonts w:ascii="Times New Roman" w:hAnsi="Times New Roman" w:cs="Times New Roman"/>
        </w:rPr>
        <w:t>exponentially</w:t>
      </w:r>
      <w:proofErr w:type="gramEnd"/>
      <w:r w:rsidRPr="001F535A">
        <w:rPr>
          <w:rFonts w:ascii="Times New Roman" w:hAnsi="Times New Roman" w:cs="Times New Roman"/>
        </w:rPr>
        <w:t xml:space="preserve"> and it contains very sensitive customer and transaction data. This fast growth of data, along with the growing use of digital banking services, has made </w:t>
      </w:r>
      <w:proofErr w:type="gramStart"/>
      <w:r w:rsidRPr="001F535A">
        <w:rPr>
          <w:rFonts w:ascii="Times New Roman" w:hAnsi="Times New Roman" w:cs="Times New Roman"/>
        </w:rPr>
        <w:t>the proper</w:t>
      </w:r>
      <w:proofErr w:type="gramEnd"/>
      <w:r w:rsidRPr="001F535A">
        <w:rPr>
          <w:rFonts w:ascii="Times New Roman" w:hAnsi="Times New Roman" w:cs="Times New Roman"/>
        </w:rPr>
        <w:t xml:space="preserve"> data governance and security systems more significant. Studies have shown that big data environments present a high level of challenges </w:t>
      </w:r>
      <w:proofErr w:type="gramStart"/>
      <w:r w:rsidRPr="001F535A">
        <w:rPr>
          <w:rFonts w:ascii="Times New Roman" w:hAnsi="Times New Roman" w:cs="Times New Roman"/>
        </w:rPr>
        <w:t>with regard to</w:t>
      </w:r>
      <w:proofErr w:type="gramEnd"/>
      <w:r w:rsidRPr="001F535A">
        <w:rPr>
          <w:rFonts w:ascii="Times New Roman" w:hAnsi="Times New Roman" w:cs="Times New Roman"/>
        </w:rPr>
        <w:t xml:space="preserve"> data management, privacy and security and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w:t>
      </w:r>
      <w:proofErr w:type="gramStart"/>
      <w:r w:rsidRPr="001F535A">
        <w:rPr>
          <w:rFonts w:ascii="Times New Roman" w:hAnsi="Times New Roman" w:cs="Times New Roman"/>
        </w:rPr>
        <w:t>have to</w:t>
      </w:r>
      <w:proofErr w:type="gramEnd"/>
      <w:r w:rsidRPr="001F535A">
        <w:rPr>
          <w:rFonts w:ascii="Times New Roman" w:hAnsi="Times New Roman" w:cs="Times New Roman"/>
        </w:rPr>
        <w:t xml:space="preserve"> implement structured methodologies of governance [1], [3]. Meanwhile, regulatory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have enhanced demands related to data privacy, security and </w:t>
      </w:r>
      <w:proofErr w:type="spellStart"/>
      <w:r w:rsidRPr="001F535A">
        <w:rPr>
          <w:rFonts w:ascii="Times New Roman" w:hAnsi="Times New Roman" w:cs="Times New Roman"/>
        </w:rPr>
        <w:t>organisational</w:t>
      </w:r>
      <w:proofErr w:type="spellEnd"/>
      <w:r w:rsidRPr="001F535A">
        <w:rPr>
          <w:rFonts w:ascii="Times New Roman" w:hAnsi="Times New Roman" w:cs="Times New Roman"/>
        </w:rPr>
        <w:t xml:space="preserve"> accountability. General Data Protection Regulation (GDPR) is one of the frameworks that put financial institutions on its toes in the collection, processing, and storage of personal data, with severe compliance repercussions [5]. Likewise, internationally renowned frameworks, including the NIST Cybersecurity Framework and COBIT 2019, underline the importance of governance, risk management, and compliance as key </w:t>
      </w:r>
      <w:proofErr w:type="spellStart"/>
      <w:r w:rsidRPr="001F535A">
        <w:rPr>
          <w:rFonts w:ascii="Times New Roman" w:hAnsi="Times New Roman" w:cs="Times New Roman"/>
        </w:rPr>
        <w:t>organisational</w:t>
      </w:r>
      <w:proofErr w:type="spellEnd"/>
      <w:r w:rsidRPr="001F535A">
        <w:rPr>
          <w:rFonts w:ascii="Times New Roman" w:hAnsi="Times New Roman" w:cs="Times New Roman"/>
        </w:rPr>
        <w:t xml:space="preserve"> functions [6], [8]. Such changes have taken data management to a strategic and board level issue. Research also indicates that poorly established or ineffectively implemented data governance frameworks greatly enhance the chances of data leaks, financial setbacks and reputational losses. Industry reports show that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that have a poor governance structure attract greater </w:t>
      </w:r>
      <w:proofErr w:type="gramStart"/>
      <w:r w:rsidRPr="001F535A">
        <w:rPr>
          <w:rFonts w:ascii="Times New Roman" w:hAnsi="Times New Roman" w:cs="Times New Roman"/>
        </w:rPr>
        <w:t>expenses</w:t>
      </w:r>
      <w:proofErr w:type="gramEnd"/>
      <w:r w:rsidRPr="001F535A">
        <w:rPr>
          <w:rFonts w:ascii="Times New Roman" w:hAnsi="Times New Roman" w:cs="Times New Roman"/>
        </w:rPr>
        <w:t xml:space="preserve"> of information breaches and gradual loss of stakeholder confidence [14]. This is a critical </w:t>
      </w:r>
      <w:proofErr w:type="gramStart"/>
      <w:r w:rsidRPr="001F535A">
        <w:rPr>
          <w:rFonts w:ascii="Times New Roman" w:hAnsi="Times New Roman" w:cs="Times New Roman"/>
        </w:rPr>
        <w:t>risk</w:t>
      </w:r>
      <w:proofErr w:type="gramEnd"/>
      <w:r w:rsidRPr="001F535A">
        <w:rPr>
          <w:rFonts w:ascii="Times New Roman" w:hAnsi="Times New Roman" w:cs="Times New Roman"/>
        </w:rPr>
        <w:t xml:space="preserve"> especially in online </w:t>
      </w:r>
      <w:proofErr w:type="gramStart"/>
      <w:r w:rsidRPr="001F535A">
        <w:rPr>
          <w:rFonts w:ascii="Times New Roman" w:hAnsi="Times New Roman" w:cs="Times New Roman"/>
        </w:rPr>
        <w:t>banking</w:t>
      </w:r>
      <w:proofErr w:type="gramEnd"/>
      <w:r w:rsidRPr="001F535A">
        <w:rPr>
          <w:rFonts w:ascii="Times New Roman" w:hAnsi="Times New Roman" w:cs="Times New Roman"/>
        </w:rPr>
        <w:t xml:space="preserve"> where services are extremely reliant on the correct, secure, and real-time processing of data. At </w:t>
      </w:r>
      <w:proofErr w:type="gramStart"/>
      <w:r w:rsidRPr="001F535A">
        <w:rPr>
          <w:rFonts w:ascii="Times New Roman" w:hAnsi="Times New Roman" w:cs="Times New Roman"/>
        </w:rPr>
        <w:t>that</w:t>
      </w:r>
      <w:proofErr w:type="gramEnd"/>
      <w:r w:rsidRPr="001F535A">
        <w:rPr>
          <w:rFonts w:ascii="Times New Roman" w:hAnsi="Times New Roman" w:cs="Times New Roman"/>
        </w:rPr>
        <w:t xml:space="preserve">, data governance becomes a pivotal process, which incorporates data quality, data security, data privacy, and access control in the framework of </w:t>
      </w:r>
      <w:proofErr w:type="gramStart"/>
      <w:r w:rsidRPr="001F535A">
        <w:rPr>
          <w:rFonts w:ascii="Times New Roman" w:hAnsi="Times New Roman" w:cs="Times New Roman"/>
        </w:rPr>
        <w:t>a coherent</w:t>
      </w:r>
      <w:proofErr w:type="gramEnd"/>
      <w:r w:rsidRPr="001F535A">
        <w:rPr>
          <w:rFonts w:ascii="Times New Roman" w:hAnsi="Times New Roman" w:cs="Times New Roman"/>
        </w:rPr>
        <w:t xml:space="preserve"> and systematic </w:t>
      </w:r>
      <w:proofErr w:type="gramStart"/>
      <w:r w:rsidRPr="001F535A">
        <w:rPr>
          <w:rFonts w:ascii="Times New Roman" w:hAnsi="Times New Roman" w:cs="Times New Roman"/>
        </w:rPr>
        <w:t>management..</w:t>
      </w:r>
      <w:proofErr w:type="gramEnd"/>
      <w:r w:rsidRPr="001F535A">
        <w:rPr>
          <w:rFonts w:ascii="Times New Roman" w:hAnsi="Times New Roman" w:cs="Times New Roman"/>
        </w:rPr>
        <w:t xml:space="preserve"> Good data governance helps in maintaining the accuracy, consistency and protection of data and is available to </w:t>
      </w:r>
      <w:proofErr w:type="spellStart"/>
      <w:r w:rsidRPr="001F535A">
        <w:rPr>
          <w:rFonts w:ascii="Times New Roman" w:hAnsi="Times New Roman" w:cs="Times New Roman"/>
        </w:rPr>
        <w:t>authorised</w:t>
      </w:r>
      <w:proofErr w:type="spellEnd"/>
      <w:r w:rsidRPr="001F535A">
        <w:rPr>
          <w:rFonts w:ascii="Times New Roman" w:hAnsi="Times New Roman" w:cs="Times New Roman"/>
        </w:rPr>
        <w:t xml:space="preserve"> users when required [4], [7]. There are also ideas like privacy by design which support implementing data protection into systems and processes early in their implementation instead of considering them an addition [12]. Although it is an important concept, numerous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are unable to transform the concept of data governance into working operating models. Common challenges to research include inadequate metadata management, absence of clear ownership, and inadequate business and IT functions alignment [2], [9]. Consequently, governance programs usually do not realize their potential in nudging security posture and regulatory compliance. According to these views, </w:t>
      </w: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should design and adopt a holistic data governance and data security policy. A strategy like this must contain roles and responsibilities that are well defined, effective data quality management processes, effective access control mechanisms, and continuous monitoring that is in-line with regulatory requirements. Using the existing models and best practices, FSB will be able to minimize operational and security risks, adhere to regulatory requirements, and facilitate sustainable digital transformation.</w:t>
      </w:r>
    </w:p>
    <w:p w14:paraId="57B0AD35" w14:textId="6707383D" w:rsidR="00E7600F" w:rsidRPr="001F535A" w:rsidRDefault="00000000" w:rsidP="004524AD">
      <w:pPr>
        <w:pStyle w:val="Heading1"/>
        <w:rPr>
          <w:color w:val="4F81BD" w:themeColor="accent1"/>
          <w:sz w:val="32"/>
          <w:szCs w:val="32"/>
        </w:rPr>
      </w:pPr>
      <w:bookmarkStart w:id="1" w:name="_Toc227408773"/>
      <w:r w:rsidRPr="001F535A">
        <w:rPr>
          <w:rStyle w:val="Strong"/>
          <w:color w:val="4F81BD" w:themeColor="accent1"/>
          <w:sz w:val="32"/>
          <w:szCs w:val="32"/>
        </w:rPr>
        <w:lastRenderedPageBreak/>
        <w:t>Task 1: Data Security and Governance Needs</w:t>
      </w:r>
      <w:bookmarkEnd w:id="1"/>
    </w:p>
    <w:p w14:paraId="4D2134DC" w14:textId="0DF5A98D" w:rsidR="000175D5" w:rsidRPr="001F535A" w:rsidRDefault="00000000" w:rsidP="000175D5">
      <w:pPr>
        <w:pStyle w:val="Heading2"/>
        <w:numPr>
          <w:ilvl w:val="1"/>
          <w:numId w:val="5"/>
        </w:numPr>
        <w:spacing w:line="240" w:lineRule="auto"/>
        <w:rPr>
          <w:color w:val="4F81BD" w:themeColor="accent1"/>
        </w:rPr>
      </w:pPr>
      <w:bookmarkStart w:id="2" w:name="_Toc227408774"/>
      <w:r w:rsidRPr="001F535A">
        <w:rPr>
          <w:rStyle w:val="Strong"/>
          <w:color w:val="4F81BD" w:themeColor="accent1"/>
          <w:sz w:val="32"/>
          <w:szCs w:val="32"/>
        </w:rPr>
        <w:t xml:space="preserve">Cybersecurity threats to information </w:t>
      </w:r>
      <w:proofErr w:type="gramStart"/>
      <w:r w:rsidRPr="001F535A">
        <w:rPr>
          <w:rStyle w:val="Strong"/>
          <w:color w:val="4F81BD" w:themeColor="accent1"/>
          <w:sz w:val="32"/>
          <w:szCs w:val="32"/>
        </w:rPr>
        <w:t>assets</w:t>
      </w:r>
      <w:r w:rsidRPr="001F535A">
        <w:rPr>
          <w:color w:val="4F81BD" w:themeColor="accent1"/>
          <w:sz w:val="32"/>
          <w:szCs w:val="32"/>
        </w:rPr>
        <w:t xml:space="preserve"> </w:t>
      </w:r>
      <w:r w:rsidR="00197F99" w:rsidRPr="001F535A">
        <w:rPr>
          <w:color w:val="4F81BD" w:themeColor="accent1"/>
          <w:sz w:val="32"/>
          <w:szCs w:val="32"/>
        </w:rPr>
        <w:t>:</w:t>
      </w:r>
      <w:proofErr w:type="gramEnd"/>
      <w:r w:rsidR="007C5A8D" w:rsidRPr="001F535A">
        <w:rPr>
          <w:color w:val="4F81BD" w:themeColor="accent1"/>
        </w:rPr>
        <w:t xml:space="preserve"> </w:t>
      </w:r>
      <w:bookmarkEnd w:id="2"/>
    </w:p>
    <w:p w14:paraId="2FF1AB23" w14:textId="339A9A60" w:rsidR="00E7600F" w:rsidRPr="001F535A" w:rsidRDefault="000175D5" w:rsidP="000175D5">
      <w:pPr>
        <w:pStyle w:val="Heading2"/>
        <w:spacing w:line="240" w:lineRule="auto"/>
        <w:ind w:left="480"/>
        <w:rPr>
          <w:b w:val="0"/>
          <w:bCs/>
          <w:color w:val="000000" w:themeColor="text1"/>
        </w:rPr>
      </w:pPr>
      <w:proofErr w:type="spellStart"/>
      <w:r w:rsidRPr="001F535A">
        <w:rPr>
          <w:b w:val="0"/>
          <w:bCs/>
          <w:color w:val="000000" w:themeColor="text1"/>
        </w:rPr>
        <w:t>FinSure</w:t>
      </w:r>
      <w:proofErr w:type="spellEnd"/>
      <w:r w:rsidRPr="001F535A">
        <w:rPr>
          <w:b w:val="0"/>
          <w:bCs/>
          <w:color w:val="000000" w:themeColor="text1"/>
        </w:rPr>
        <w:t xml:space="preserve"> Bank (FSB) uses numerous valuable data, including the personal information (PII) of its customers, transaction history, loan and investment data, mobile applications information, cloud databases, and API. This information is not only vital in the </w:t>
      </w:r>
      <w:proofErr w:type="gramStart"/>
      <w:r w:rsidRPr="001F535A">
        <w:rPr>
          <w:b w:val="0"/>
          <w:bCs/>
          <w:color w:val="000000" w:themeColor="text1"/>
        </w:rPr>
        <w:t>day to day</w:t>
      </w:r>
      <w:proofErr w:type="gramEnd"/>
      <w:r w:rsidRPr="001F535A">
        <w:rPr>
          <w:b w:val="0"/>
          <w:bCs/>
          <w:color w:val="000000" w:themeColor="text1"/>
        </w:rPr>
        <w:t xml:space="preserve"> running of banks, </w:t>
      </w:r>
      <w:proofErr w:type="gramStart"/>
      <w:r w:rsidRPr="001F535A">
        <w:rPr>
          <w:b w:val="0"/>
          <w:bCs/>
          <w:color w:val="000000" w:themeColor="text1"/>
        </w:rPr>
        <w:t>it is</w:t>
      </w:r>
      <w:proofErr w:type="gramEnd"/>
      <w:r w:rsidRPr="001F535A">
        <w:rPr>
          <w:b w:val="0"/>
          <w:bCs/>
          <w:color w:val="000000" w:themeColor="text1"/>
        </w:rPr>
        <w:t xml:space="preserve"> also very sensitive. Since a significant part of it is stored on various cloud platforms and is accessed via personal (BYOD) devices, it is more vulnerable to security risks. Illegal access is one of the key issues in this scenario in which intruders access systems by stealing credentials or lack of proper security measures. This threat is greater in the cloud-based system, particularly when the systems are not appropriately configured [6], [9]. Data exfiltration is another major threat that involves stealing sensitive data and using it to commit fraud or identity theft [11]. Ransomware attacks are on the increase as well. In such attacks, hackers store valuable information and demand a fee to re-release it. Any interruption, even a minor one, may have an impact on the banking services and make the customers lose trust or panic [14]. Moreover, there are data integrity attacks whereby the information is modified or </w:t>
      </w:r>
      <w:proofErr w:type="gramStart"/>
      <w:r w:rsidRPr="001F535A">
        <w:rPr>
          <w:b w:val="0"/>
          <w:bCs/>
          <w:color w:val="000000" w:themeColor="text1"/>
        </w:rPr>
        <w:t>changed</w:t>
      </w:r>
      <w:proofErr w:type="gramEnd"/>
      <w:r w:rsidRPr="001F535A">
        <w:rPr>
          <w:b w:val="0"/>
          <w:bCs/>
          <w:color w:val="000000" w:themeColor="text1"/>
        </w:rPr>
        <w:t xml:space="preserve"> and this may cause wrong financial statements and severe compliance problems [4]. These risks are even higher when cloud services and BYOD are utilized. Cloud systems are difficult to control, and personal devices are not as safe, and can be easily attacked by hackers [1], [3]. All these put FSB at risk of cyber threats. The bank will need to take robust security measures including access controls, encryption, and round-the-clock monitoring </w:t>
      </w:r>
      <w:proofErr w:type="gramStart"/>
      <w:r w:rsidRPr="001F535A">
        <w:rPr>
          <w:b w:val="0"/>
          <w:bCs/>
          <w:color w:val="000000" w:themeColor="text1"/>
        </w:rPr>
        <w:t>in order to</w:t>
      </w:r>
      <w:proofErr w:type="gramEnd"/>
      <w:r w:rsidRPr="001F535A">
        <w:rPr>
          <w:b w:val="0"/>
          <w:bCs/>
          <w:color w:val="000000" w:themeColor="text1"/>
        </w:rPr>
        <w:t xml:space="preserve"> ensure that its data is secure and that customers can trust it.</w:t>
      </w:r>
    </w:p>
    <w:p w14:paraId="653F323B" w14:textId="0EA6EFE2" w:rsidR="00E7600F" w:rsidRPr="001F535A" w:rsidRDefault="00000000" w:rsidP="000175D5">
      <w:pPr>
        <w:pStyle w:val="Heading2"/>
        <w:numPr>
          <w:ilvl w:val="1"/>
          <w:numId w:val="5"/>
        </w:numPr>
        <w:rPr>
          <w:color w:val="4F81BD" w:themeColor="accent1"/>
          <w:sz w:val="32"/>
          <w:szCs w:val="32"/>
        </w:rPr>
      </w:pPr>
      <w:bookmarkStart w:id="3" w:name="_Toc227408775"/>
      <w:r w:rsidRPr="001F535A">
        <w:rPr>
          <w:rStyle w:val="Strong"/>
          <w:b/>
          <w:bCs w:val="0"/>
          <w:color w:val="4F81BD" w:themeColor="accent1"/>
          <w:sz w:val="32"/>
          <w:szCs w:val="32"/>
        </w:rPr>
        <w:t>Categories of Cybersecurity Threats</w:t>
      </w:r>
      <w:bookmarkEnd w:id="3"/>
      <w:r w:rsidRPr="001F535A">
        <w:rPr>
          <w:color w:val="4F81BD" w:themeColor="accent1"/>
          <w:sz w:val="32"/>
          <w:szCs w:val="32"/>
        </w:rPr>
        <w:t xml:space="preserve"> </w:t>
      </w:r>
    </w:p>
    <w:p w14:paraId="7BBAF770" w14:textId="77777777" w:rsidR="000175D5" w:rsidRPr="001F535A" w:rsidRDefault="000175D5" w:rsidP="000175D5">
      <w:pPr>
        <w:pStyle w:val="Normal1"/>
        <w:ind w:left="480"/>
        <w:jc w:val="both"/>
        <w:rPr>
          <w:rFonts w:ascii="Times New Roman" w:hAnsi="Times New Roman" w:cs="Times New Roman"/>
        </w:rPr>
      </w:pPr>
      <w:proofErr w:type="gramStart"/>
      <w:r w:rsidRPr="001F535A">
        <w:rPr>
          <w:rFonts w:ascii="Times New Roman" w:hAnsi="Times New Roman" w:cs="Times New Roman"/>
        </w:rPr>
        <w:t>In order to</w:t>
      </w:r>
      <w:proofErr w:type="gramEnd"/>
      <w:r w:rsidRPr="001F535A">
        <w:rPr>
          <w:rFonts w:ascii="Times New Roman" w:hAnsi="Times New Roman" w:cs="Times New Roman"/>
        </w:rPr>
        <w:t xml:space="preserve"> effectively address the cybersecurity threats, </w:t>
      </w: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can categorize the threats into four main groups. Such an </w:t>
      </w:r>
      <w:proofErr w:type="spellStart"/>
      <w:r w:rsidRPr="001F535A">
        <w:rPr>
          <w:rFonts w:ascii="Times New Roman" w:hAnsi="Times New Roman" w:cs="Times New Roman"/>
        </w:rPr>
        <w:t>organised</w:t>
      </w:r>
      <w:proofErr w:type="spellEnd"/>
      <w:r w:rsidRPr="001F535A">
        <w:rPr>
          <w:rFonts w:ascii="Times New Roman" w:hAnsi="Times New Roman" w:cs="Times New Roman"/>
        </w:rPr>
        <w:t xml:space="preserve"> methodology assists the </w:t>
      </w:r>
      <w:proofErr w:type="spellStart"/>
      <w:r w:rsidRPr="001F535A">
        <w:rPr>
          <w:rFonts w:ascii="Times New Roman" w:hAnsi="Times New Roman" w:cs="Times New Roman"/>
        </w:rPr>
        <w:t>organisation</w:t>
      </w:r>
      <w:proofErr w:type="spellEnd"/>
      <w:r w:rsidRPr="001F535A">
        <w:rPr>
          <w:rFonts w:ascii="Times New Roman" w:hAnsi="Times New Roman" w:cs="Times New Roman"/>
        </w:rPr>
        <w:t xml:space="preserve"> to implement focused controls and the overall security posture.</w:t>
      </w:r>
    </w:p>
    <w:p w14:paraId="4EB38131" w14:textId="1552C264"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rPr>
        <w:t>•</w:t>
      </w:r>
      <w:r w:rsidRPr="001F535A">
        <w:rPr>
          <w:rFonts w:ascii="Times New Roman" w:hAnsi="Times New Roman" w:cs="Times New Roman"/>
        </w:rPr>
        <w:tab/>
        <w:t xml:space="preserve">The external threats are hackers, nation-state agents and </w:t>
      </w:r>
      <w:proofErr w:type="spellStart"/>
      <w:r w:rsidRPr="001F535A">
        <w:rPr>
          <w:rFonts w:ascii="Times New Roman" w:hAnsi="Times New Roman" w:cs="Times New Roman"/>
        </w:rPr>
        <w:t>organised</w:t>
      </w:r>
      <w:proofErr w:type="spellEnd"/>
      <w:r w:rsidRPr="001F535A">
        <w:rPr>
          <w:rFonts w:ascii="Times New Roman" w:hAnsi="Times New Roman" w:cs="Times New Roman"/>
        </w:rPr>
        <w:t xml:space="preserve"> cybercrime groups. </w:t>
      </w:r>
      <w:r w:rsidRPr="001F535A">
        <w:rPr>
          <w:rFonts w:ascii="Times New Roman" w:hAnsi="Times New Roman" w:cs="Times New Roman"/>
        </w:rPr>
        <w:t xml:space="preserve">          </w:t>
      </w:r>
      <w:r w:rsidRPr="001F535A">
        <w:rPr>
          <w:rFonts w:ascii="Times New Roman" w:hAnsi="Times New Roman" w:cs="Times New Roman"/>
        </w:rPr>
        <w:t xml:space="preserve">Financial institutions are often targeted by these attackers, as such data and financial assets are highly valued [14]. </w:t>
      </w:r>
    </w:p>
    <w:p w14:paraId="5770183B" w14:textId="77777777"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rPr>
        <w:t>•</w:t>
      </w:r>
      <w:r w:rsidRPr="001F535A">
        <w:rPr>
          <w:rFonts w:ascii="Times New Roman" w:hAnsi="Times New Roman" w:cs="Times New Roman"/>
        </w:rPr>
        <w:tab/>
        <w:t xml:space="preserve">Threats within the company are posed by workers or subcontractors either with ill motives or due to carelessness like mishandling sensitive information. These risks may be enhanced by </w:t>
      </w:r>
      <w:proofErr w:type="gramStart"/>
      <w:r w:rsidRPr="001F535A">
        <w:rPr>
          <w:rFonts w:ascii="Times New Roman" w:hAnsi="Times New Roman" w:cs="Times New Roman"/>
        </w:rPr>
        <w:t>a weak</w:t>
      </w:r>
      <w:proofErr w:type="gramEnd"/>
      <w:r w:rsidRPr="001F535A">
        <w:rPr>
          <w:rFonts w:ascii="Times New Roman" w:hAnsi="Times New Roman" w:cs="Times New Roman"/>
        </w:rPr>
        <w:t xml:space="preserve"> access control and monitoring [4]. </w:t>
      </w:r>
    </w:p>
    <w:p w14:paraId="025E6AB3" w14:textId="77777777"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rPr>
        <w:t>•</w:t>
      </w:r>
      <w:r w:rsidRPr="001F535A">
        <w:rPr>
          <w:rFonts w:ascii="Times New Roman" w:hAnsi="Times New Roman" w:cs="Times New Roman"/>
        </w:rPr>
        <w:tab/>
        <w:t xml:space="preserve">Technical threats include vulnerabilities of the system at the system level, including malware, ransomware, DDoS attacks, and misconfigurations of the cloud. They are typical within contemporary IT settings and need powerful technical security measures [6], [9]. </w:t>
      </w:r>
    </w:p>
    <w:p w14:paraId="7B3011A4" w14:textId="77777777"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rPr>
        <w:t xml:space="preserve">Human-centric threats involve attacks on human beings by phishing or social engineering or credential stuffing. Human error is used to these attacks and is one of the most prevalent sources of data breach [1], [3]. </w:t>
      </w:r>
    </w:p>
    <w:p w14:paraId="4B54C8C4" w14:textId="7E21BEC2"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rPr>
        <w:t xml:space="preserve">The threats can be classified into categories in this manner so that FSB can spend its resources in a better manner and put the necessary controls in place. To illustrate, system threats can be addressed </w:t>
      </w:r>
      <w:r w:rsidRPr="001F535A">
        <w:rPr>
          <w:rFonts w:ascii="Times New Roman" w:hAnsi="Times New Roman" w:cs="Times New Roman"/>
        </w:rPr>
        <w:lastRenderedPageBreak/>
        <w:t xml:space="preserve">by means of technical solutions like encryption and intrusion detection systems, and human-related threats can be minimized by means of employee awareness training. This combined strategy enhances security as well as compliance within the </w:t>
      </w:r>
      <w:proofErr w:type="spellStart"/>
      <w:r w:rsidRPr="001F535A">
        <w:rPr>
          <w:rFonts w:ascii="Times New Roman" w:hAnsi="Times New Roman" w:cs="Times New Roman"/>
        </w:rPr>
        <w:t>organisation</w:t>
      </w:r>
      <w:proofErr w:type="spellEnd"/>
      <w:r w:rsidRPr="001F535A">
        <w:rPr>
          <w:rFonts w:ascii="Times New Roman" w:hAnsi="Times New Roman" w:cs="Times New Roman"/>
        </w:rPr>
        <w:t>.</w:t>
      </w:r>
    </w:p>
    <w:p w14:paraId="3246C916" w14:textId="3C3270B6" w:rsidR="00E7600F" w:rsidRPr="001F535A" w:rsidRDefault="00000000" w:rsidP="000175D5">
      <w:pPr>
        <w:pStyle w:val="Heading2"/>
        <w:numPr>
          <w:ilvl w:val="1"/>
          <w:numId w:val="5"/>
        </w:numPr>
        <w:rPr>
          <w:b w:val="0"/>
          <w:bCs/>
          <w:color w:val="4F81BD" w:themeColor="accent1"/>
          <w:sz w:val="32"/>
          <w:szCs w:val="32"/>
        </w:rPr>
      </w:pPr>
      <w:bookmarkStart w:id="4" w:name="_Toc227408776"/>
      <w:r w:rsidRPr="001F535A">
        <w:rPr>
          <w:rStyle w:val="Strong"/>
          <w:b/>
          <w:bCs w:val="0"/>
          <w:color w:val="4F81BD" w:themeColor="accent1"/>
          <w:sz w:val="32"/>
          <w:szCs w:val="32"/>
        </w:rPr>
        <w:t>Emerging Threats</w:t>
      </w:r>
      <w:bookmarkEnd w:id="4"/>
      <w:r w:rsidRPr="001F535A">
        <w:rPr>
          <w:b w:val="0"/>
          <w:bCs/>
          <w:color w:val="4F81BD" w:themeColor="accent1"/>
          <w:sz w:val="32"/>
          <w:szCs w:val="32"/>
        </w:rPr>
        <w:t xml:space="preserve"> </w:t>
      </w:r>
    </w:p>
    <w:p w14:paraId="6655EB72" w14:textId="77777777"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rPr>
        <w:t xml:space="preserve">The financial sector is experiencing an ever-changing cybersecurity threat at an unprecedented pace by the beginning of 2026 due to the development of artificial intelligence and the growing complexity of clouds. Among the key areas of concern is AI-based ransomware that has started using the methods of double-extortion, where the data is encrypted and stolen as well to coerce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to make ransom payments [14]. The other emerging risk is the application of the AI-generated deepfakes where extremely real audio or video is produced to impersonate executives and commit fraud, including fake CEO payment requests. Moreover, supply-chain attacks are increasingly taking an advanced form, by targeting trusted cloud service providers to access the financial systems indirectly [6]. </w:t>
      </w:r>
      <w:proofErr w:type="gramStart"/>
      <w:r w:rsidRPr="001F535A">
        <w:rPr>
          <w:rFonts w:ascii="Times New Roman" w:hAnsi="Times New Roman" w:cs="Times New Roman"/>
        </w:rPr>
        <w:t>Even the</w:t>
      </w:r>
      <w:proofErr w:type="gramEnd"/>
      <w:r w:rsidRPr="001F535A">
        <w:rPr>
          <w:rFonts w:ascii="Times New Roman" w:hAnsi="Times New Roman" w:cs="Times New Roman"/>
        </w:rPr>
        <w:t xml:space="preserve"> </w:t>
      </w:r>
      <w:proofErr w:type="gramStart"/>
      <w:r w:rsidRPr="001F535A">
        <w:rPr>
          <w:rFonts w:ascii="Times New Roman" w:hAnsi="Times New Roman" w:cs="Times New Roman"/>
        </w:rPr>
        <w:t>cloud</w:t>
      </w:r>
      <w:proofErr w:type="gramEnd"/>
      <w:r w:rsidRPr="001F535A">
        <w:rPr>
          <w:rFonts w:ascii="Times New Roman" w:hAnsi="Times New Roman" w:cs="Times New Roman"/>
        </w:rPr>
        <w:t xml:space="preserve"> environments are a major threat. Research indicates that a significant share of data breaches is due to cloud misconfigurations, which is among the most severe vulnerabilities of contemporary banking systems [9]. As a long-term strategic threat, quantum computing may offer a threat, as it has the potential to compromise existing encryption standards. Meanwhile, attackers are becoming </w:t>
      </w:r>
      <w:proofErr w:type="gramStart"/>
      <w:r w:rsidRPr="001F535A">
        <w:rPr>
          <w:rFonts w:ascii="Times New Roman" w:hAnsi="Times New Roman" w:cs="Times New Roman"/>
        </w:rPr>
        <w:t>more and more</w:t>
      </w:r>
      <w:proofErr w:type="gramEnd"/>
      <w:r w:rsidRPr="001F535A">
        <w:rPr>
          <w:rFonts w:ascii="Times New Roman" w:hAnsi="Times New Roman" w:cs="Times New Roman"/>
        </w:rPr>
        <w:t xml:space="preserve"> automated in their vulnerability scanning with the help of AI, which enables them to detect and use the vulnerabilities more quickly than ever before [1]. These risks are especially severe in the case of </w:t>
      </w: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which has a multi-cloud infrastructure and increasingly uses BYOD, which increases the attack surface. </w:t>
      </w:r>
    </w:p>
    <w:p w14:paraId="7DE102B9" w14:textId="0936542D" w:rsidR="000175D5" w:rsidRPr="001F535A" w:rsidRDefault="000175D5" w:rsidP="000175D5">
      <w:pPr>
        <w:pStyle w:val="Normal1"/>
        <w:ind w:left="480"/>
        <w:jc w:val="both"/>
        <w:rPr>
          <w:rFonts w:ascii="Times New Roman" w:hAnsi="Times New Roman" w:cs="Times New Roman"/>
        </w:rPr>
      </w:pPr>
      <w:r w:rsidRPr="001F535A">
        <w:rPr>
          <w:rFonts w:ascii="Times New Roman" w:hAnsi="Times New Roman" w:cs="Times New Roman"/>
          <w:noProof/>
          <w:lang w:val="en-IN"/>
        </w:rPr>
        <w:drawing>
          <wp:inline distT="0" distB="0" distL="0" distR="0" wp14:anchorId="199E04DB" wp14:editId="2294BC3B">
            <wp:extent cx="5943600" cy="2971800"/>
            <wp:effectExtent l="0" t="0" r="0" b="0"/>
            <wp:docPr id="488755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55159" name="Picture 488755159"/>
                    <pic:cNvPicPr/>
                  </pic:nvPicPr>
                  <pic:blipFill>
                    <a:blip r:embed="rId9">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4F3C369F" w14:textId="392979B9" w:rsidR="00AD1A34" w:rsidRPr="001F535A" w:rsidRDefault="00AD1A34">
      <w:pPr>
        <w:pStyle w:val="NormalWeb"/>
        <w:jc w:val="both"/>
        <w:rPr>
          <w:lang w:val="en-IN"/>
        </w:rPr>
      </w:pPr>
    </w:p>
    <w:p w14:paraId="045F2EA6" w14:textId="77777777" w:rsidR="00E7600F" w:rsidRPr="001F535A" w:rsidRDefault="00000000" w:rsidP="004524AD">
      <w:pPr>
        <w:pStyle w:val="Heading2"/>
        <w:rPr>
          <w:color w:val="4F81BD" w:themeColor="accent1"/>
          <w:sz w:val="32"/>
          <w:szCs w:val="32"/>
        </w:rPr>
      </w:pPr>
      <w:bookmarkStart w:id="5" w:name="_Toc227408777"/>
      <w:r w:rsidRPr="001F535A">
        <w:rPr>
          <w:rStyle w:val="Strong"/>
          <w:color w:val="4F81BD" w:themeColor="accent1"/>
          <w:sz w:val="32"/>
          <w:szCs w:val="32"/>
        </w:rPr>
        <w:lastRenderedPageBreak/>
        <w:t>1.4 Data Governance Requirements</w:t>
      </w:r>
      <w:bookmarkEnd w:id="5"/>
      <w:r w:rsidRPr="001F535A">
        <w:rPr>
          <w:color w:val="4F81BD" w:themeColor="accent1"/>
          <w:sz w:val="32"/>
          <w:szCs w:val="32"/>
        </w:rPr>
        <w:t xml:space="preserve"> </w:t>
      </w:r>
    </w:p>
    <w:p w14:paraId="09ED730E" w14:textId="02BAE4E6" w:rsidR="00197F99" w:rsidRPr="001F535A" w:rsidRDefault="000175D5">
      <w:pPr>
        <w:pStyle w:val="NormalWeb"/>
        <w:jc w:val="both"/>
        <w:rPr>
          <w:lang w:val="en-IN"/>
        </w:rPr>
      </w:pPr>
      <w:r w:rsidRPr="001F535A">
        <w:rPr>
          <w:lang w:val="en-IN"/>
        </w:rPr>
        <w:t xml:space="preserve">To govern its data effectively at </w:t>
      </w:r>
      <w:proofErr w:type="spellStart"/>
      <w:r w:rsidRPr="001F535A">
        <w:rPr>
          <w:lang w:val="en-IN"/>
        </w:rPr>
        <w:t>FinSure</w:t>
      </w:r>
      <w:proofErr w:type="spellEnd"/>
      <w:r w:rsidRPr="001F535A">
        <w:rPr>
          <w:lang w:val="en-IN"/>
        </w:rPr>
        <w:t xml:space="preserve"> Bank (FSB), a formal and </w:t>
      </w:r>
      <w:proofErr w:type="spellStart"/>
      <w:proofErr w:type="gramStart"/>
      <w:r w:rsidRPr="001F535A">
        <w:rPr>
          <w:lang w:val="en-IN"/>
        </w:rPr>
        <w:t>well structured</w:t>
      </w:r>
      <w:proofErr w:type="spellEnd"/>
      <w:proofErr w:type="gramEnd"/>
      <w:r w:rsidRPr="001F535A">
        <w:rPr>
          <w:lang w:val="en-IN"/>
        </w:rPr>
        <w:t xml:space="preserve"> system is necessary to govern its data assets. One of the elements is the data classification in which the information is divided into public, internal, confidential and restricted. This also assists in ensuring sensitive data is accorded the necessary protection [7]. Also, there should be explicit data ownership and data access control policies to ensure that only authorised people can access </w:t>
      </w:r>
      <w:proofErr w:type="gramStart"/>
      <w:r w:rsidRPr="001F535A">
        <w:rPr>
          <w:lang w:val="en-IN"/>
        </w:rPr>
        <w:t>particular data</w:t>
      </w:r>
      <w:proofErr w:type="gramEnd"/>
      <w:r w:rsidRPr="001F535A">
        <w:rPr>
          <w:lang w:val="en-IN"/>
        </w:rPr>
        <w:t xml:space="preserve">. Scheduling of data retention and deletion processes should also be properly done automatically to make sure that the data is compliant with the regulations and unnecessary data exposure is minimized [5]. FSB also needs to introduce the data-flow mapping in its cloud providers and BYOD devices to know how the data flows in the organisation. Technological aids like Data Loss Prevention (DLP) systems and frequent audit trails are useful in tracking the usage of the data and in proving accountability [6], [9]. In addition, the third-party data-sharing contract should contain stringent security and privacy stipulations, and its enforcement should be monitored. In the absence of these governance procedures, FSB </w:t>
      </w:r>
      <w:proofErr w:type="spellStart"/>
      <w:r w:rsidRPr="001F535A">
        <w:rPr>
          <w:lang w:val="en-IN"/>
        </w:rPr>
        <w:t>can not</w:t>
      </w:r>
      <w:proofErr w:type="spellEnd"/>
      <w:r w:rsidRPr="001F535A">
        <w:rPr>
          <w:lang w:val="en-IN"/>
        </w:rPr>
        <w:t xml:space="preserve"> effectively address regulatory expectations and keep its customers confident in its data management procedures [4]. In sum, a comprehensive data governance framework can help FSB enhance its security, compliance, and develop long-term trust with stakeholders.</w:t>
      </w:r>
    </w:p>
    <w:p w14:paraId="0E912F25" w14:textId="77777777" w:rsidR="00E7600F" w:rsidRPr="001F535A" w:rsidRDefault="00000000" w:rsidP="004524AD">
      <w:pPr>
        <w:pStyle w:val="Heading2"/>
      </w:pPr>
      <w:r w:rsidRPr="001F535A">
        <w:rPr>
          <w:rStyle w:val="Strong"/>
          <w:color w:val="4F81BD" w:themeColor="accent1"/>
          <w:sz w:val="32"/>
          <w:szCs w:val="32"/>
        </w:rPr>
        <w:t xml:space="preserve">1.5 </w:t>
      </w:r>
      <w:bookmarkStart w:id="6" w:name="_Toc227408778"/>
      <w:r w:rsidRPr="001F535A">
        <w:rPr>
          <w:rStyle w:val="Strong"/>
          <w:color w:val="4F81BD" w:themeColor="accent1"/>
          <w:sz w:val="32"/>
          <w:szCs w:val="32"/>
        </w:rPr>
        <w:t>Importance of Data Security and Governance</w:t>
      </w:r>
      <w:bookmarkEnd w:id="6"/>
      <w:r w:rsidRPr="001F535A">
        <w:t xml:space="preserve"> </w:t>
      </w:r>
    </w:p>
    <w:p w14:paraId="1DB455A9" w14:textId="1C0A6A0B" w:rsidR="000175D5" w:rsidRPr="001F535A" w:rsidRDefault="000175D5" w:rsidP="000175D5">
      <w:pPr>
        <w:pStyle w:val="Normal1"/>
        <w:jc w:val="both"/>
        <w:rPr>
          <w:rFonts w:ascii="Times New Roman" w:hAnsi="Times New Roman" w:cs="Times New Roman"/>
        </w:rPr>
      </w:pPr>
      <w:r w:rsidRPr="001F535A">
        <w:rPr>
          <w:rFonts w:ascii="Times New Roman" w:hAnsi="Times New Roman" w:cs="Times New Roman"/>
        </w:rPr>
        <w:t xml:space="preserve">Good data security and governance </w:t>
      </w:r>
      <w:proofErr w:type="gramStart"/>
      <w:r w:rsidRPr="001F535A">
        <w:rPr>
          <w:rFonts w:ascii="Times New Roman" w:hAnsi="Times New Roman" w:cs="Times New Roman"/>
        </w:rPr>
        <w:t>offers</w:t>
      </w:r>
      <w:proofErr w:type="gramEnd"/>
      <w:r w:rsidRPr="001F535A">
        <w:rPr>
          <w:rFonts w:ascii="Times New Roman" w:hAnsi="Times New Roman" w:cs="Times New Roman"/>
        </w:rPr>
        <w:t xml:space="preserve"> </w:t>
      </w:r>
      <w:proofErr w:type="gramStart"/>
      <w:r w:rsidRPr="001F535A">
        <w:rPr>
          <w:rFonts w:ascii="Times New Roman" w:hAnsi="Times New Roman" w:cs="Times New Roman"/>
        </w:rPr>
        <w:t>a number of</w:t>
      </w:r>
      <w:proofErr w:type="gramEnd"/>
      <w:r w:rsidRPr="001F535A">
        <w:rPr>
          <w:rFonts w:ascii="Times New Roman" w:hAnsi="Times New Roman" w:cs="Times New Roman"/>
        </w:rPr>
        <w:t xml:space="preserve"> strategic advantages to the </w:t>
      </w: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To begin with, they can minimize the financial losses incurred due to cyber incidents. It is reported that the financial sector average data breach cost is over millions of dollars, and therefore there is the need to have strong protection measures [14]. They also contribute immensely to the acquisition of customer trust and confidence. FSB has a competitive edge in the market as customers would be willing to conduct business with banks that exhibit good data protection and privacy practices [5]. Moreover, proper governance will guarantee the continuation of businesses through quicker response and detection of security attacks. As an illustration,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using the established standards like ISO 27001 have stated that they have experienced massive cuts in the quantity of security breaches and enhanced their response rates, enhancing the overall resiliency [6]. Proper documentation, controls and monitoring systems also make good data governance easy to comply with regulations and conduct audits because all these are in place. This not only minimizes the chances of penalties but also promotes </w:t>
      </w:r>
      <w:proofErr w:type="gramStart"/>
      <w:r w:rsidRPr="001F535A">
        <w:rPr>
          <w:rFonts w:ascii="Times New Roman" w:hAnsi="Times New Roman" w:cs="Times New Roman"/>
        </w:rPr>
        <w:t>the international</w:t>
      </w:r>
      <w:proofErr w:type="gramEnd"/>
      <w:r w:rsidRPr="001F535A">
        <w:rPr>
          <w:rFonts w:ascii="Times New Roman" w:hAnsi="Times New Roman" w:cs="Times New Roman"/>
        </w:rPr>
        <w:t xml:space="preserve"> growth, where adherence to the regulations of data protection in the world is crucial [8]. In general, </w:t>
      </w:r>
      <w:proofErr w:type="gramStart"/>
      <w:r w:rsidRPr="001F535A">
        <w:rPr>
          <w:rFonts w:ascii="Times New Roman" w:hAnsi="Times New Roman" w:cs="Times New Roman"/>
        </w:rPr>
        <w:t>a solid</w:t>
      </w:r>
      <w:proofErr w:type="gramEnd"/>
      <w:r w:rsidRPr="001F535A">
        <w:rPr>
          <w:rFonts w:ascii="Times New Roman" w:hAnsi="Times New Roman" w:cs="Times New Roman"/>
        </w:rPr>
        <w:t xml:space="preserve"> data security and governance can help FSB to reduce the risks, enhance its operational rates, and sustain a good reputation within the financial sector.</w:t>
      </w:r>
    </w:p>
    <w:p w14:paraId="5916DAA0" w14:textId="77777777" w:rsidR="00E7600F" w:rsidRPr="001F535A" w:rsidRDefault="00000000" w:rsidP="00A40040">
      <w:pPr>
        <w:pStyle w:val="Heading2"/>
      </w:pPr>
      <w:bookmarkStart w:id="7" w:name="_Toc227408779"/>
      <w:r w:rsidRPr="001F535A">
        <w:rPr>
          <w:rStyle w:val="Strong"/>
          <w:color w:val="4F81BD" w:themeColor="accent1"/>
          <w:sz w:val="32"/>
          <w:szCs w:val="32"/>
        </w:rPr>
        <w:t>1.6 Challenges and Solutions</w:t>
      </w:r>
      <w:bookmarkEnd w:id="7"/>
      <w:r w:rsidRPr="001F535A">
        <w:t xml:space="preserve"> </w:t>
      </w:r>
    </w:p>
    <w:p w14:paraId="4354AF3B" w14:textId="0D74ED0E" w:rsidR="000175D5" w:rsidRPr="001F535A" w:rsidRDefault="000175D5" w:rsidP="000175D5">
      <w:pPr>
        <w:pStyle w:val="Normal1"/>
        <w:jc w:val="both"/>
        <w:rPr>
          <w:rFonts w:ascii="Times New Roman" w:hAnsi="Times New Roman" w:cs="Times New Roman"/>
        </w:rPr>
      </w:pP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has </w:t>
      </w:r>
      <w:proofErr w:type="gramStart"/>
      <w:r w:rsidRPr="001F535A">
        <w:rPr>
          <w:rFonts w:ascii="Times New Roman" w:hAnsi="Times New Roman" w:cs="Times New Roman"/>
        </w:rPr>
        <w:t>a number of</w:t>
      </w:r>
      <w:proofErr w:type="gramEnd"/>
      <w:r w:rsidRPr="001F535A">
        <w:rPr>
          <w:rFonts w:ascii="Times New Roman" w:hAnsi="Times New Roman" w:cs="Times New Roman"/>
        </w:rPr>
        <w:t xml:space="preserve"> issues in enforcing effective data security and governance. Poor coordination and inconsistency in policies of different departments is one of the biggest problems. The shared responsibility model of cloud environments is also a confusing topic that may lead to security gaps in case the roles are not defined [6]. Also, the fast adoption of technology has been ahead of the </w:t>
      </w:r>
      <w:r w:rsidRPr="001F535A">
        <w:rPr>
          <w:rFonts w:ascii="Times New Roman" w:hAnsi="Times New Roman" w:cs="Times New Roman"/>
        </w:rPr>
        <w:lastRenderedPageBreak/>
        <w:t xml:space="preserve">establishment of proper controls that make it vulnerable. Another issue that FSB faces is the shortage of </w:t>
      </w:r>
      <w:proofErr w:type="gramStart"/>
      <w:r w:rsidRPr="001F535A">
        <w:rPr>
          <w:rFonts w:ascii="Times New Roman" w:hAnsi="Times New Roman" w:cs="Times New Roman"/>
        </w:rPr>
        <w:t>the in</w:t>
      </w:r>
      <w:proofErr w:type="gramEnd"/>
      <w:r w:rsidRPr="001F535A">
        <w:rPr>
          <w:rFonts w:ascii="Times New Roman" w:hAnsi="Times New Roman" w:cs="Times New Roman"/>
        </w:rPr>
        <w:t xml:space="preserve">-house knowledge in emerging technologies and the opposition to harsh BYOD policies that may undermine the endpoint security and make them more vulnerable [1], [3]. </w:t>
      </w:r>
      <w:proofErr w:type="gramStart"/>
      <w:r w:rsidRPr="001F535A">
        <w:rPr>
          <w:rFonts w:ascii="Times New Roman" w:hAnsi="Times New Roman" w:cs="Times New Roman"/>
        </w:rPr>
        <w:t>In order to</w:t>
      </w:r>
      <w:proofErr w:type="gramEnd"/>
      <w:r w:rsidRPr="001F535A">
        <w:rPr>
          <w:rFonts w:ascii="Times New Roman" w:hAnsi="Times New Roman" w:cs="Times New Roman"/>
        </w:rPr>
        <w:t xml:space="preserve"> overcome these obstacles, </w:t>
      </w:r>
      <w:proofErr w:type="gramStart"/>
      <w:r w:rsidRPr="001F535A">
        <w:rPr>
          <w:rFonts w:ascii="Times New Roman" w:hAnsi="Times New Roman" w:cs="Times New Roman"/>
        </w:rPr>
        <w:t>a number of</w:t>
      </w:r>
      <w:proofErr w:type="gramEnd"/>
      <w:r w:rsidRPr="001F535A">
        <w:rPr>
          <w:rFonts w:ascii="Times New Roman" w:hAnsi="Times New Roman" w:cs="Times New Roman"/>
        </w:rPr>
        <w:t xml:space="preserve"> feasible solutions can be put in place. The creation of the </w:t>
      </w:r>
      <w:proofErr w:type="spellStart"/>
      <w:r w:rsidRPr="001F535A">
        <w:rPr>
          <w:rFonts w:ascii="Times New Roman" w:hAnsi="Times New Roman" w:cs="Times New Roman"/>
        </w:rPr>
        <w:t>centralised</w:t>
      </w:r>
      <w:proofErr w:type="spellEnd"/>
      <w:r w:rsidRPr="001F535A">
        <w:rPr>
          <w:rFonts w:ascii="Times New Roman" w:hAnsi="Times New Roman" w:cs="Times New Roman"/>
        </w:rPr>
        <w:t xml:space="preserve"> Information Security Management System (ISMS) aids in </w:t>
      </w:r>
      <w:proofErr w:type="spellStart"/>
      <w:r w:rsidRPr="001F535A">
        <w:rPr>
          <w:rFonts w:ascii="Times New Roman" w:hAnsi="Times New Roman" w:cs="Times New Roman"/>
        </w:rPr>
        <w:t>harmonising</w:t>
      </w:r>
      <w:proofErr w:type="spellEnd"/>
      <w:r w:rsidRPr="001F535A">
        <w:rPr>
          <w:rFonts w:ascii="Times New Roman" w:hAnsi="Times New Roman" w:cs="Times New Roman"/>
        </w:rPr>
        <w:t xml:space="preserve"> the policies and enhancing governance within the </w:t>
      </w:r>
      <w:proofErr w:type="spellStart"/>
      <w:r w:rsidRPr="001F535A">
        <w:rPr>
          <w:rFonts w:ascii="Times New Roman" w:hAnsi="Times New Roman" w:cs="Times New Roman"/>
        </w:rPr>
        <w:t>organisation</w:t>
      </w:r>
      <w:proofErr w:type="spellEnd"/>
      <w:r w:rsidRPr="001F535A">
        <w:rPr>
          <w:rFonts w:ascii="Times New Roman" w:hAnsi="Times New Roman" w:cs="Times New Roman"/>
        </w:rPr>
        <w:t xml:space="preserve"> [8]. Incorporating security in service management processes will also mean that protection measures are incorporated in </w:t>
      </w:r>
      <w:proofErr w:type="gramStart"/>
      <w:r w:rsidRPr="001F535A">
        <w:rPr>
          <w:rFonts w:ascii="Times New Roman" w:hAnsi="Times New Roman" w:cs="Times New Roman"/>
        </w:rPr>
        <w:t>day to day</w:t>
      </w:r>
      <w:proofErr w:type="gramEnd"/>
      <w:r w:rsidRPr="001F535A">
        <w:rPr>
          <w:rFonts w:ascii="Times New Roman" w:hAnsi="Times New Roman" w:cs="Times New Roman"/>
        </w:rPr>
        <w:t xml:space="preserve"> operations and will not be considered separately. Implementing zero-trust access controls is essential because it will make sure that no user or device is trusted implicitly. Furthermore, compulsory training of workers on security lowers the risk of human factors, and one should monitor threats automatically constantly, enhancing the ability to detect and react to them [6], [9]. In general, the idea of a hybrid framework with </w:t>
      </w:r>
      <w:proofErr w:type="gramStart"/>
      <w:r w:rsidRPr="001F535A">
        <w:rPr>
          <w:rFonts w:ascii="Times New Roman" w:hAnsi="Times New Roman" w:cs="Times New Roman"/>
        </w:rPr>
        <w:t>an international</w:t>
      </w:r>
      <w:proofErr w:type="gramEnd"/>
      <w:r w:rsidRPr="001F535A">
        <w:rPr>
          <w:rFonts w:ascii="Times New Roman" w:hAnsi="Times New Roman" w:cs="Times New Roman"/>
        </w:rPr>
        <w:t xml:space="preserve"> standards and operational best practices will serve as a viable solution that can be scaled. This will help FSB enhance security, compliance and facilitate long-term </w:t>
      </w:r>
      <w:proofErr w:type="spellStart"/>
      <w:r w:rsidRPr="001F535A">
        <w:rPr>
          <w:rFonts w:ascii="Times New Roman" w:hAnsi="Times New Roman" w:cs="Times New Roman"/>
        </w:rPr>
        <w:t>organisational</w:t>
      </w:r>
      <w:proofErr w:type="spellEnd"/>
      <w:r w:rsidRPr="001F535A">
        <w:rPr>
          <w:rFonts w:ascii="Times New Roman" w:hAnsi="Times New Roman" w:cs="Times New Roman"/>
        </w:rPr>
        <w:t xml:space="preserve"> development.</w:t>
      </w:r>
    </w:p>
    <w:p w14:paraId="680997EA" w14:textId="77777777" w:rsidR="00E7600F" w:rsidRPr="001F535A" w:rsidRDefault="00000000" w:rsidP="00A40040">
      <w:pPr>
        <w:pStyle w:val="Heading2"/>
      </w:pPr>
      <w:bookmarkStart w:id="8" w:name="_Toc227408780"/>
      <w:r w:rsidRPr="001F535A">
        <w:rPr>
          <w:rStyle w:val="Strong"/>
          <w:color w:val="4F81BD" w:themeColor="accent1"/>
          <w:sz w:val="32"/>
          <w:szCs w:val="32"/>
        </w:rPr>
        <w:t>1.7 Role of the Information Security Auditor</w:t>
      </w:r>
      <w:bookmarkEnd w:id="8"/>
      <w:r w:rsidRPr="001F535A">
        <w:t xml:space="preserve"> </w:t>
      </w:r>
    </w:p>
    <w:p w14:paraId="18421124" w14:textId="21C79D1F" w:rsidR="001F5B4A" w:rsidRPr="001F535A" w:rsidRDefault="001F5B4A">
      <w:pPr>
        <w:pStyle w:val="NormalWeb"/>
        <w:jc w:val="both"/>
        <w:rPr>
          <w:lang w:val="en-IN"/>
        </w:rPr>
      </w:pPr>
      <w:r w:rsidRPr="001F535A">
        <w:rPr>
          <w:lang w:val="en-IN"/>
        </w:rPr>
        <w:t xml:space="preserve">The Information Security Auditor acts as an independent third-party authority responsible for evaluating the effectiveness of security and governance practices within </w:t>
      </w:r>
      <w:proofErr w:type="spellStart"/>
      <w:r w:rsidRPr="001F535A">
        <w:rPr>
          <w:lang w:val="en-IN"/>
        </w:rPr>
        <w:t>FinSure</w:t>
      </w:r>
      <w:proofErr w:type="spellEnd"/>
      <w:r w:rsidRPr="001F535A">
        <w:rPr>
          <w:lang w:val="en-IN"/>
        </w:rPr>
        <w:t xml:space="preserve"> Bank (FSB). The auditor provides objective assurance to the board and regulatory bodies that internal controls are functioning properly, risks are being managed effectively, and compliance requirements are being met [8]. At FSB, the auditor assesses the adequacy of security controls across key areas such as cloud infrastructure and BYOD environments, where risks are higher due to shared responsibility models and endpoint vulnerabilities. This includes reviewing access controls, data protection mechanisms, and monitoring systems to ensure alignment with best practices and standards [6], [9]. A critical role of the auditor is conducting pre-implementation reviews before major system changes. By evaluating security measures in advance, the auditor helps identify potential weaknesses and ensures that appropriate safeguards are in place, reducing the risk of future breaches. Overall, the Information Security Auditor strengthens governance by improving transparency, accountability, and regulatory compliance, while also enhancing the overall security posture of FSB.</w:t>
      </w:r>
    </w:p>
    <w:p w14:paraId="0AD46823" w14:textId="77777777" w:rsidR="00E7600F" w:rsidRPr="001F535A" w:rsidRDefault="00000000" w:rsidP="00A40040">
      <w:pPr>
        <w:pStyle w:val="Heading2"/>
        <w:rPr>
          <w:color w:val="4F81BD" w:themeColor="accent1"/>
          <w:sz w:val="32"/>
          <w:szCs w:val="32"/>
        </w:rPr>
      </w:pPr>
      <w:bookmarkStart w:id="9" w:name="_Toc227408781"/>
      <w:r w:rsidRPr="001F535A">
        <w:rPr>
          <w:rStyle w:val="Strong"/>
          <w:b/>
          <w:bCs w:val="0"/>
          <w:color w:val="4F81BD" w:themeColor="accent1"/>
          <w:sz w:val="32"/>
          <w:szCs w:val="32"/>
        </w:rPr>
        <w:t>1.8 Responsibilities of the Data Security Auditor</w:t>
      </w:r>
      <w:bookmarkEnd w:id="9"/>
      <w:r w:rsidRPr="001F535A">
        <w:rPr>
          <w:color w:val="4F81BD" w:themeColor="accent1"/>
          <w:sz w:val="32"/>
          <w:szCs w:val="32"/>
        </w:rPr>
        <w:t xml:space="preserve"> </w:t>
      </w:r>
    </w:p>
    <w:p w14:paraId="3A9B6740" w14:textId="4D8F7312" w:rsidR="001F535A" w:rsidRPr="001F535A" w:rsidRDefault="001F535A" w:rsidP="001F535A">
      <w:pPr>
        <w:pStyle w:val="Normal1"/>
        <w:jc w:val="both"/>
        <w:rPr>
          <w:rFonts w:ascii="Times New Roman" w:hAnsi="Times New Roman" w:cs="Times New Roman"/>
          <w:lang w:val="en-IN"/>
        </w:rPr>
      </w:pPr>
      <w:r w:rsidRPr="001F535A">
        <w:rPr>
          <w:rFonts w:ascii="Times New Roman" w:hAnsi="Times New Roman" w:cs="Times New Roman"/>
          <w:lang w:val="en-IN"/>
        </w:rPr>
        <w:t>Risk-based auditing is an important activity that focuses on checking the highest-risk areas of an organisation first, rather than reviewing everything equally. It involves testing both technical controls (such as access control, system configurations, and encryption) and administrative controls (such as policies, approvals, and procedures) to confirm they are working effectively [1], [2].</w:t>
      </w:r>
      <w:r w:rsidRPr="001F535A">
        <w:rPr>
          <w:rFonts w:ascii="Times New Roman" w:hAnsi="Times New Roman" w:cs="Times New Roman"/>
          <w:lang w:val="en-IN"/>
        </w:rPr>
        <w:t xml:space="preserve"> </w:t>
      </w:r>
      <w:r w:rsidRPr="001F535A">
        <w:rPr>
          <w:rFonts w:ascii="Times New Roman" w:hAnsi="Times New Roman" w:cs="Times New Roman"/>
          <w:lang w:val="en-IN"/>
        </w:rPr>
        <w:t>It also includes reviewing incident response documentation and forensic evidence to ensure that security incidents are properly recorded, investigated, and handled in a structured way. Another key area is evaluating the security of third-party vendors, especially where sensitive financial data is processed or stored outside the organisation [3].</w:t>
      </w:r>
      <w:r w:rsidRPr="001F535A">
        <w:rPr>
          <w:rFonts w:ascii="Times New Roman" w:hAnsi="Times New Roman" w:cs="Times New Roman"/>
          <w:lang w:val="en-IN"/>
        </w:rPr>
        <w:t xml:space="preserve"> </w:t>
      </w:r>
      <w:r w:rsidRPr="001F535A">
        <w:rPr>
          <w:rFonts w:ascii="Times New Roman" w:hAnsi="Times New Roman" w:cs="Times New Roman"/>
          <w:lang w:val="en-IN"/>
        </w:rPr>
        <w:t xml:space="preserve">After completing the audit, detailed reports are prepared for senior management. These reports clearly highlight risks, control weaknesses, and compliance gaps so that management can take informed decisions. Auditors also monitor remediation activities to ensure that identified issues are fixed within agreed </w:t>
      </w:r>
      <w:r w:rsidRPr="001F535A">
        <w:rPr>
          <w:rFonts w:ascii="Times New Roman" w:hAnsi="Times New Roman" w:cs="Times New Roman"/>
          <w:lang w:val="en-IN"/>
        </w:rPr>
        <w:lastRenderedPageBreak/>
        <w:t>timelines and are not repeated in the future [1].</w:t>
      </w:r>
      <w:r w:rsidRPr="001F535A">
        <w:rPr>
          <w:rFonts w:ascii="Times New Roman" w:hAnsi="Times New Roman" w:cs="Times New Roman"/>
          <w:lang w:val="en-IN"/>
        </w:rPr>
        <w:t xml:space="preserve"> </w:t>
      </w:r>
      <w:r w:rsidRPr="001F535A">
        <w:rPr>
          <w:rFonts w:ascii="Times New Roman" w:hAnsi="Times New Roman" w:cs="Times New Roman"/>
          <w:lang w:val="en-IN"/>
        </w:rPr>
        <w:t xml:space="preserve">In the case of </w:t>
      </w:r>
      <w:proofErr w:type="spellStart"/>
      <w:r w:rsidRPr="001F535A">
        <w:rPr>
          <w:rFonts w:ascii="Times New Roman" w:hAnsi="Times New Roman" w:cs="Times New Roman"/>
          <w:lang w:val="en-IN"/>
        </w:rPr>
        <w:t>FinSure</w:t>
      </w:r>
      <w:proofErr w:type="spellEnd"/>
      <w:r w:rsidRPr="001F535A">
        <w:rPr>
          <w:rFonts w:ascii="Times New Roman" w:hAnsi="Times New Roman" w:cs="Times New Roman"/>
          <w:lang w:val="en-IN"/>
        </w:rPr>
        <w:t xml:space="preserve"> Bank (FSB), risk-based auditing also requires ensuring that all new mobile application features go through a Data Protection Impact Assessment (DPIA) before release. This helps identify privacy risks early and ensures compliance with data protection regulations [2], [4].</w:t>
      </w:r>
      <w:r w:rsidRPr="001F535A">
        <w:rPr>
          <w:rFonts w:ascii="Times New Roman" w:hAnsi="Times New Roman" w:cs="Times New Roman"/>
          <w:lang w:val="en-IN"/>
        </w:rPr>
        <w:t xml:space="preserve"> </w:t>
      </w:r>
      <w:r w:rsidRPr="001F535A">
        <w:rPr>
          <w:rFonts w:ascii="Times New Roman" w:hAnsi="Times New Roman" w:cs="Times New Roman"/>
          <w:lang w:val="en-IN"/>
        </w:rPr>
        <w:t>In addition, auditors must verify that cloud environments are configured according to contractual Service Level Agreements (SLAs). This includes checking security settings, uptime commitments, encryption standards, and breach notification requirements. This ensures that third-party cloud providers meet the bank’s security and compliance expectations [3].</w:t>
      </w:r>
      <w:r w:rsidRPr="001F535A">
        <w:rPr>
          <w:rFonts w:ascii="Times New Roman" w:hAnsi="Times New Roman" w:cs="Times New Roman"/>
          <w:lang w:val="en-IN"/>
        </w:rPr>
        <w:t xml:space="preserve"> </w:t>
      </w:r>
      <w:r w:rsidRPr="001F535A">
        <w:rPr>
          <w:rFonts w:ascii="Times New Roman" w:hAnsi="Times New Roman" w:cs="Times New Roman"/>
          <w:lang w:val="en-IN"/>
        </w:rPr>
        <w:t>Overall, risk-based auditing helps FSB maintain strong governance by focusing on high-risk areas, ensuring regulatory compliance, and continuously improving security controls across both internal systems and external services.</w:t>
      </w:r>
    </w:p>
    <w:p w14:paraId="5E6E2A96" w14:textId="77777777" w:rsidR="001F535A" w:rsidRPr="001F535A" w:rsidRDefault="001F535A" w:rsidP="001F535A">
      <w:pPr>
        <w:pStyle w:val="Normal1"/>
        <w:rPr>
          <w:rFonts w:ascii="Times New Roman" w:hAnsi="Times New Roman" w:cs="Times New Roman"/>
        </w:rPr>
      </w:pPr>
    </w:p>
    <w:p w14:paraId="06182433" w14:textId="77777777" w:rsidR="00E7600F" w:rsidRPr="001F535A" w:rsidRDefault="00000000" w:rsidP="00A40040">
      <w:pPr>
        <w:pStyle w:val="Heading2"/>
        <w:rPr>
          <w:color w:val="4F81BD" w:themeColor="accent1"/>
          <w:sz w:val="32"/>
          <w:szCs w:val="32"/>
        </w:rPr>
      </w:pPr>
      <w:bookmarkStart w:id="10" w:name="_Toc227408782"/>
      <w:r w:rsidRPr="001F535A">
        <w:rPr>
          <w:rStyle w:val="Strong"/>
          <w:color w:val="4F81BD" w:themeColor="accent1"/>
          <w:sz w:val="32"/>
          <w:szCs w:val="32"/>
        </w:rPr>
        <w:t>1.9 Compliance with ethical, social, and legal requirements</w:t>
      </w:r>
      <w:bookmarkEnd w:id="10"/>
      <w:r w:rsidRPr="001F535A">
        <w:rPr>
          <w:color w:val="4F81BD" w:themeColor="accent1"/>
          <w:sz w:val="32"/>
          <w:szCs w:val="32"/>
        </w:rPr>
        <w:t xml:space="preserve"> </w:t>
      </w:r>
    </w:p>
    <w:p w14:paraId="65879F09" w14:textId="10DBCF54" w:rsidR="00BF6FFB" w:rsidRPr="001F535A" w:rsidRDefault="00BF6FFB" w:rsidP="00BF6FFB">
      <w:pPr>
        <w:pStyle w:val="Normal1"/>
        <w:jc w:val="both"/>
        <w:rPr>
          <w:rFonts w:ascii="Times New Roman" w:hAnsi="Times New Roman" w:cs="Times New Roman"/>
        </w:rPr>
      </w:pP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w:t>
      </w:r>
      <w:proofErr w:type="gramStart"/>
      <w:r w:rsidRPr="001F535A">
        <w:rPr>
          <w:rFonts w:ascii="Times New Roman" w:hAnsi="Times New Roman" w:cs="Times New Roman"/>
        </w:rPr>
        <w:t>has to</w:t>
      </w:r>
      <w:proofErr w:type="gramEnd"/>
      <w:r w:rsidRPr="001F535A">
        <w:rPr>
          <w:rFonts w:ascii="Times New Roman" w:hAnsi="Times New Roman" w:cs="Times New Roman"/>
        </w:rPr>
        <w:t xml:space="preserve"> adhere to various ethical, legal, and social standards to be responsible in data management and keep the population confident. On the legal front, such regulations as the General Data Protection Regulation (GDPR) that puts the focus on such principles as data </w:t>
      </w:r>
      <w:proofErr w:type="spellStart"/>
      <w:r w:rsidRPr="001F535A">
        <w:rPr>
          <w:rFonts w:ascii="Times New Roman" w:hAnsi="Times New Roman" w:cs="Times New Roman"/>
        </w:rPr>
        <w:t>minimisation</w:t>
      </w:r>
      <w:proofErr w:type="spellEnd"/>
      <w:r w:rsidRPr="001F535A">
        <w:rPr>
          <w:rFonts w:ascii="Times New Roman" w:hAnsi="Times New Roman" w:cs="Times New Roman"/>
        </w:rPr>
        <w:t xml:space="preserve">, purpose limitation and accountability when dealing with personal data </w:t>
      </w:r>
      <w:proofErr w:type="gramStart"/>
      <w:r w:rsidRPr="001F535A">
        <w:rPr>
          <w:rFonts w:ascii="Times New Roman" w:hAnsi="Times New Roman" w:cs="Times New Roman"/>
        </w:rPr>
        <w:t>have to</w:t>
      </w:r>
      <w:proofErr w:type="gramEnd"/>
      <w:r w:rsidRPr="001F535A">
        <w:rPr>
          <w:rFonts w:ascii="Times New Roman" w:hAnsi="Times New Roman" w:cs="Times New Roman"/>
        </w:rPr>
        <w:t xml:space="preserve"> be observed by FSB [5]. Moreover, industry </w:t>
      </w:r>
      <w:proofErr w:type="gramStart"/>
      <w:r w:rsidRPr="001F535A">
        <w:rPr>
          <w:rFonts w:ascii="Times New Roman" w:hAnsi="Times New Roman" w:cs="Times New Roman"/>
        </w:rPr>
        <w:t>regulation</w:t>
      </w:r>
      <w:proofErr w:type="gramEnd"/>
      <w:r w:rsidRPr="001F535A">
        <w:rPr>
          <w:rFonts w:ascii="Times New Roman" w:hAnsi="Times New Roman" w:cs="Times New Roman"/>
        </w:rPr>
        <w:t xml:space="preserve"> like the Digital Operational Resilience Act (DORA) mandate financial institutions to enhance their operational and cyber resilience [6]. Ethically, FSB should be transparent in how AI is used to make decisions, particularly in such aspects as loan approvals or risk assessments. This involves being unbiased and fairly treating all their customers. The importance of ethical data practices is growing in the retention of long-term customer relationships and credibility of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[12]. Social expectations have also been changing, where the banks are expected to give explicit privacy notices, particularly in mobile apps and to actively defend vulnerable groups against frauds and cybercrimes. Customers have come to expect </w:t>
      </w:r>
      <w:proofErr w:type="spellStart"/>
      <w:r w:rsidRPr="001F535A">
        <w:rPr>
          <w:rFonts w:ascii="Times New Roman" w:hAnsi="Times New Roman" w:cs="Times New Roman"/>
        </w:rPr>
        <w:t>organisations</w:t>
      </w:r>
      <w:proofErr w:type="spellEnd"/>
      <w:r w:rsidRPr="001F535A">
        <w:rPr>
          <w:rFonts w:ascii="Times New Roman" w:hAnsi="Times New Roman" w:cs="Times New Roman"/>
        </w:rPr>
        <w:t xml:space="preserve"> to treat their data in a responsible, and transparent manner [15]. Non-observance of these legal, ethical and social requirements may lead to dire consequences, including hefty financial fines, legal charges and permanent reputational harm. Thus, FSB needs to implement a holistic approach to compliance </w:t>
      </w:r>
      <w:proofErr w:type="gramStart"/>
      <w:r w:rsidRPr="001F535A">
        <w:rPr>
          <w:rFonts w:ascii="Times New Roman" w:hAnsi="Times New Roman" w:cs="Times New Roman"/>
        </w:rPr>
        <w:t>to</w:t>
      </w:r>
      <w:proofErr w:type="gramEnd"/>
      <w:r w:rsidRPr="001F535A">
        <w:rPr>
          <w:rFonts w:ascii="Times New Roman" w:hAnsi="Times New Roman" w:cs="Times New Roman"/>
        </w:rPr>
        <w:t xml:space="preserve"> both the regulatory and ethical and social responsibilities to achieve sustainable operations.</w:t>
      </w:r>
    </w:p>
    <w:p w14:paraId="6C098B0E" w14:textId="77777777" w:rsidR="00E7600F" w:rsidRPr="001F535A" w:rsidRDefault="00000000" w:rsidP="00A40040">
      <w:pPr>
        <w:pStyle w:val="Heading1"/>
        <w:rPr>
          <w:b w:val="0"/>
          <w:bCs/>
          <w:color w:val="4F81BD" w:themeColor="accent1"/>
          <w:sz w:val="32"/>
          <w:szCs w:val="32"/>
        </w:rPr>
      </w:pPr>
      <w:bookmarkStart w:id="11" w:name="_Toc227408783"/>
      <w:r w:rsidRPr="001F535A">
        <w:rPr>
          <w:rStyle w:val="Strong"/>
          <w:b/>
          <w:bCs w:val="0"/>
          <w:color w:val="4F81BD" w:themeColor="accent1"/>
          <w:sz w:val="32"/>
          <w:szCs w:val="32"/>
        </w:rPr>
        <w:t>Task 2: Security Governance Framework</w:t>
      </w:r>
      <w:bookmarkEnd w:id="11"/>
    </w:p>
    <w:p w14:paraId="4528761F" w14:textId="09E535FC" w:rsidR="00E7600F" w:rsidRPr="001F535A" w:rsidRDefault="00000000">
      <w:pPr>
        <w:pStyle w:val="NormalWeb"/>
        <w:jc w:val="both"/>
        <w:rPr>
          <w:rStyle w:val="Strong"/>
          <w:color w:val="4F81BD" w:themeColor="accent1"/>
          <w:sz w:val="32"/>
          <w:szCs w:val="32"/>
        </w:rPr>
      </w:pPr>
      <w:r w:rsidRPr="001F535A">
        <w:rPr>
          <w:rStyle w:val="Strong"/>
          <w:color w:val="4F81BD" w:themeColor="accent1"/>
          <w:sz w:val="32"/>
          <w:szCs w:val="32"/>
        </w:rPr>
        <w:t>2.1 Governance Structure</w:t>
      </w:r>
      <w:r w:rsidR="00197F99" w:rsidRPr="001F535A">
        <w:rPr>
          <w:rStyle w:val="Strong"/>
          <w:color w:val="4F81BD" w:themeColor="accent1"/>
          <w:sz w:val="32"/>
          <w:szCs w:val="32"/>
        </w:rPr>
        <w:t xml:space="preserve"> </w:t>
      </w:r>
    </w:p>
    <w:p w14:paraId="1F872AEB" w14:textId="21E56212" w:rsidR="00197F99" w:rsidRPr="001F535A" w:rsidRDefault="00BF6FFB">
      <w:pPr>
        <w:pStyle w:val="NormalWeb"/>
        <w:jc w:val="both"/>
        <w:rPr>
          <w:rStyle w:val="Strong"/>
          <w:lang w:val="en-IN"/>
        </w:rPr>
      </w:pPr>
      <w:r w:rsidRPr="001F535A">
        <w:rPr>
          <w:lang w:val="en-IN"/>
        </w:rPr>
        <w:t xml:space="preserve">To achieve good security governance, </w:t>
      </w:r>
      <w:proofErr w:type="spellStart"/>
      <w:r w:rsidRPr="001F535A">
        <w:rPr>
          <w:lang w:val="en-IN"/>
        </w:rPr>
        <w:t>FinSure</w:t>
      </w:r>
      <w:proofErr w:type="spellEnd"/>
      <w:r w:rsidRPr="001F535A">
        <w:rPr>
          <w:lang w:val="en-IN"/>
        </w:rPr>
        <w:t xml:space="preserve"> Bank (FSB) ought to set up a Security Steering Committee (SSC) under the leadership of Chief Information Security Officer (CISO). Key stakeholders that should be part of the committee are the CEO, CIO, Chief Risk Officer, Legal Counsel, Compliance Lead, and business unit representatives. This makes security decisions to be made in a collaborative manner, both in technical and business functions [8]. The SSC needs to report to the board on a quarterly basis and meet </w:t>
      </w:r>
      <w:proofErr w:type="gramStart"/>
      <w:r w:rsidRPr="001F535A">
        <w:rPr>
          <w:lang w:val="en-IN"/>
        </w:rPr>
        <w:t>on a monthly basis</w:t>
      </w:r>
      <w:proofErr w:type="gramEnd"/>
      <w:r w:rsidRPr="001F535A">
        <w:rPr>
          <w:lang w:val="en-IN"/>
        </w:rPr>
        <w:t xml:space="preserve"> and provide continuous reporting to the board to keep the organisation on track and goals. It has the duty of defining enterprise risk appetite and approving security policies as well as assigning resources to manage risks effectively [6]. The significance of this top-down governance structure is that it integrates cybersecurity efforts with the business strategy as a whole and holds all levels accountable. Studies </w:t>
      </w:r>
      <w:r w:rsidRPr="001F535A">
        <w:rPr>
          <w:lang w:val="en-IN"/>
        </w:rPr>
        <w:lastRenderedPageBreak/>
        <w:t xml:space="preserve">indicate that effective governance structures and organisational resilience are improved by having a high level of leadership participation [4]. </w:t>
      </w:r>
      <w:proofErr w:type="gramStart"/>
      <w:r w:rsidRPr="001F535A">
        <w:rPr>
          <w:lang w:val="en-IN"/>
        </w:rPr>
        <w:t>On the whole</w:t>
      </w:r>
      <w:proofErr w:type="gramEnd"/>
      <w:r w:rsidRPr="001F535A">
        <w:rPr>
          <w:lang w:val="en-IN"/>
        </w:rPr>
        <w:t>, SSC offers a comprehensive and forward-looking manner of explaining security governance, which allows FSB to react to the risks in advance and ensure the adherence to the requirements of the regulations</w:t>
      </w:r>
      <w:r w:rsidR="004844DD" w:rsidRPr="001F535A">
        <w:rPr>
          <w:lang w:val="en-IN"/>
        </w:rPr>
        <w:t>.</w:t>
      </w:r>
    </w:p>
    <w:p w14:paraId="3EEF02B4" w14:textId="77777777" w:rsidR="00E7600F" w:rsidRPr="001F535A" w:rsidRDefault="00000000" w:rsidP="00A40040">
      <w:pPr>
        <w:pStyle w:val="Heading2"/>
        <w:rPr>
          <w:b w:val="0"/>
          <w:bCs/>
          <w:color w:val="4F81BD" w:themeColor="accent1"/>
          <w:sz w:val="32"/>
          <w:szCs w:val="32"/>
        </w:rPr>
      </w:pPr>
      <w:bookmarkStart w:id="12" w:name="_Toc227408784"/>
      <w:r w:rsidRPr="001F535A">
        <w:rPr>
          <w:rStyle w:val="Strong"/>
          <w:b/>
          <w:bCs w:val="0"/>
          <w:color w:val="4F81BD" w:themeColor="accent1"/>
          <w:sz w:val="32"/>
          <w:szCs w:val="32"/>
        </w:rPr>
        <w:t>2.2 Proposed ISMS Framework (ISO 27001)</w:t>
      </w:r>
      <w:bookmarkEnd w:id="12"/>
      <w:r w:rsidRPr="001F535A">
        <w:rPr>
          <w:b w:val="0"/>
          <w:bCs/>
          <w:color w:val="4F81BD" w:themeColor="accent1"/>
          <w:sz w:val="32"/>
          <w:szCs w:val="32"/>
        </w:rPr>
        <w:t xml:space="preserve"> </w:t>
      </w:r>
    </w:p>
    <w:p w14:paraId="3D7AFDB0" w14:textId="1A2E9F4E" w:rsidR="004844DD" w:rsidRPr="001F535A" w:rsidRDefault="00B94B0B" w:rsidP="004844DD">
      <w:pPr>
        <w:pStyle w:val="NormalWeb"/>
        <w:jc w:val="both"/>
        <w:rPr>
          <w:lang w:val="en-IN"/>
        </w:rPr>
      </w:pPr>
      <w:r w:rsidRPr="001F535A">
        <w:rPr>
          <w:lang w:val="en-IN"/>
        </w:rPr>
        <w:t xml:space="preserve">The core of that security governance of </w:t>
      </w:r>
      <w:proofErr w:type="spellStart"/>
      <w:r w:rsidRPr="001F535A">
        <w:rPr>
          <w:lang w:val="en-IN"/>
        </w:rPr>
        <w:t>FinSure</w:t>
      </w:r>
      <w:proofErr w:type="spellEnd"/>
      <w:r w:rsidRPr="001F535A">
        <w:rPr>
          <w:lang w:val="en-IN"/>
        </w:rPr>
        <w:t xml:space="preserve"> Bank (FSB) is a specifically designed Information Security Management System ISMS based on ISO/IEC 27001:2022. This standard provides a guideline on how to manage data security threats according to the world standards. It follows the cycle of continuous improvement, which is called PDCA (Plan -Do-Check-Act) [7]. It incorporates </w:t>
      </w:r>
      <w:proofErr w:type="gramStart"/>
      <w:r w:rsidRPr="001F535A">
        <w:rPr>
          <w:lang w:val="en-IN"/>
        </w:rPr>
        <w:t>all of</w:t>
      </w:r>
      <w:proofErr w:type="gramEnd"/>
      <w:r w:rsidRPr="001F535A">
        <w:rPr>
          <w:lang w:val="en-IN"/>
        </w:rPr>
        <w:t xml:space="preserve"> the 93 controls of Annex A, arranged in four </w:t>
      </w:r>
      <w:proofErr w:type="gramStart"/>
      <w:r w:rsidRPr="001F535A">
        <w:rPr>
          <w:lang w:val="en-IN"/>
        </w:rPr>
        <w:t>domains;</w:t>
      </w:r>
      <w:proofErr w:type="gramEnd"/>
      <w:r w:rsidRPr="001F535A">
        <w:rPr>
          <w:lang w:val="en-IN"/>
        </w:rPr>
        <w:t xml:space="preserve"> organizational, people, physical and technological. Notable provisions are such as Clause 5 (engagement of leadership) - it involves the top management, and Clause 6 (risk assessment) - which involves identification and elimination of risks </w:t>
      </w:r>
      <w:proofErr w:type="gramStart"/>
      <w:r w:rsidRPr="001F535A">
        <w:rPr>
          <w:lang w:val="en-IN"/>
        </w:rPr>
        <w:t>In</w:t>
      </w:r>
      <w:proofErr w:type="gramEnd"/>
      <w:r w:rsidRPr="001F535A">
        <w:rPr>
          <w:lang w:val="en-IN"/>
        </w:rPr>
        <w:t xml:space="preserve"> addition, the sustainability </w:t>
      </w:r>
      <w:proofErr w:type="gramStart"/>
      <w:r w:rsidRPr="001F535A">
        <w:rPr>
          <w:lang w:val="en-IN"/>
        </w:rPr>
        <w:t>In</w:t>
      </w:r>
      <w:proofErr w:type="gramEnd"/>
      <w:r w:rsidRPr="001F535A">
        <w:rPr>
          <w:lang w:val="en-IN"/>
        </w:rPr>
        <w:t xml:space="preserve"> the long term, the effectiveness of security is ensured throughout the framework through continuous improvement [6], [7]. </w:t>
      </w:r>
      <w:proofErr w:type="gramStart"/>
      <w:r w:rsidRPr="001F535A">
        <w:rPr>
          <w:lang w:val="en-IN"/>
        </w:rPr>
        <w:t>A number of</w:t>
      </w:r>
      <w:proofErr w:type="gramEnd"/>
      <w:r w:rsidRPr="001F535A">
        <w:rPr>
          <w:lang w:val="en-IN"/>
        </w:rPr>
        <w:t xml:space="preserve"> customizations are required to address the risks of FSB. A.5. controls like these. 23 (cloud security) and A.8. 20 (network security) reduce the multi-cloud risks. For BYOD, A.8. Asset and device management (Number 1) must be </w:t>
      </w:r>
      <w:proofErr w:type="spellStart"/>
      <w:proofErr w:type="gramStart"/>
      <w:r w:rsidRPr="001F535A">
        <w:rPr>
          <w:lang w:val="en-IN"/>
        </w:rPr>
        <w:t>taken.</w:t>
      </w:r>
      <w:r w:rsidR="004844DD" w:rsidRPr="001F535A">
        <w:rPr>
          <w:lang w:val="en-IN"/>
        </w:rPr>
        <w:t>An</w:t>
      </w:r>
      <w:proofErr w:type="spellEnd"/>
      <w:proofErr w:type="gramEnd"/>
      <w:r w:rsidR="004844DD" w:rsidRPr="001F535A">
        <w:rPr>
          <w:lang w:val="en-IN"/>
        </w:rPr>
        <w:t xml:space="preserve"> 18-month implementation roadmap is recommended:</w:t>
      </w:r>
    </w:p>
    <w:p w14:paraId="32632853" w14:textId="77777777" w:rsidR="004844DD" w:rsidRPr="001F535A" w:rsidRDefault="004844DD" w:rsidP="004844DD">
      <w:pPr>
        <w:pStyle w:val="NormalWeb"/>
        <w:numPr>
          <w:ilvl w:val="0"/>
          <w:numId w:val="4"/>
        </w:numPr>
        <w:jc w:val="both"/>
        <w:rPr>
          <w:lang w:val="en-IN"/>
        </w:rPr>
      </w:pPr>
      <w:r w:rsidRPr="001F535A">
        <w:rPr>
          <w:lang w:val="en-IN"/>
        </w:rPr>
        <w:t xml:space="preserve">Months 1–3: Gap analysis and leadership commitment </w:t>
      </w:r>
    </w:p>
    <w:p w14:paraId="210EB466" w14:textId="77777777" w:rsidR="004844DD" w:rsidRPr="001F535A" w:rsidRDefault="004844DD" w:rsidP="004844DD">
      <w:pPr>
        <w:pStyle w:val="NormalWeb"/>
        <w:numPr>
          <w:ilvl w:val="0"/>
          <w:numId w:val="4"/>
        </w:numPr>
        <w:jc w:val="both"/>
        <w:rPr>
          <w:lang w:val="en-IN"/>
        </w:rPr>
      </w:pPr>
      <w:r w:rsidRPr="001F535A">
        <w:rPr>
          <w:lang w:val="en-IN"/>
        </w:rPr>
        <w:t xml:space="preserve">Months 4–12: Policy development, control implementation, and staff training </w:t>
      </w:r>
    </w:p>
    <w:p w14:paraId="4C2B6207" w14:textId="77777777" w:rsidR="004844DD" w:rsidRPr="001F535A" w:rsidRDefault="004844DD" w:rsidP="004844DD">
      <w:pPr>
        <w:pStyle w:val="NormalWeb"/>
        <w:numPr>
          <w:ilvl w:val="0"/>
          <w:numId w:val="4"/>
        </w:numPr>
        <w:jc w:val="both"/>
        <w:rPr>
          <w:lang w:val="en-IN"/>
        </w:rPr>
      </w:pPr>
      <w:r w:rsidRPr="001F535A">
        <w:rPr>
          <w:lang w:val="en-IN"/>
        </w:rPr>
        <w:t xml:space="preserve">Months 13–18: Internal audits, mock certification, and final external audit </w:t>
      </w:r>
    </w:p>
    <w:p w14:paraId="2892068E" w14:textId="54AAF8ED" w:rsidR="004844DD" w:rsidRPr="001F535A" w:rsidRDefault="004844DD">
      <w:pPr>
        <w:pStyle w:val="NormalWeb"/>
        <w:jc w:val="both"/>
        <w:rPr>
          <w:lang w:val="en-IN"/>
        </w:rPr>
      </w:pPr>
      <w:r w:rsidRPr="001F535A">
        <w:rPr>
          <w:lang w:val="en-IN"/>
        </w:rPr>
        <w:t>This phased approach enables FSB to achieve a certifiable, internationally recognised security framework, improving risk management, regulatory compliance, and supporting long-term business growth.</w:t>
      </w:r>
    </w:p>
    <w:p w14:paraId="33CB6098" w14:textId="08E35D69" w:rsidR="00A840F8" w:rsidRPr="001F535A" w:rsidRDefault="00A840F8">
      <w:pPr>
        <w:pStyle w:val="NormalWeb"/>
        <w:jc w:val="both"/>
        <w:rPr>
          <w:lang w:val="en-IN"/>
        </w:rPr>
      </w:pPr>
      <w:r w:rsidRPr="001F535A">
        <w:rPr>
          <w:noProof/>
          <w:lang w:val="en-IN"/>
        </w:rPr>
        <w:lastRenderedPageBreak/>
        <w:drawing>
          <wp:inline distT="0" distB="0" distL="0" distR="0" wp14:anchorId="15834C1B" wp14:editId="19459196">
            <wp:extent cx="5943600" cy="3724910"/>
            <wp:effectExtent l="0" t="0" r="0" b="8890"/>
            <wp:docPr id="14513099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09932" name="Picture 145130993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24910"/>
                    </a:xfrm>
                    <a:prstGeom prst="rect">
                      <a:avLst/>
                    </a:prstGeom>
                  </pic:spPr>
                </pic:pic>
              </a:graphicData>
            </a:graphic>
          </wp:inline>
        </w:drawing>
      </w:r>
    </w:p>
    <w:p w14:paraId="652D40F0" w14:textId="77777777" w:rsidR="00E7600F" w:rsidRPr="001F535A" w:rsidRDefault="00000000" w:rsidP="00A40040">
      <w:pPr>
        <w:pStyle w:val="Heading2"/>
      </w:pPr>
      <w:bookmarkStart w:id="13" w:name="_Toc227408785"/>
      <w:r w:rsidRPr="001F535A">
        <w:rPr>
          <w:rStyle w:val="Strong"/>
          <w:color w:val="4F81BD" w:themeColor="accent1"/>
          <w:sz w:val="32"/>
          <w:szCs w:val="32"/>
        </w:rPr>
        <w:t>2.3 ITIL Integration for IT Service Management</w:t>
      </w:r>
      <w:bookmarkEnd w:id="13"/>
      <w:r w:rsidRPr="001F535A">
        <w:t xml:space="preserve"> </w:t>
      </w:r>
    </w:p>
    <w:p w14:paraId="511A4ECD" w14:textId="2467516F" w:rsidR="001F535A" w:rsidRPr="001F535A" w:rsidRDefault="001F535A" w:rsidP="001F535A">
      <w:pPr>
        <w:pStyle w:val="Normal1"/>
        <w:jc w:val="both"/>
        <w:rPr>
          <w:rFonts w:ascii="Times New Roman" w:hAnsi="Times New Roman" w:cs="Times New Roman"/>
          <w:lang w:val="en-IN"/>
        </w:rPr>
      </w:pPr>
      <w:r w:rsidRPr="001F535A">
        <w:rPr>
          <w:rFonts w:ascii="Times New Roman" w:hAnsi="Times New Roman" w:cs="Times New Roman"/>
          <w:lang w:val="en-IN"/>
        </w:rPr>
        <w:t>ISO/IEC 27001 is strengthened by ITIL 4 because it helps turn security policies into practical, day-to-day actions through its Service Value System. ISO 27001 mainly focuses on defining what security controls should exist, but ITIL 4 explains how those controls are applied, monitored, and improved in real operational environments [8].</w:t>
      </w:r>
      <w:r w:rsidRPr="001F535A">
        <w:rPr>
          <w:rFonts w:ascii="Times New Roman" w:hAnsi="Times New Roman" w:cs="Times New Roman"/>
          <w:lang w:val="en-IN"/>
        </w:rPr>
        <w:t xml:space="preserve"> </w:t>
      </w:r>
      <w:r w:rsidRPr="001F535A">
        <w:rPr>
          <w:rFonts w:ascii="Times New Roman" w:hAnsi="Times New Roman" w:cs="Times New Roman"/>
          <w:lang w:val="en-IN"/>
        </w:rPr>
        <w:t>ITIL 4 practices such as incident management, change enablement, service-level management, supplier management, and continual improvement play an important role in embedding security into normal IT operations. Incident management ensures that security issues are reported and handled quickly, reducing downtime and damage. Change enablement helps ensure that any system or configuration changes are properly assessed before being implemented, reducing the risk of introducing vulnerabilities. Service-level management ensures that security and availability targets are clearly defined and consistently met. Supplier management ensures that third-party vendors follow the bank’s security requirements. Continual improvement ensures that lessons from incidents and audits are used to strengthen controls over time [6], [8].</w:t>
      </w:r>
      <w:r w:rsidRPr="001F535A">
        <w:rPr>
          <w:rFonts w:ascii="Times New Roman" w:hAnsi="Times New Roman" w:cs="Times New Roman"/>
          <w:lang w:val="en-IN"/>
        </w:rPr>
        <w:t xml:space="preserve"> </w:t>
      </w:r>
      <w:r w:rsidRPr="001F535A">
        <w:rPr>
          <w:rFonts w:ascii="Times New Roman" w:hAnsi="Times New Roman" w:cs="Times New Roman"/>
          <w:lang w:val="en-IN"/>
        </w:rPr>
        <w:t xml:space="preserve">For </w:t>
      </w:r>
      <w:proofErr w:type="spellStart"/>
      <w:r w:rsidRPr="001F535A">
        <w:rPr>
          <w:rFonts w:ascii="Times New Roman" w:hAnsi="Times New Roman" w:cs="Times New Roman"/>
          <w:lang w:val="en-IN"/>
        </w:rPr>
        <w:t>FinSure</w:t>
      </w:r>
      <w:proofErr w:type="spellEnd"/>
      <w:r w:rsidRPr="001F535A">
        <w:rPr>
          <w:rFonts w:ascii="Times New Roman" w:hAnsi="Times New Roman" w:cs="Times New Roman"/>
          <w:lang w:val="en-IN"/>
        </w:rPr>
        <w:t xml:space="preserve"> Bank (FSB), this integration means security becomes part of everyday service delivery rather than something handled separately. It helps the organisation respond faster to security incidents, make safer changes to IT systems, and maintain stable and reliable services for customers. This is especially important in a banking environment where even small disruptions can affect trust and financial operations [6].</w:t>
      </w:r>
      <w:r w:rsidRPr="001F535A">
        <w:rPr>
          <w:rFonts w:ascii="Times New Roman" w:hAnsi="Times New Roman" w:cs="Times New Roman"/>
          <w:lang w:val="en-IN"/>
        </w:rPr>
        <w:t xml:space="preserve"> </w:t>
      </w:r>
      <w:r w:rsidRPr="001F535A">
        <w:rPr>
          <w:rFonts w:ascii="Times New Roman" w:hAnsi="Times New Roman" w:cs="Times New Roman"/>
          <w:lang w:val="en-IN"/>
        </w:rPr>
        <w:t xml:space="preserve">ITIL 4 also plays a key role in managing security in cloud and BYOD environments. In cloud services, ITIL ensures that security expectations are clearly included in service agreements with third-party providers. For example, SLAs may require 24-hour breach notification, high system availability such as 99.99%, encryption standards, and regular security testing with the bank. This ensures that external providers operate under strict security and compliance rules that match the bank’s </w:t>
      </w:r>
      <w:r w:rsidRPr="001F535A">
        <w:rPr>
          <w:rFonts w:ascii="Times New Roman" w:hAnsi="Times New Roman" w:cs="Times New Roman"/>
          <w:lang w:val="en-IN"/>
        </w:rPr>
        <w:lastRenderedPageBreak/>
        <w:t>internal standards [6].</w:t>
      </w:r>
      <w:r w:rsidRPr="001F535A">
        <w:rPr>
          <w:rFonts w:ascii="Times New Roman" w:hAnsi="Times New Roman" w:cs="Times New Roman"/>
          <w:lang w:val="en-IN"/>
        </w:rPr>
        <w:t xml:space="preserve"> </w:t>
      </w:r>
      <w:r w:rsidRPr="001F535A">
        <w:rPr>
          <w:rFonts w:ascii="Times New Roman" w:hAnsi="Times New Roman" w:cs="Times New Roman"/>
          <w:lang w:val="en-IN"/>
        </w:rPr>
        <w:t>In BYOD environments, ITIL practices help manage risks from personal devices by supporting proper access control, endpoint monitoring, and incident response procedures. This allows employees to use their own devices for work while still ensuring that sensitive financial data is protected and controlled.</w:t>
      </w:r>
      <w:r w:rsidRPr="001F535A">
        <w:rPr>
          <w:rFonts w:ascii="Times New Roman" w:hAnsi="Times New Roman" w:cs="Times New Roman"/>
          <w:lang w:val="en-IN"/>
        </w:rPr>
        <w:t xml:space="preserve"> </w:t>
      </w:r>
      <w:r w:rsidRPr="001F535A">
        <w:rPr>
          <w:rFonts w:ascii="Times New Roman" w:hAnsi="Times New Roman" w:cs="Times New Roman"/>
          <w:lang w:val="en-IN"/>
        </w:rPr>
        <w:t>Overall, combining ISO/IEC 27001 with ITIL 4 ensures that security is not just a theoretical framework but is actively implemented in daily operations. It improves coordination between teams, strengthens risk management, and ensures continuous improvement in security practices. This leads to more efficient operations, reduced security risks, and stronger confidence from customers, regulators, and stakeholders [6], [8].</w:t>
      </w:r>
    </w:p>
    <w:p w14:paraId="16AAA69B" w14:textId="77777777" w:rsidR="001F535A" w:rsidRPr="001F535A" w:rsidRDefault="001F535A" w:rsidP="001F535A">
      <w:pPr>
        <w:pStyle w:val="Normal1"/>
        <w:rPr>
          <w:rFonts w:ascii="Times New Roman" w:hAnsi="Times New Roman" w:cs="Times New Roman"/>
        </w:rPr>
      </w:pPr>
    </w:p>
    <w:p w14:paraId="5412BCA8" w14:textId="77777777" w:rsidR="00E7600F" w:rsidRPr="001F535A" w:rsidRDefault="00000000" w:rsidP="00A40040">
      <w:pPr>
        <w:pStyle w:val="Heading2"/>
        <w:rPr>
          <w:color w:val="4F81BD" w:themeColor="accent1"/>
          <w:sz w:val="32"/>
          <w:szCs w:val="32"/>
        </w:rPr>
      </w:pPr>
      <w:bookmarkStart w:id="14" w:name="_Toc227408786"/>
      <w:r w:rsidRPr="001F535A">
        <w:rPr>
          <w:rStyle w:val="Strong"/>
          <w:color w:val="4F81BD" w:themeColor="accent1"/>
          <w:sz w:val="32"/>
          <w:szCs w:val="32"/>
        </w:rPr>
        <w:t>2.4 Justification of Chosen Approaches</w:t>
      </w:r>
      <w:bookmarkEnd w:id="14"/>
      <w:r w:rsidRPr="001F535A">
        <w:rPr>
          <w:color w:val="4F81BD" w:themeColor="accent1"/>
          <w:sz w:val="32"/>
          <w:szCs w:val="32"/>
        </w:rPr>
        <w:t xml:space="preserve"> </w:t>
      </w:r>
    </w:p>
    <w:p w14:paraId="6142443D" w14:textId="7A0A2E39" w:rsidR="00386F52" w:rsidRPr="001F535A" w:rsidRDefault="00386F52" w:rsidP="00386F52">
      <w:pPr>
        <w:pStyle w:val="Normal1"/>
        <w:jc w:val="both"/>
        <w:rPr>
          <w:rFonts w:ascii="Times New Roman" w:hAnsi="Times New Roman" w:cs="Times New Roman"/>
        </w:rPr>
      </w:pPr>
      <w:r w:rsidRPr="001F535A">
        <w:rPr>
          <w:rFonts w:ascii="Times New Roman" w:hAnsi="Times New Roman" w:cs="Times New Roman"/>
        </w:rPr>
        <w:t xml:space="preserve">The ISO/IEC 27001 is the standard chosen to be used as the main one in </w:t>
      </w: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since it offers an internationally </w:t>
      </w:r>
      <w:proofErr w:type="spellStart"/>
      <w:r w:rsidRPr="001F535A">
        <w:rPr>
          <w:rFonts w:ascii="Times New Roman" w:hAnsi="Times New Roman" w:cs="Times New Roman"/>
        </w:rPr>
        <w:t>recognised</w:t>
      </w:r>
      <w:proofErr w:type="spellEnd"/>
      <w:r w:rsidRPr="001F535A">
        <w:rPr>
          <w:rFonts w:ascii="Times New Roman" w:hAnsi="Times New Roman" w:cs="Times New Roman"/>
        </w:rPr>
        <w:t xml:space="preserve"> and certifiable Information Security Management System (ISMS). This is especially so to a multi-jurisdictional bank, whereby regulators and customers have great trust </w:t>
      </w:r>
      <w:proofErr w:type="gramStart"/>
      <w:r w:rsidRPr="001F535A">
        <w:rPr>
          <w:rFonts w:ascii="Times New Roman" w:hAnsi="Times New Roman" w:cs="Times New Roman"/>
        </w:rPr>
        <w:t>to</w:t>
      </w:r>
      <w:proofErr w:type="gramEnd"/>
      <w:r w:rsidRPr="001F535A">
        <w:rPr>
          <w:rFonts w:ascii="Times New Roman" w:hAnsi="Times New Roman" w:cs="Times New Roman"/>
        </w:rPr>
        <w:t xml:space="preserve"> internationally accepted standards. The ISO 27001 also guarantees </w:t>
      </w:r>
      <w:proofErr w:type="gramStart"/>
      <w:r w:rsidRPr="001F535A">
        <w:rPr>
          <w:rFonts w:ascii="Times New Roman" w:hAnsi="Times New Roman" w:cs="Times New Roman"/>
        </w:rPr>
        <w:t>a systematized</w:t>
      </w:r>
      <w:proofErr w:type="gramEnd"/>
      <w:r w:rsidRPr="001F535A">
        <w:rPr>
          <w:rFonts w:ascii="Times New Roman" w:hAnsi="Times New Roman" w:cs="Times New Roman"/>
        </w:rPr>
        <w:t xml:space="preserve"> risk management, compliance and continuous improvement [6], [7]. ITIL 4 had been incorporated with ISO 27001 since it provides </w:t>
      </w:r>
      <w:proofErr w:type="gramStart"/>
      <w:r w:rsidRPr="001F535A">
        <w:rPr>
          <w:rFonts w:ascii="Times New Roman" w:hAnsi="Times New Roman" w:cs="Times New Roman"/>
        </w:rPr>
        <w:t>the operational</w:t>
      </w:r>
      <w:proofErr w:type="gramEnd"/>
      <w:r w:rsidRPr="001F535A">
        <w:rPr>
          <w:rFonts w:ascii="Times New Roman" w:hAnsi="Times New Roman" w:cs="Times New Roman"/>
        </w:rPr>
        <w:t xml:space="preserve"> how-to advice that is purposely flexible with ISO standards. As ISO 27001 specifies security needs and controls, ITIL guarantees that such controls are practically applied to the everyday service activities via the use of structure processes and lifecycle management [8]. This strategic governance and practical implementation are </w:t>
      </w:r>
      <w:proofErr w:type="gramStart"/>
      <w:r w:rsidRPr="001F535A">
        <w:rPr>
          <w:rFonts w:ascii="Times New Roman" w:hAnsi="Times New Roman" w:cs="Times New Roman"/>
        </w:rPr>
        <w:t>blended together</w:t>
      </w:r>
      <w:proofErr w:type="gramEnd"/>
      <w:r w:rsidRPr="001F535A">
        <w:rPr>
          <w:rFonts w:ascii="Times New Roman" w:hAnsi="Times New Roman" w:cs="Times New Roman"/>
        </w:rPr>
        <w:t xml:space="preserve"> hence making it effective and flexible. It is also compatible with the task of an original and structured solution, and it is scalable with low costs and fits the fast-growing digital bank such as FSB.</w:t>
      </w:r>
    </w:p>
    <w:p w14:paraId="39277DE4" w14:textId="77777777" w:rsidR="00E7600F" w:rsidRPr="001F535A" w:rsidRDefault="00000000" w:rsidP="00BC34D7">
      <w:pPr>
        <w:pStyle w:val="Heading2"/>
        <w:rPr>
          <w:sz w:val="32"/>
          <w:szCs w:val="32"/>
        </w:rPr>
      </w:pPr>
      <w:bookmarkStart w:id="15" w:name="_Toc227408787"/>
      <w:r w:rsidRPr="001F535A">
        <w:rPr>
          <w:rStyle w:val="Strong"/>
          <w:color w:val="4F81BD" w:themeColor="accent1"/>
          <w:sz w:val="32"/>
          <w:szCs w:val="32"/>
        </w:rPr>
        <w:t>2.5 Critical Discussion of the Framework</w:t>
      </w:r>
      <w:bookmarkEnd w:id="15"/>
      <w:r w:rsidRPr="001F535A">
        <w:rPr>
          <w:sz w:val="32"/>
          <w:szCs w:val="32"/>
        </w:rPr>
        <w:t xml:space="preserve"> </w:t>
      </w:r>
    </w:p>
    <w:p w14:paraId="7DD4BE1E" w14:textId="4E3B720C" w:rsidR="00386F52" w:rsidRPr="001F535A" w:rsidRDefault="00386F52">
      <w:pPr>
        <w:pStyle w:val="NormalWeb"/>
        <w:jc w:val="both"/>
        <w:rPr>
          <w:lang w:val="en-IN"/>
        </w:rPr>
      </w:pPr>
      <w:r w:rsidRPr="001F535A">
        <w:rPr>
          <w:lang w:val="en-IN"/>
        </w:rPr>
        <w:t xml:space="preserve">The hybrid framework suggested to </w:t>
      </w:r>
      <w:proofErr w:type="spellStart"/>
      <w:r w:rsidRPr="001F535A">
        <w:rPr>
          <w:lang w:val="en-IN"/>
        </w:rPr>
        <w:t>FinSure</w:t>
      </w:r>
      <w:proofErr w:type="spellEnd"/>
      <w:r w:rsidRPr="001F535A">
        <w:rPr>
          <w:lang w:val="en-IN"/>
        </w:rPr>
        <w:t xml:space="preserve"> Bank (FSB) is extremely efficient since it consists of the structured and auditable system of ISO/IEC 27001 and practical and service-driven operations of ITIL 4. This integration not only guarantees compliance in terms of regulations, but also efficiency in operations, but it allows the security controls to be defined but also implemented regularly in everyday operations [6], [8]. Nonetheless, they have certain difficulties. Initial implementation cost can be </w:t>
      </w:r>
      <w:proofErr w:type="gramStart"/>
      <w:r w:rsidRPr="001F535A">
        <w:rPr>
          <w:lang w:val="en-IN"/>
        </w:rPr>
        <w:t>high</w:t>
      </w:r>
      <w:proofErr w:type="gramEnd"/>
      <w:r w:rsidRPr="001F535A">
        <w:rPr>
          <w:lang w:val="en-IN"/>
        </w:rPr>
        <w:t xml:space="preserve"> and organisations might need to undergo a cultural change since employees will have to incorporate security practices in their day-to-day operations. This transition might be complicated and slow without adequate leadership support and proper training [4]. The requirement to keep updating the framework is a critical factor to success. Cyber threats are changing at a fast pace, particularly with the development of AI-based attacks, the threats of quantum computing, and sophisticated supply-chain threats. Lessons learned in the field of security are that the static security controls are soon overtaken by time and make the system more vulnerable [1]. The recent developments like the ISO 27001:2022 revision and NIST CSF 2.0 emphasize the necessity of revising and enhancing security practices on a regular basis [6]. Periodic updates assist organisations to learn lessons of new breaches, near compliance gaps and become resilient to new threats. In the absence of this dynamic approach, organisations face the risk of being punished by the regulatory authorities, and their reputation will be tarnished, and they </w:t>
      </w:r>
      <w:r w:rsidRPr="001F535A">
        <w:rPr>
          <w:lang w:val="en-IN"/>
        </w:rPr>
        <w:lastRenderedPageBreak/>
        <w:t>will also lose their competitive edge [14]. Thus, the framework of FSB has a mandatory annual review procedure, which is consistent with the most recent standards and best practices. This guarantees that the governance model is effective, up-to-date, and can respond to the new cybersecurity threats in the long term</w:t>
      </w:r>
    </w:p>
    <w:p w14:paraId="3E511F7C" w14:textId="02B09F82" w:rsidR="00E7600F" w:rsidRPr="001F535A" w:rsidRDefault="00000000" w:rsidP="00BC34D7">
      <w:pPr>
        <w:pStyle w:val="Heading1"/>
        <w:rPr>
          <w:b w:val="0"/>
          <w:bCs/>
        </w:rPr>
      </w:pPr>
      <w:bookmarkStart w:id="16" w:name="_Toc227408788"/>
      <w:r w:rsidRPr="001F535A">
        <w:rPr>
          <w:rStyle w:val="Strong"/>
          <w:b/>
          <w:bCs w:val="0"/>
          <w:color w:val="4F81BD" w:themeColor="accent1"/>
        </w:rPr>
        <w:t>Task 3: Risk Assessment</w:t>
      </w:r>
      <w:bookmarkEnd w:id="16"/>
    </w:p>
    <w:p w14:paraId="4931B8A1" w14:textId="77777777" w:rsidR="00E7600F" w:rsidRPr="001F535A" w:rsidRDefault="00000000" w:rsidP="00BC34D7">
      <w:pPr>
        <w:pStyle w:val="Heading1"/>
        <w:rPr>
          <w:b w:val="0"/>
          <w:bCs/>
          <w:sz w:val="32"/>
          <w:szCs w:val="32"/>
        </w:rPr>
      </w:pPr>
      <w:bookmarkStart w:id="17" w:name="_Toc227408789"/>
      <w:r w:rsidRPr="001F535A">
        <w:rPr>
          <w:rStyle w:val="Strong"/>
          <w:b/>
          <w:bCs w:val="0"/>
          <w:color w:val="4F81BD" w:themeColor="accent1"/>
          <w:sz w:val="32"/>
          <w:szCs w:val="32"/>
        </w:rPr>
        <w:t>3.1 Risk Assessment Methodology</w:t>
      </w:r>
      <w:bookmarkEnd w:id="17"/>
      <w:r w:rsidRPr="001F535A">
        <w:rPr>
          <w:b w:val="0"/>
          <w:bCs/>
          <w:sz w:val="32"/>
          <w:szCs w:val="32"/>
        </w:rPr>
        <w:t xml:space="preserve"> </w:t>
      </w:r>
    </w:p>
    <w:p w14:paraId="7CB5A59B" w14:textId="0663F87B" w:rsidR="00386F52" w:rsidRPr="001F535A" w:rsidRDefault="00386F52" w:rsidP="00386F52">
      <w:pPr>
        <w:pStyle w:val="Normal1"/>
        <w:jc w:val="both"/>
        <w:rPr>
          <w:rFonts w:ascii="Times New Roman" w:hAnsi="Times New Roman" w:cs="Times New Roman"/>
        </w:rPr>
      </w:pPr>
      <w:proofErr w:type="spellStart"/>
      <w:r w:rsidRPr="001F535A">
        <w:rPr>
          <w:rFonts w:ascii="Times New Roman" w:hAnsi="Times New Roman" w:cs="Times New Roman"/>
        </w:rPr>
        <w:t>FinSure</w:t>
      </w:r>
      <w:proofErr w:type="spellEnd"/>
      <w:r w:rsidRPr="001F535A">
        <w:rPr>
          <w:rFonts w:ascii="Times New Roman" w:hAnsi="Times New Roman" w:cs="Times New Roman"/>
        </w:rPr>
        <w:t xml:space="preserve"> Bank (FSB) follows the ISO/IEC 27005 as its fundamental risk assessment approach with a qualitative 5×5 risk matrix (likelihood × impact) and supplemented with the NIST SP 800-30 techniques of structured threat modelling. Such a mix guarantees a holistic and methodical way of </w:t>
      </w:r>
      <w:proofErr w:type="gramStart"/>
      <w:r w:rsidRPr="001F535A">
        <w:rPr>
          <w:rFonts w:ascii="Times New Roman" w:hAnsi="Times New Roman" w:cs="Times New Roman"/>
        </w:rPr>
        <w:t>detection</w:t>
      </w:r>
      <w:proofErr w:type="gramEnd"/>
      <w:r w:rsidRPr="001F535A">
        <w:rPr>
          <w:rFonts w:ascii="Times New Roman" w:hAnsi="Times New Roman" w:cs="Times New Roman"/>
        </w:rPr>
        <w:t xml:space="preserve"> and treatment of information security risks [6], [7]. There are six steps of the process of risk assessment. First, FSB sets the environment by establishing scope, assets and risk requirements. This is followed by the identification of risk pertaining to its critical systems such as cloud services and BYOD environments. The risks are then evaluated based on the probability and the potential impact of the risks, then compared with the predetermined risk appetite of the </w:t>
      </w:r>
      <w:proofErr w:type="spellStart"/>
      <w:r w:rsidRPr="001F535A">
        <w:rPr>
          <w:rFonts w:ascii="Times New Roman" w:hAnsi="Times New Roman" w:cs="Times New Roman"/>
        </w:rPr>
        <w:t>organisation</w:t>
      </w:r>
      <w:proofErr w:type="spellEnd"/>
      <w:r w:rsidRPr="001F535A">
        <w:rPr>
          <w:rFonts w:ascii="Times New Roman" w:hAnsi="Times New Roman" w:cs="Times New Roman"/>
        </w:rPr>
        <w:t>. The proper risk treatment measures are utilized which include mitigation, transfer or acceptance. Lastly, risks are constantly observed and examined either quarterly or following major changes such as the introduction of new cloud services [6]. Every risk assessment is stored in a central Governance, Risk, and Compliance (GRC) tool, which makes them completely traceable and assists with audit needs. This systematic approach helps FSB make knowledgeable decisions, ensure compliance and enforce its overall security posture.</w:t>
      </w:r>
    </w:p>
    <w:p w14:paraId="6A4C0943" w14:textId="2866D099" w:rsidR="00E7600F" w:rsidRPr="001F535A" w:rsidRDefault="00000000" w:rsidP="00BC34D7">
      <w:pPr>
        <w:pStyle w:val="Heading1"/>
        <w:rPr>
          <w:rStyle w:val="Strong"/>
          <w:b/>
          <w:bCs w:val="0"/>
          <w:color w:val="4F81BD" w:themeColor="accent1"/>
          <w:sz w:val="32"/>
          <w:szCs w:val="32"/>
        </w:rPr>
      </w:pPr>
      <w:bookmarkStart w:id="18" w:name="_Toc227408790"/>
      <w:r w:rsidRPr="001F535A">
        <w:rPr>
          <w:rStyle w:val="Strong"/>
          <w:b/>
          <w:bCs w:val="0"/>
          <w:color w:val="4F81BD" w:themeColor="accent1"/>
          <w:sz w:val="32"/>
          <w:szCs w:val="32"/>
        </w:rPr>
        <w:t>3.2 Identification of Information Assets, Vulnerabilities, Threats, and Risks</w:t>
      </w:r>
      <w:bookmarkEnd w:id="18"/>
    </w:p>
    <w:p w14:paraId="55021668" w14:textId="23081EB8" w:rsidR="001F535A" w:rsidRPr="001F535A" w:rsidRDefault="001F535A">
      <w:pPr>
        <w:pStyle w:val="NormalWeb"/>
        <w:jc w:val="both"/>
        <w:rPr>
          <w:lang w:val="en-IN"/>
        </w:rPr>
      </w:pPr>
      <w:r w:rsidRPr="001F535A">
        <w:rPr>
          <w:lang w:val="en-IN"/>
        </w:rPr>
        <w:t xml:space="preserve">The key assets in </w:t>
      </w:r>
      <w:proofErr w:type="spellStart"/>
      <w:r w:rsidRPr="001F535A">
        <w:rPr>
          <w:lang w:val="en-IN"/>
        </w:rPr>
        <w:t>FinSure</w:t>
      </w:r>
      <w:proofErr w:type="spellEnd"/>
      <w:r w:rsidRPr="001F535A">
        <w:rPr>
          <w:lang w:val="en-IN"/>
        </w:rPr>
        <w:t xml:space="preserve"> Bank include customer PII databases, transaction ledgers, cloud infrastructure, mobile banking APIs, and BYOD endpoints. These assets are highly sensitive because they store and process financial and personal data, and any compromise could directly affect customer trust and regulatory compliance [1].</w:t>
      </w:r>
      <w:r w:rsidRPr="001F535A">
        <w:rPr>
          <w:lang w:val="en-IN"/>
        </w:rPr>
        <w:t xml:space="preserve"> </w:t>
      </w:r>
      <w:r w:rsidRPr="001F535A">
        <w:rPr>
          <w:lang w:val="en-IN"/>
        </w:rPr>
        <w:t>However, several weaknesses increase the risk exposure. These include unprotected personal devices used under BYOD policies, misconfigured cloud environments, weak or inconsistent implementation of multi-factor authentication, and insufficient monitoring of third-party vendors. These gaps can create entry points for attackers and make it easier for threats to spread within the system [2], [3].</w:t>
      </w:r>
      <w:r w:rsidRPr="001F535A">
        <w:rPr>
          <w:lang w:val="en-IN"/>
        </w:rPr>
        <w:t xml:space="preserve"> </w:t>
      </w:r>
      <w:r w:rsidRPr="001F535A">
        <w:rPr>
          <w:lang w:val="en-IN"/>
        </w:rPr>
        <w:t>Based on these weaknesses, Tier 1 threats include AI-driven phishing attacks, ransomware, insider data exfiltration, and supply-chain attacks. AI-based phishing is becoming more advanced and harder to detect, often targeting employees through highly personalised messages. Ransomware can encrypt critical banking systems and disrupt operations. Insider threats involve employees or contractors misusing access to steal or leak sensitive data. Supply-chain attacks target third-party vendors to indirectly access the bank’s systems [3], [4].</w:t>
      </w:r>
      <w:r w:rsidRPr="001F535A">
        <w:rPr>
          <w:lang w:val="en-IN"/>
        </w:rPr>
        <w:t xml:space="preserve"> </w:t>
      </w:r>
      <w:r w:rsidRPr="001F535A">
        <w:rPr>
          <w:lang w:val="en-IN"/>
        </w:rPr>
        <w:t xml:space="preserve">Together, these risks highlight the importance of strong governance, continuous monitoring, and layered security controls across all </w:t>
      </w:r>
      <w:r w:rsidRPr="001F535A">
        <w:rPr>
          <w:lang w:val="en-IN"/>
        </w:rPr>
        <w:lastRenderedPageBreak/>
        <w:t xml:space="preserve">systems. Addressing both technical and human vulnerabilities is essential to protect </w:t>
      </w:r>
      <w:proofErr w:type="spellStart"/>
      <w:r w:rsidRPr="001F535A">
        <w:rPr>
          <w:lang w:val="en-IN"/>
        </w:rPr>
        <w:t>FinSure</w:t>
      </w:r>
      <w:proofErr w:type="spellEnd"/>
      <w:r w:rsidRPr="001F535A">
        <w:rPr>
          <w:lang w:val="en-IN"/>
        </w:rPr>
        <w:t xml:space="preserve"> Bank’s critical assets and maintain operational resilience.</w:t>
      </w:r>
    </w:p>
    <w:p w14:paraId="46707C51" w14:textId="1DC6218E" w:rsidR="00E7600F" w:rsidRPr="001F535A" w:rsidRDefault="00000000">
      <w:pPr>
        <w:pStyle w:val="NormalWeb"/>
        <w:jc w:val="both"/>
      </w:pPr>
      <w:r w:rsidRPr="001F535A">
        <w:t>A sample excerpt from the FSB risk register demonstrates the approach:</w:t>
      </w:r>
    </w:p>
    <w:tbl>
      <w:tblPr>
        <w:tblStyle w:val="TableGrid"/>
        <w:tblW w:w="0" w:type="auto"/>
        <w:tblLook w:val="04A0" w:firstRow="1" w:lastRow="0" w:firstColumn="1" w:lastColumn="0" w:noHBand="0" w:noVBand="1"/>
      </w:tblPr>
      <w:tblGrid>
        <w:gridCol w:w="811"/>
        <w:gridCol w:w="1509"/>
        <w:gridCol w:w="1856"/>
        <w:gridCol w:w="1324"/>
        <w:gridCol w:w="1430"/>
        <w:gridCol w:w="1083"/>
        <w:gridCol w:w="1309"/>
      </w:tblGrid>
      <w:tr w:rsidR="004524AD" w:rsidRPr="001F535A" w14:paraId="214AC9A1" w14:textId="77777777" w:rsidTr="004524AD">
        <w:trPr>
          <w:trHeight w:val="515"/>
        </w:trPr>
        <w:tc>
          <w:tcPr>
            <w:tcW w:w="811" w:type="dxa"/>
          </w:tcPr>
          <w:p w14:paraId="3D362ECC" w14:textId="05FC556E" w:rsidR="00E91DB4" w:rsidRPr="001F535A" w:rsidRDefault="00E91DB4" w:rsidP="00E91DB4">
            <w:pPr>
              <w:pStyle w:val="NormalWeb"/>
              <w:jc w:val="both"/>
            </w:pPr>
            <w:r w:rsidRPr="001F535A">
              <w:rPr>
                <w:lang w:bidi="ar"/>
              </w:rPr>
              <w:t>Risk ID</w:t>
            </w:r>
          </w:p>
        </w:tc>
        <w:tc>
          <w:tcPr>
            <w:tcW w:w="1509" w:type="dxa"/>
          </w:tcPr>
          <w:p w14:paraId="62AE0DF1" w14:textId="0C6BF869" w:rsidR="00E91DB4" w:rsidRPr="001F535A" w:rsidRDefault="00E91DB4" w:rsidP="00E91DB4">
            <w:pPr>
              <w:pStyle w:val="NormalWeb"/>
              <w:jc w:val="both"/>
            </w:pPr>
            <w:r w:rsidRPr="001F535A">
              <w:rPr>
                <w:lang w:bidi="ar"/>
              </w:rPr>
              <w:t>Asset</w:t>
            </w:r>
          </w:p>
        </w:tc>
        <w:tc>
          <w:tcPr>
            <w:tcW w:w="1856" w:type="dxa"/>
          </w:tcPr>
          <w:p w14:paraId="4A59BB7B" w14:textId="15A17056" w:rsidR="00E91DB4" w:rsidRPr="001F535A" w:rsidRDefault="00E91DB4" w:rsidP="00E91DB4">
            <w:pPr>
              <w:pStyle w:val="NormalWeb"/>
              <w:jc w:val="both"/>
            </w:pPr>
            <w:r w:rsidRPr="001F535A">
              <w:rPr>
                <w:lang w:bidi="ar"/>
              </w:rPr>
              <w:t>Threat</w:t>
            </w:r>
          </w:p>
        </w:tc>
        <w:tc>
          <w:tcPr>
            <w:tcW w:w="1324" w:type="dxa"/>
          </w:tcPr>
          <w:p w14:paraId="6F7A2ADB" w14:textId="65B181F1" w:rsidR="00E91DB4" w:rsidRPr="001F535A" w:rsidRDefault="00E91DB4" w:rsidP="00E91DB4">
            <w:pPr>
              <w:pStyle w:val="NormalWeb"/>
              <w:jc w:val="both"/>
            </w:pPr>
            <w:r w:rsidRPr="001F535A">
              <w:rPr>
                <w:lang w:bidi="ar"/>
              </w:rPr>
              <w:t>Likelihood</w:t>
            </w:r>
          </w:p>
        </w:tc>
        <w:tc>
          <w:tcPr>
            <w:tcW w:w="1430" w:type="dxa"/>
          </w:tcPr>
          <w:p w14:paraId="3CCB1735" w14:textId="37AE58A4" w:rsidR="00E91DB4" w:rsidRPr="001F535A" w:rsidRDefault="00E91DB4" w:rsidP="00E91DB4">
            <w:pPr>
              <w:pStyle w:val="NormalWeb"/>
              <w:jc w:val="both"/>
            </w:pPr>
            <w:r w:rsidRPr="001F535A">
              <w:rPr>
                <w:lang w:bidi="ar"/>
              </w:rPr>
              <w:t>Impact</w:t>
            </w:r>
          </w:p>
        </w:tc>
        <w:tc>
          <w:tcPr>
            <w:tcW w:w="1083" w:type="dxa"/>
            <w:vAlign w:val="center"/>
          </w:tcPr>
          <w:p w14:paraId="56462BA3" w14:textId="3F195A28" w:rsidR="00E91DB4" w:rsidRPr="001F535A" w:rsidRDefault="00E91DB4" w:rsidP="00E91DB4">
            <w:pPr>
              <w:pStyle w:val="NormalWeb"/>
              <w:jc w:val="both"/>
            </w:pPr>
            <w:r w:rsidRPr="001F535A">
              <w:rPr>
                <w:lang w:bidi="ar"/>
              </w:rPr>
              <w:t>Risk Level</w:t>
            </w:r>
          </w:p>
        </w:tc>
        <w:tc>
          <w:tcPr>
            <w:tcW w:w="1309" w:type="dxa"/>
            <w:vAlign w:val="center"/>
          </w:tcPr>
          <w:p w14:paraId="5D04EED2" w14:textId="60EBE307" w:rsidR="00E91DB4" w:rsidRPr="001F535A" w:rsidRDefault="00E91DB4" w:rsidP="00E91DB4">
            <w:pPr>
              <w:pStyle w:val="NormalWeb"/>
              <w:jc w:val="both"/>
            </w:pPr>
            <w:r w:rsidRPr="001F535A">
              <w:rPr>
                <w:lang w:bidi="ar"/>
              </w:rPr>
              <w:t>Treatment Plan</w:t>
            </w:r>
          </w:p>
        </w:tc>
      </w:tr>
      <w:tr w:rsidR="004524AD" w:rsidRPr="001F535A" w14:paraId="70A96D22" w14:textId="77777777" w:rsidTr="004524AD">
        <w:trPr>
          <w:trHeight w:val="759"/>
        </w:trPr>
        <w:tc>
          <w:tcPr>
            <w:tcW w:w="811" w:type="dxa"/>
            <w:vAlign w:val="center"/>
          </w:tcPr>
          <w:p w14:paraId="4D25E913" w14:textId="1847F5D8" w:rsidR="00E91DB4" w:rsidRPr="001F535A" w:rsidRDefault="00E91DB4" w:rsidP="00E91DB4">
            <w:pPr>
              <w:pStyle w:val="NormalWeb"/>
              <w:jc w:val="both"/>
            </w:pPr>
            <w:r w:rsidRPr="001F535A">
              <w:rPr>
                <w:lang w:bidi="ar"/>
              </w:rPr>
              <w:t>R-01</w:t>
            </w:r>
          </w:p>
        </w:tc>
        <w:tc>
          <w:tcPr>
            <w:tcW w:w="1509" w:type="dxa"/>
            <w:vAlign w:val="center"/>
          </w:tcPr>
          <w:p w14:paraId="426B5199" w14:textId="01A0F959" w:rsidR="00E91DB4" w:rsidRPr="001F535A" w:rsidRDefault="00E91DB4" w:rsidP="00E91DB4">
            <w:pPr>
              <w:pStyle w:val="NormalWeb"/>
              <w:jc w:val="both"/>
            </w:pPr>
            <w:r w:rsidRPr="001F535A">
              <w:rPr>
                <w:lang w:bidi="ar"/>
              </w:rPr>
              <w:t>Customer PII</w:t>
            </w:r>
          </w:p>
        </w:tc>
        <w:tc>
          <w:tcPr>
            <w:tcW w:w="1856" w:type="dxa"/>
            <w:vAlign w:val="center"/>
          </w:tcPr>
          <w:p w14:paraId="2A26304D" w14:textId="2EC026A4" w:rsidR="00E91DB4" w:rsidRPr="001F535A" w:rsidRDefault="00E91DB4" w:rsidP="00E91DB4">
            <w:pPr>
              <w:pStyle w:val="NormalWeb"/>
              <w:jc w:val="both"/>
            </w:pPr>
            <w:r w:rsidRPr="001F535A">
              <w:rPr>
                <w:lang w:bidi="ar"/>
              </w:rPr>
              <w:t>Cloud misconfiguration</w:t>
            </w:r>
          </w:p>
        </w:tc>
        <w:tc>
          <w:tcPr>
            <w:tcW w:w="1324" w:type="dxa"/>
            <w:vAlign w:val="center"/>
          </w:tcPr>
          <w:p w14:paraId="1617CC06" w14:textId="5DCABC0A" w:rsidR="00E91DB4" w:rsidRPr="001F535A" w:rsidRDefault="00E91DB4" w:rsidP="00E91DB4">
            <w:pPr>
              <w:pStyle w:val="NormalWeb"/>
              <w:jc w:val="both"/>
            </w:pPr>
            <w:r w:rsidRPr="001F535A">
              <w:rPr>
                <w:lang w:bidi="ar"/>
              </w:rPr>
              <w:t>Likely</w:t>
            </w:r>
          </w:p>
        </w:tc>
        <w:tc>
          <w:tcPr>
            <w:tcW w:w="1430" w:type="dxa"/>
          </w:tcPr>
          <w:p w14:paraId="29FAB1B0" w14:textId="77777777" w:rsidR="00E91DB4" w:rsidRPr="001F535A" w:rsidRDefault="00E91DB4" w:rsidP="00E91DB4">
            <w:pPr>
              <w:pStyle w:val="NormalWeb"/>
              <w:jc w:val="both"/>
            </w:pPr>
          </w:p>
        </w:tc>
        <w:tc>
          <w:tcPr>
            <w:tcW w:w="1083" w:type="dxa"/>
          </w:tcPr>
          <w:p w14:paraId="117F668F" w14:textId="39FC4530" w:rsidR="00E91DB4" w:rsidRPr="001F535A" w:rsidRDefault="00E91DB4" w:rsidP="00E91DB4">
            <w:pPr>
              <w:pStyle w:val="NormalWeb"/>
              <w:jc w:val="both"/>
            </w:pPr>
            <w:r w:rsidRPr="001F535A">
              <w:rPr>
                <w:lang w:bidi="ar"/>
              </w:rPr>
              <w:t>Extreme</w:t>
            </w:r>
          </w:p>
        </w:tc>
        <w:tc>
          <w:tcPr>
            <w:tcW w:w="1309" w:type="dxa"/>
          </w:tcPr>
          <w:p w14:paraId="5F8E4993" w14:textId="11820B67" w:rsidR="00E91DB4" w:rsidRPr="001F535A" w:rsidRDefault="00E91DB4" w:rsidP="00E91DB4">
            <w:pPr>
              <w:pStyle w:val="NormalWeb"/>
              <w:jc w:val="both"/>
            </w:pPr>
            <w:r w:rsidRPr="001F535A">
              <w:rPr>
                <w:lang w:bidi="ar"/>
              </w:rPr>
              <w:t>CSPM tool automated scanning</w:t>
            </w:r>
          </w:p>
        </w:tc>
      </w:tr>
      <w:tr w:rsidR="004524AD" w:rsidRPr="001F535A" w14:paraId="093425DE" w14:textId="77777777" w:rsidTr="004524AD">
        <w:trPr>
          <w:trHeight w:val="1022"/>
        </w:trPr>
        <w:tc>
          <w:tcPr>
            <w:tcW w:w="811" w:type="dxa"/>
            <w:vAlign w:val="center"/>
          </w:tcPr>
          <w:p w14:paraId="2ECC9E4C" w14:textId="221E6F73" w:rsidR="00E91DB4" w:rsidRPr="001F535A" w:rsidRDefault="00E91DB4" w:rsidP="00E91DB4">
            <w:pPr>
              <w:pStyle w:val="NormalWeb"/>
              <w:jc w:val="both"/>
            </w:pPr>
            <w:r w:rsidRPr="001F535A">
              <w:rPr>
                <w:lang w:bidi="ar"/>
              </w:rPr>
              <w:t>R-02</w:t>
            </w:r>
          </w:p>
        </w:tc>
        <w:tc>
          <w:tcPr>
            <w:tcW w:w="1509" w:type="dxa"/>
            <w:vAlign w:val="center"/>
          </w:tcPr>
          <w:p w14:paraId="7AE1A7A4" w14:textId="421DD67D" w:rsidR="00E91DB4" w:rsidRPr="001F535A" w:rsidRDefault="00E91DB4" w:rsidP="00E91DB4">
            <w:pPr>
              <w:pStyle w:val="NormalWeb"/>
              <w:jc w:val="both"/>
            </w:pPr>
            <w:r w:rsidRPr="001F535A">
              <w:rPr>
                <w:lang w:bidi="ar"/>
              </w:rPr>
              <w:t>BYOD laptops</w:t>
            </w:r>
          </w:p>
        </w:tc>
        <w:tc>
          <w:tcPr>
            <w:tcW w:w="1856" w:type="dxa"/>
          </w:tcPr>
          <w:p w14:paraId="3DE93D35" w14:textId="36E10C7B" w:rsidR="00E91DB4" w:rsidRPr="001F535A" w:rsidRDefault="00E91DB4" w:rsidP="00E91DB4">
            <w:pPr>
              <w:pStyle w:val="NormalWeb"/>
              <w:jc w:val="both"/>
            </w:pPr>
            <w:r w:rsidRPr="001F535A">
              <w:rPr>
                <w:lang w:bidi="ar"/>
              </w:rPr>
              <w:t>Malware via phishing</w:t>
            </w:r>
          </w:p>
        </w:tc>
        <w:tc>
          <w:tcPr>
            <w:tcW w:w="1324" w:type="dxa"/>
            <w:vAlign w:val="center"/>
          </w:tcPr>
          <w:p w14:paraId="37DDF332" w14:textId="302381E5" w:rsidR="00E91DB4" w:rsidRPr="001F535A" w:rsidRDefault="00E91DB4" w:rsidP="00E91DB4">
            <w:pPr>
              <w:pStyle w:val="NormalWeb"/>
              <w:jc w:val="both"/>
            </w:pPr>
            <w:r w:rsidRPr="001F535A">
              <w:rPr>
                <w:lang w:bidi="ar"/>
              </w:rPr>
              <w:t>Likely</w:t>
            </w:r>
          </w:p>
        </w:tc>
        <w:tc>
          <w:tcPr>
            <w:tcW w:w="1430" w:type="dxa"/>
          </w:tcPr>
          <w:p w14:paraId="58C78FF1" w14:textId="45C920B4" w:rsidR="00E91DB4" w:rsidRPr="001F535A" w:rsidRDefault="00E91DB4" w:rsidP="00E91DB4">
            <w:pPr>
              <w:pStyle w:val="NormalWeb"/>
              <w:jc w:val="both"/>
            </w:pPr>
            <w:r w:rsidRPr="001F535A">
              <w:rPr>
                <w:lang w:bidi="ar"/>
              </w:rPr>
              <w:t>Major</w:t>
            </w:r>
          </w:p>
        </w:tc>
        <w:tc>
          <w:tcPr>
            <w:tcW w:w="1083" w:type="dxa"/>
          </w:tcPr>
          <w:p w14:paraId="7AE9F507" w14:textId="69BC1358" w:rsidR="00E91DB4" w:rsidRPr="001F535A" w:rsidRDefault="00E91DB4" w:rsidP="00E91DB4">
            <w:pPr>
              <w:pStyle w:val="NormalWeb"/>
              <w:jc w:val="both"/>
            </w:pPr>
            <w:r w:rsidRPr="001F535A">
              <w:rPr>
                <w:lang w:bidi="ar"/>
              </w:rPr>
              <w:t>High</w:t>
            </w:r>
          </w:p>
        </w:tc>
        <w:tc>
          <w:tcPr>
            <w:tcW w:w="1309" w:type="dxa"/>
            <w:vAlign w:val="center"/>
          </w:tcPr>
          <w:p w14:paraId="7C69FDA2" w14:textId="5E793B3D" w:rsidR="00E91DB4" w:rsidRPr="001F535A" w:rsidRDefault="00E91DB4" w:rsidP="00E91DB4">
            <w:pPr>
              <w:pStyle w:val="NormalWeb"/>
              <w:jc w:val="both"/>
            </w:pPr>
            <w:r w:rsidRPr="001F535A">
              <w:rPr>
                <w:lang w:bidi="ar"/>
              </w:rPr>
              <w:t>MDM + EDR + mandatory training</w:t>
            </w:r>
          </w:p>
        </w:tc>
      </w:tr>
      <w:tr w:rsidR="004524AD" w:rsidRPr="001F535A" w14:paraId="6F45AF7B" w14:textId="77777777" w:rsidTr="004524AD">
        <w:trPr>
          <w:trHeight w:val="769"/>
        </w:trPr>
        <w:tc>
          <w:tcPr>
            <w:tcW w:w="811" w:type="dxa"/>
          </w:tcPr>
          <w:p w14:paraId="309D6C6C" w14:textId="35A02C6E" w:rsidR="00E91DB4" w:rsidRPr="001F535A" w:rsidRDefault="00E91DB4" w:rsidP="00E91DB4">
            <w:pPr>
              <w:pStyle w:val="NormalWeb"/>
              <w:jc w:val="both"/>
            </w:pPr>
            <w:r w:rsidRPr="001F535A">
              <w:rPr>
                <w:lang w:bidi="ar"/>
              </w:rPr>
              <w:t>R-03</w:t>
            </w:r>
          </w:p>
        </w:tc>
        <w:tc>
          <w:tcPr>
            <w:tcW w:w="1509" w:type="dxa"/>
            <w:vAlign w:val="center"/>
          </w:tcPr>
          <w:p w14:paraId="22553C9C" w14:textId="5720A8EE" w:rsidR="00E91DB4" w:rsidRPr="001F535A" w:rsidRDefault="00E91DB4" w:rsidP="00E91DB4">
            <w:pPr>
              <w:pStyle w:val="NormalWeb"/>
              <w:jc w:val="both"/>
            </w:pPr>
            <w:r w:rsidRPr="001F535A">
              <w:rPr>
                <w:lang w:bidi="ar"/>
              </w:rPr>
              <w:t>Cloud infrastructure</w:t>
            </w:r>
          </w:p>
        </w:tc>
        <w:tc>
          <w:tcPr>
            <w:tcW w:w="1856" w:type="dxa"/>
            <w:vAlign w:val="center"/>
          </w:tcPr>
          <w:p w14:paraId="3B02EA30" w14:textId="1E711C73" w:rsidR="00E91DB4" w:rsidRPr="001F535A" w:rsidRDefault="00E91DB4" w:rsidP="00E91DB4">
            <w:pPr>
              <w:pStyle w:val="NormalWeb"/>
              <w:jc w:val="both"/>
            </w:pPr>
            <w:r w:rsidRPr="001F535A">
              <w:rPr>
                <w:lang w:bidi="ar"/>
              </w:rPr>
              <w:t>Supply-chain attack</w:t>
            </w:r>
          </w:p>
        </w:tc>
        <w:tc>
          <w:tcPr>
            <w:tcW w:w="1324" w:type="dxa"/>
          </w:tcPr>
          <w:p w14:paraId="79DF1225" w14:textId="684E1C6C" w:rsidR="00E91DB4" w:rsidRPr="001F535A" w:rsidRDefault="00E91DB4" w:rsidP="00E91DB4">
            <w:pPr>
              <w:pStyle w:val="NormalWeb"/>
              <w:jc w:val="both"/>
            </w:pPr>
            <w:r w:rsidRPr="001F535A">
              <w:rPr>
                <w:lang w:bidi="ar"/>
              </w:rPr>
              <w:t>Possible</w:t>
            </w:r>
          </w:p>
        </w:tc>
        <w:tc>
          <w:tcPr>
            <w:tcW w:w="1430" w:type="dxa"/>
          </w:tcPr>
          <w:p w14:paraId="7DC8060E" w14:textId="0D289B52" w:rsidR="00E91DB4" w:rsidRPr="001F535A" w:rsidRDefault="00E91DB4" w:rsidP="00E91DB4">
            <w:pPr>
              <w:pStyle w:val="NormalWeb"/>
              <w:jc w:val="both"/>
            </w:pPr>
            <w:r w:rsidRPr="001F535A">
              <w:rPr>
                <w:lang w:bidi="ar"/>
              </w:rPr>
              <w:t>Catastrophic</w:t>
            </w:r>
          </w:p>
        </w:tc>
        <w:tc>
          <w:tcPr>
            <w:tcW w:w="1083" w:type="dxa"/>
          </w:tcPr>
          <w:p w14:paraId="7D9D4796" w14:textId="62500F07" w:rsidR="00E91DB4" w:rsidRPr="001F535A" w:rsidRDefault="00E91DB4" w:rsidP="00E91DB4">
            <w:pPr>
              <w:pStyle w:val="NormalWeb"/>
              <w:jc w:val="both"/>
            </w:pPr>
            <w:r w:rsidRPr="001F535A">
              <w:rPr>
                <w:lang w:bidi="ar"/>
              </w:rPr>
              <w:t>High</w:t>
            </w:r>
          </w:p>
        </w:tc>
        <w:tc>
          <w:tcPr>
            <w:tcW w:w="1309" w:type="dxa"/>
          </w:tcPr>
          <w:p w14:paraId="15D0331D" w14:textId="5E6AF005" w:rsidR="00E91DB4" w:rsidRPr="001F535A" w:rsidRDefault="00E91DB4" w:rsidP="00E91DB4">
            <w:pPr>
              <w:pStyle w:val="NormalWeb"/>
              <w:jc w:val="both"/>
            </w:pPr>
            <w:r w:rsidRPr="001F535A">
              <w:rPr>
                <w:lang w:bidi="ar"/>
              </w:rPr>
              <w:t>Vendor audits + zero-trust</w:t>
            </w:r>
          </w:p>
        </w:tc>
      </w:tr>
    </w:tbl>
    <w:p w14:paraId="796A7B35" w14:textId="77777777" w:rsidR="00E7600F" w:rsidRPr="001F535A" w:rsidRDefault="00000000">
      <w:pPr>
        <w:pStyle w:val="NormalWeb"/>
        <w:jc w:val="both"/>
      </w:pPr>
      <w:r w:rsidRPr="001F535A">
        <w:t xml:space="preserve">All extreme and high risks receive immediate treatment plans with assigned owners, deadlines and residual-risk acceptance only after SSC approval. Low risks are monitored. </w:t>
      </w:r>
    </w:p>
    <w:p w14:paraId="05059BF7" w14:textId="77777777" w:rsidR="00E7600F" w:rsidRPr="001F535A" w:rsidRDefault="00000000" w:rsidP="00BC34D7">
      <w:pPr>
        <w:pStyle w:val="Heading1"/>
        <w:rPr>
          <w:b w:val="0"/>
          <w:bCs/>
          <w:color w:val="4F81BD" w:themeColor="accent1"/>
          <w:sz w:val="32"/>
          <w:szCs w:val="32"/>
        </w:rPr>
      </w:pPr>
      <w:bookmarkStart w:id="19" w:name="_Toc227408791"/>
      <w:r w:rsidRPr="001F535A">
        <w:rPr>
          <w:rStyle w:val="Strong"/>
          <w:b/>
          <w:bCs w:val="0"/>
          <w:color w:val="4F81BD" w:themeColor="accent1"/>
          <w:sz w:val="32"/>
          <w:szCs w:val="32"/>
        </w:rPr>
        <w:t>Task 4: Conclusion</w:t>
      </w:r>
      <w:bookmarkEnd w:id="19"/>
      <w:r w:rsidRPr="001F535A">
        <w:rPr>
          <w:b w:val="0"/>
          <w:bCs/>
          <w:color w:val="4F81BD" w:themeColor="accent1"/>
          <w:sz w:val="32"/>
          <w:szCs w:val="32"/>
        </w:rPr>
        <w:t xml:space="preserve"> </w:t>
      </w:r>
    </w:p>
    <w:p w14:paraId="024A21FE" w14:textId="6A1174D0" w:rsidR="00343820" w:rsidRPr="00343820" w:rsidRDefault="00343820" w:rsidP="00343820">
      <w:pPr>
        <w:pStyle w:val="Normal1"/>
        <w:jc w:val="both"/>
        <w:rPr>
          <w:rFonts w:ascii="Times New Roman" w:hAnsi="Times New Roman" w:cs="Times New Roman"/>
          <w:lang w:val="en-IN"/>
        </w:rPr>
      </w:pPr>
      <w:r w:rsidRPr="00343820">
        <w:rPr>
          <w:rFonts w:ascii="Times New Roman" w:hAnsi="Times New Roman" w:cs="Times New Roman"/>
          <w:lang w:val="en-IN"/>
        </w:rPr>
        <w:t xml:space="preserve">The framework also places strong focus on employee awareness and training. A major reason for security incidents in organisations is human error, such as clicking on phishing links, using weak passwords, or mishandling sensitive data. Regular training sessions help employees understand these risks in a simple way and teach them how to respond correctly. Over time, this reduces mistakes and helps create a stronger security-aware culture across </w:t>
      </w:r>
      <w:proofErr w:type="spellStart"/>
      <w:r w:rsidRPr="00343820">
        <w:rPr>
          <w:rFonts w:ascii="Times New Roman" w:hAnsi="Times New Roman" w:cs="Times New Roman"/>
          <w:lang w:val="en-IN"/>
        </w:rPr>
        <w:t>FinSure</w:t>
      </w:r>
      <w:proofErr w:type="spellEnd"/>
      <w:r w:rsidRPr="00343820">
        <w:rPr>
          <w:rFonts w:ascii="Times New Roman" w:hAnsi="Times New Roman" w:cs="Times New Roman"/>
          <w:lang w:val="en-IN"/>
        </w:rPr>
        <w:t xml:space="preserve"> Bank [1], [2].</w:t>
      </w:r>
      <w:r w:rsidRPr="001F535A">
        <w:rPr>
          <w:rFonts w:ascii="Times New Roman" w:hAnsi="Times New Roman" w:cs="Times New Roman"/>
          <w:lang w:val="en-IN"/>
        </w:rPr>
        <w:t xml:space="preserve"> </w:t>
      </w:r>
      <w:r w:rsidRPr="00343820">
        <w:rPr>
          <w:rFonts w:ascii="Times New Roman" w:hAnsi="Times New Roman" w:cs="Times New Roman"/>
          <w:lang w:val="en-IN"/>
        </w:rPr>
        <w:t xml:space="preserve">Another important part is incident response. The framework defines a clear process for handling security </w:t>
      </w:r>
      <w:proofErr w:type="gramStart"/>
      <w:r w:rsidRPr="00343820">
        <w:rPr>
          <w:rFonts w:ascii="Times New Roman" w:hAnsi="Times New Roman" w:cs="Times New Roman"/>
          <w:lang w:val="en-IN"/>
        </w:rPr>
        <w:t>incidents</w:t>
      </w:r>
      <w:proofErr w:type="gramEnd"/>
      <w:r w:rsidRPr="00343820">
        <w:rPr>
          <w:rFonts w:ascii="Times New Roman" w:hAnsi="Times New Roman" w:cs="Times New Roman"/>
          <w:lang w:val="en-IN"/>
        </w:rPr>
        <w:t xml:space="preserve"> so the organisation does not react in an unplanned way. When an incident happens, it is first identified and reported, then contained to stop further damage. After that, the issue is analysed and fixed, and normal services are restored. Having clear roles and responsibilities helps teams act quickly without confusion, which reduces downtime and financial impact [3].</w:t>
      </w:r>
      <w:r w:rsidRPr="001F535A">
        <w:rPr>
          <w:rFonts w:ascii="Times New Roman" w:hAnsi="Times New Roman" w:cs="Times New Roman"/>
          <w:lang w:val="en-IN"/>
        </w:rPr>
        <w:t xml:space="preserve"> </w:t>
      </w:r>
      <w:r w:rsidRPr="00343820">
        <w:rPr>
          <w:rFonts w:ascii="Times New Roman" w:hAnsi="Times New Roman" w:cs="Times New Roman"/>
          <w:lang w:val="en-IN"/>
        </w:rPr>
        <w:t xml:space="preserve">The approach also improves monitoring and reporting. Continuous monitoring tools and regular reports help management see what is happening in the system in real time. This makes it easier to detect unusual activity early and </w:t>
      </w:r>
      <w:proofErr w:type="gramStart"/>
      <w:r w:rsidRPr="00343820">
        <w:rPr>
          <w:rFonts w:ascii="Times New Roman" w:hAnsi="Times New Roman" w:cs="Times New Roman"/>
          <w:lang w:val="en-IN"/>
        </w:rPr>
        <w:t>take action</w:t>
      </w:r>
      <w:proofErr w:type="gramEnd"/>
      <w:r w:rsidRPr="00343820">
        <w:rPr>
          <w:rFonts w:ascii="Times New Roman" w:hAnsi="Times New Roman" w:cs="Times New Roman"/>
          <w:lang w:val="en-IN"/>
        </w:rPr>
        <w:t xml:space="preserve"> before it becomes a serious problem. It also supports better decision-making because managers have clear information about risks and system performance [4].</w:t>
      </w:r>
      <w:r w:rsidRPr="001F535A">
        <w:rPr>
          <w:rFonts w:ascii="Times New Roman" w:hAnsi="Times New Roman" w:cs="Times New Roman"/>
          <w:lang w:val="en-IN"/>
        </w:rPr>
        <w:t xml:space="preserve"> </w:t>
      </w:r>
      <w:r w:rsidRPr="00343820">
        <w:rPr>
          <w:rFonts w:ascii="Times New Roman" w:hAnsi="Times New Roman" w:cs="Times New Roman"/>
          <w:lang w:val="en-IN"/>
        </w:rPr>
        <w:t>Continuous improvement is another key element. Security is not treated as a one-time setup but as an ongoing process. Controls are reviewed regularly through audits, testing, and feedback from real incidents. Updates are made based on new threats, business changes, and regulatory requirements. This helps the organisation stay prepared for new types of cyberattacks instead of relying on outdated protections [1], [4].</w:t>
      </w:r>
      <w:r w:rsidRPr="001F535A">
        <w:rPr>
          <w:rFonts w:ascii="Times New Roman" w:hAnsi="Times New Roman" w:cs="Times New Roman"/>
          <w:lang w:val="en-IN"/>
        </w:rPr>
        <w:t xml:space="preserve"> </w:t>
      </w:r>
      <w:r w:rsidRPr="00343820">
        <w:rPr>
          <w:rFonts w:ascii="Times New Roman" w:hAnsi="Times New Roman" w:cs="Times New Roman"/>
          <w:lang w:val="en-IN"/>
        </w:rPr>
        <w:t xml:space="preserve">Overall, combining ISO/IEC 27001 with ITIL 4 helps </w:t>
      </w:r>
      <w:proofErr w:type="spellStart"/>
      <w:r w:rsidRPr="00343820">
        <w:rPr>
          <w:rFonts w:ascii="Times New Roman" w:hAnsi="Times New Roman" w:cs="Times New Roman"/>
          <w:lang w:val="en-IN"/>
        </w:rPr>
        <w:t>FinSure</w:t>
      </w:r>
      <w:proofErr w:type="spellEnd"/>
      <w:r w:rsidRPr="00343820">
        <w:rPr>
          <w:rFonts w:ascii="Times New Roman" w:hAnsi="Times New Roman" w:cs="Times New Roman"/>
          <w:lang w:val="en-IN"/>
        </w:rPr>
        <w:t xml:space="preserve"> Bank manage security in a structured and practical way. It connects governance with daily IT operations, improves coordination between departments, and ensures that risks are handled properly. This leads to better protection of sensitive financial data, improved service reliability, and stronger trust from customers, regulators, and stakeholders [2], [4].</w:t>
      </w:r>
    </w:p>
    <w:p w14:paraId="7E088836" w14:textId="77777777" w:rsidR="00343820" w:rsidRPr="001F535A" w:rsidRDefault="00343820" w:rsidP="00343820">
      <w:pPr>
        <w:pStyle w:val="Normal1"/>
        <w:rPr>
          <w:rFonts w:ascii="Times New Roman" w:hAnsi="Times New Roman" w:cs="Times New Roman"/>
        </w:rPr>
      </w:pPr>
    </w:p>
    <w:p w14:paraId="7565D861" w14:textId="33B680D7" w:rsidR="004524AD" w:rsidRPr="001F535A" w:rsidRDefault="00A840F8">
      <w:pPr>
        <w:pStyle w:val="NormalWeb"/>
        <w:jc w:val="both"/>
        <w:rPr>
          <w:lang w:val="en-IN"/>
        </w:rPr>
      </w:pPr>
      <w:r w:rsidRPr="001F535A">
        <w:rPr>
          <w:noProof/>
          <w:lang w:val="en-IN"/>
        </w:rPr>
        <w:drawing>
          <wp:inline distT="0" distB="0" distL="0" distR="0" wp14:anchorId="5263A23E" wp14:editId="7F0C632C">
            <wp:extent cx="5943600" cy="3343275"/>
            <wp:effectExtent l="0" t="0" r="0" b="9525"/>
            <wp:docPr id="1449397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97784" name="Picture 144939778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83DA441" w14:textId="77777777" w:rsidR="00E7600F" w:rsidRPr="001F535A" w:rsidRDefault="00000000" w:rsidP="00BC34D7">
      <w:pPr>
        <w:pStyle w:val="Heading1"/>
        <w:rPr>
          <w:b w:val="0"/>
          <w:sz w:val="32"/>
          <w:szCs w:val="32"/>
        </w:rPr>
      </w:pPr>
      <w:bookmarkStart w:id="20" w:name="_Toc227408792"/>
      <w:r w:rsidRPr="001F535A">
        <w:rPr>
          <w:rStyle w:val="Strong"/>
          <w:b/>
          <w:color w:val="4F81BD" w:themeColor="accent1"/>
          <w:sz w:val="32"/>
          <w:szCs w:val="32"/>
        </w:rPr>
        <w:t>Task 5: References</w:t>
      </w:r>
      <w:bookmarkEnd w:id="20"/>
      <w:r w:rsidRPr="001F535A">
        <w:rPr>
          <w:b w:val="0"/>
          <w:sz w:val="32"/>
          <w:szCs w:val="32"/>
        </w:rPr>
        <w:t xml:space="preserve"> </w:t>
      </w:r>
    </w:p>
    <w:p w14:paraId="115361DF" w14:textId="497FA500" w:rsidR="004524AD" w:rsidRPr="001F535A" w:rsidRDefault="004524AD" w:rsidP="004524AD">
      <w:pPr>
        <w:pStyle w:val="Normal1"/>
        <w:spacing w:line="360" w:lineRule="auto"/>
        <w:jc w:val="both"/>
        <w:rPr>
          <w:rFonts w:ascii="Times New Roman" w:eastAsia="Times New Roman" w:hAnsi="Times New Roman" w:cs="Times New Roman"/>
          <w:sz w:val="24"/>
          <w:szCs w:val="24"/>
          <w:lang w:val="en-IN"/>
        </w:rPr>
      </w:pPr>
      <w:r w:rsidRPr="001F535A">
        <w:rPr>
          <w:rFonts w:ascii="Times New Roman" w:eastAsia="Times New Roman" w:hAnsi="Times New Roman" w:cs="Times New Roman"/>
          <w:sz w:val="24"/>
          <w:szCs w:val="24"/>
          <w:lang w:val="en-IN"/>
        </w:rPr>
        <w:t xml:space="preserve">[1] I. Lee, “Big data: Dimensions, evolution, impacts, and challenges,” Business Horizons, 2017.  </w:t>
      </w:r>
      <w:r w:rsidRPr="001F535A">
        <w:rPr>
          <w:rFonts w:ascii="Times New Roman" w:eastAsia="Times New Roman" w:hAnsi="Times New Roman" w:cs="Times New Roman"/>
          <w:sz w:val="24"/>
          <w:szCs w:val="24"/>
          <w:lang w:val="en-IN"/>
        </w:rPr>
        <w:br/>
        <w:t>https://doi.org/10.1016/j.bushor.2017.01.004</w:t>
      </w:r>
      <w:r w:rsidRPr="001F535A">
        <w:rPr>
          <w:rFonts w:ascii="Times New Roman" w:eastAsia="Times New Roman" w:hAnsi="Times New Roman" w:cs="Times New Roman"/>
          <w:sz w:val="24"/>
          <w:szCs w:val="24"/>
          <w:lang w:val="en-IN"/>
        </w:rPr>
        <w:br/>
        <w:t xml:space="preserve">[4] S. Khatri and C. V. Brown, “Designing data governance,” Communications of the ACM, 2010.  </w:t>
      </w:r>
      <w:r w:rsidRPr="001F535A">
        <w:rPr>
          <w:rFonts w:ascii="Times New Roman" w:eastAsia="Times New Roman" w:hAnsi="Times New Roman" w:cs="Times New Roman"/>
          <w:sz w:val="24"/>
          <w:szCs w:val="24"/>
          <w:lang w:val="en-IN"/>
        </w:rPr>
        <w:br/>
        <w:t>https://doi.org/10.1145/1629175.1629210</w:t>
      </w:r>
      <w:r w:rsidRPr="001F535A">
        <w:rPr>
          <w:rFonts w:ascii="Times New Roman" w:eastAsia="Times New Roman" w:hAnsi="Times New Roman" w:cs="Times New Roman"/>
          <w:sz w:val="24"/>
          <w:szCs w:val="24"/>
          <w:lang w:val="en-IN"/>
        </w:rPr>
        <w:br/>
        <w:t xml:space="preserve">[5] European Union, “General Data Protection Regulation (GDPR),” 2016.  </w:t>
      </w:r>
      <w:r w:rsidRPr="001F535A">
        <w:rPr>
          <w:rFonts w:ascii="Times New Roman" w:eastAsia="Times New Roman" w:hAnsi="Times New Roman" w:cs="Times New Roman"/>
          <w:sz w:val="24"/>
          <w:szCs w:val="24"/>
          <w:lang w:val="en-IN"/>
        </w:rPr>
        <w:br/>
        <w:t>https://eur-lex.europa.eu/eli/reg/2016/679/oj</w:t>
      </w:r>
      <w:r w:rsidRPr="001F535A">
        <w:rPr>
          <w:rFonts w:ascii="Times New Roman" w:eastAsia="Times New Roman" w:hAnsi="Times New Roman" w:cs="Times New Roman"/>
          <w:sz w:val="24"/>
          <w:szCs w:val="24"/>
          <w:lang w:val="en-IN"/>
        </w:rPr>
        <w:br/>
        <w:t xml:space="preserve">[6] NIST, “Cybersecurity Framework (CSF) 1.1,” 2018.  </w:t>
      </w:r>
      <w:r w:rsidRPr="001F535A">
        <w:rPr>
          <w:rFonts w:ascii="Times New Roman" w:eastAsia="Times New Roman" w:hAnsi="Times New Roman" w:cs="Times New Roman"/>
          <w:sz w:val="24"/>
          <w:szCs w:val="24"/>
          <w:lang w:val="en-IN"/>
        </w:rPr>
        <w:br/>
        <w:t>https://www.nist.gov/cyberframework</w:t>
      </w:r>
      <w:r w:rsidRPr="001F535A">
        <w:rPr>
          <w:rFonts w:ascii="Times New Roman" w:eastAsia="Times New Roman" w:hAnsi="Times New Roman" w:cs="Times New Roman"/>
          <w:sz w:val="24"/>
          <w:szCs w:val="24"/>
          <w:lang w:val="en-IN"/>
        </w:rPr>
        <w:br/>
        <w:t xml:space="preserve">[7] ISO, “ISO/IEC 27005: Information Security Risk Management,” 2022 overview.  </w:t>
      </w:r>
      <w:r w:rsidRPr="001F535A">
        <w:rPr>
          <w:rFonts w:ascii="Times New Roman" w:eastAsia="Times New Roman" w:hAnsi="Times New Roman" w:cs="Times New Roman"/>
          <w:sz w:val="24"/>
          <w:szCs w:val="24"/>
          <w:lang w:val="en-IN"/>
        </w:rPr>
        <w:br/>
        <w:t>https://www.iso.org/standard/80585.html</w:t>
      </w:r>
      <w:r w:rsidRPr="001F535A">
        <w:rPr>
          <w:rFonts w:ascii="Times New Roman" w:eastAsia="Times New Roman" w:hAnsi="Times New Roman" w:cs="Times New Roman"/>
          <w:sz w:val="24"/>
          <w:szCs w:val="24"/>
          <w:lang w:val="en-IN"/>
        </w:rPr>
        <w:br/>
        <w:t xml:space="preserve">[8] ISACA, “COBIT 2019 Framework,” 2019.  </w:t>
      </w:r>
      <w:r w:rsidRPr="001F535A">
        <w:rPr>
          <w:rFonts w:ascii="Times New Roman" w:eastAsia="Times New Roman" w:hAnsi="Times New Roman" w:cs="Times New Roman"/>
          <w:sz w:val="24"/>
          <w:szCs w:val="24"/>
          <w:lang w:val="en-IN"/>
        </w:rPr>
        <w:br/>
        <w:t>https://www.isaca.org/resources/cobit</w:t>
      </w:r>
      <w:r w:rsidRPr="001F535A">
        <w:rPr>
          <w:rFonts w:ascii="Times New Roman" w:eastAsia="Times New Roman" w:hAnsi="Times New Roman" w:cs="Times New Roman"/>
          <w:sz w:val="24"/>
          <w:szCs w:val="24"/>
          <w:lang w:val="en-IN"/>
        </w:rPr>
        <w:br/>
        <w:t xml:space="preserve">[9] A. Abbas et al., “Data governance and data quality,” IEEE Access, 2018.  </w:t>
      </w:r>
      <w:r w:rsidRPr="001F535A">
        <w:rPr>
          <w:rFonts w:ascii="Times New Roman" w:eastAsia="Times New Roman" w:hAnsi="Times New Roman" w:cs="Times New Roman"/>
          <w:sz w:val="24"/>
          <w:szCs w:val="24"/>
          <w:lang w:val="en-IN"/>
        </w:rPr>
        <w:br/>
        <w:t>https://ieeexplore.ieee.org/document/8383613</w:t>
      </w:r>
      <w:r w:rsidRPr="001F535A">
        <w:rPr>
          <w:rFonts w:ascii="Times New Roman" w:eastAsia="Times New Roman" w:hAnsi="Times New Roman" w:cs="Times New Roman"/>
          <w:sz w:val="24"/>
          <w:szCs w:val="24"/>
          <w:lang w:val="en-IN"/>
        </w:rPr>
        <w:br/>
      </w:r>
      <w:r w:rsidRPr="001F535A">
        <w:rPr>
          <w:rFonts w:ascii="Times New Roman" w:eastAsia="Times New Roman" w:hAnsi="Times New Roman" w:cs="Times New Roman"/>
          <w:sz w:val="24"/>
          <w:szCs w:val="24"/>
          <w:lang w:val="en-IN"/>
        </w:rPr>
        <w:lastRenderedPageBreak/>
        <w:t xml:space="preserve">[11] P. </w:t>
      </w:r>
      <w:proofErr w:type="spellStart"/>
      <w:r w:rsidRPr="001F535A">
        <w:rPr>
          <w:rFonts w:ascii="Times New Roman" w:eastAsia="Times New Roman" w:hAnsi="Times New Roman" w:cs="Times New Roman"/>
          <w:sz w:val="24"/>
          <w:szCs w:val="24"/>
          <w:lang w:val="en-IN"/>
        </w:rPr>
        <w:t>Samarati</w:t>
      </w:r>
      <w:proofErr w:type="spellEnd"/>
      <w:r w:rsidRPr="001F535A">
        <w:rPr>
          <w:rFonts w:ascii="Times New Roman" w:eastAsia="Times New Roman" w:hAnsi="Times New Roman" w:cs="Times New Roman"/>
          <w:sz w:val="24"/>
          <w:szCs w:val="24"/>
          <w:lang w:val="en-IN"/>
        </w:rPr>
        <w:t xml:space="preserve"> and S. De Capitani di </w:t>
      </w:r>
      <w:proofErr w:type="spellStart"/>
      <w:r w:rsidRPr="001F535A">
        <w:rPr>
          <w:rFonts w:ascii="Times New Roman" w:eastAsia="Times New Roman" w:hAnsi="Times New Roman" w:cs="Times New Roman"/>
          <w:sz w:val="24"/>
          <w:szCs w:val="24"/>
          <w:lang w:val="en-IN"/>
        </w:rPr>
        <w:t>Vimercati</w:t>
      </w:r>
      <w:proofErr w:type="spellEnd"/>
      <w:r w:rsidRPr="001F535A">
        <w:rPr>
          <w:rFonts w:ascii="Times New Roman" w:eastAsia="Times New Roman" w:hAnsi="Times New Roman" w:cs="Times New Roman"/>
          <w:sz w:val="24"/>
          <w:szCs w:val="24"/>
          <w:lang w:val="en-IN"/>
        </w:rPr>
        <w:t>, “Data protection in outsourcing scenarios,” ACM CCS.  https://doi.org/10.1145/2046707.2046711</w:t>
      </w:r>
      <w:r w:rsidRPr="001F535A">
        <w:rPr>
          <w:rFonts w:ascii="Times New Roman" w:eastAsia="Times New Roman" w:hAnsi="Times New Roman" w:cs="Times New Roman"/>
          <w:sz w:val="24"/>
          <w:szCs w:val="24"/>
          <w:lang w:val="en-IN"/>
        </w:rPr>
        <w:br/>
        <w:t xml:space="preserve">[12] A. Cavoukian, “Privacy by Design Principles,” 2011.  </w:t>
      </w:r>
      <w:r w:rsidRPr="001F535A">
        <w:rPr>
          <w:rFonts w:ascii="Times New Roman" w:eastAsia="Times New Roman" w:hAnsi="Times New Roman" w:cs="Times New Roman"/>
          <w:sz w:val="24"/>
          <w:szCs w:val="24"/>
          <w:lang w:val="en-IN"/>
        </w:rPr>
        <w:br/>
        <w:t>https://www.ipc.on.ca/wp-content/uploads/Resources/7foundationalprinciples.pdf</w:t>
      </w:r>
      <w:r w:rsidRPr="001F535A">
        <w:rPr>
          <w:rFonts w:ascii="Times New Roman" w:eastAsia="Times New Roman" w:hAnsi="Times New Roman" w:cs="Times New Roman"/>
          <w:sz w:val="24"/>
          <w:szCs w:val="24"/>
          <w:lang w:val="en-IN"/>
        </w:rPr>
        <w:br/>
        <w:t xml:space="preserve">[13] World Bank, “Data governance for development,” 2021.  </w:t>
      </w:r>
      <w:r w:rsidRPr="001F535A">
        <w:rPr>
          <w:rFonts w:ascii="Times New Roman" w:eastAsia="Times New Roman" w:hAnsi="Times New Roman" w:cs="Times New Roman"/>
          <w:sz w:val="24"/>
          <w:szCs w:val="24"/>
          <w:lang w:val="en-IN"/>
        </w:rPr>
        <w:br/>
        <w:t>https://openknowledge.worldbank.org/</w:t>
      </w:r>
      <w:r w:rsidRPr="001F535A">
        <w:rPr>
          <w:rFonts w:ascii="Times New Roman" w:eastAsia="Times New Roman" w:hAnsi="Times New Roman" w:cs="Times New Roman"/>
          <w:sz w:val="24"/>
          <w:szCs w:val="24"/>
          <w:lang w:val="en-IN"/>
        </w:rPr>
        <w:br/>
        <w:t xml:space="preserve">[14] IBM Security, “Cost of a Data Breach Report 2023.”  </w:t>
      </w:r>
      <w:r w:rsidRPr="001F535A">
        <w:rPr>
          <w:rFonts w:ascii="Times New Roman" w:eastAsia="Times New Roman" w:hAnsi="Times New Roman" w:cs="Times New Roman"/>
          <w:sz w:val="24"/>
          <w:szCs w:val="24"/>
          <w:lang w:val="en-IN"/>
        </w:rPr>
        <w:br/>
        <w:t>https://www.ibm.com/reports/data-breach</w:t>
      </w:r>
      <w:r w:rsidRPr="001F535A">
        <w:rPr>
          <w:rFonts w:ascii="Times New Roman" w:eastAsia="Times New Roman" w:hAnsi="Times New Roman" w:cs="Times New Roman"/>
          <w:sz w:val="24"/>
          <w:szCs w:val="24"/>
          <w:lang w:val="en-IN"/>
        </w:rPr>
        <w:br/>
        <w:t xml:space="preserve">[15] OECD, “Privacy Guidelines,” 2013.  </w:t>
      </w:r>
      <w:r w:rsidRPr="001F535A">
        <w:rPr>
          <w:rFonts w:ascii="Times New Roman" w:eastAsia="Times New Roman" w:hAnsi="Times New Roman" w:cs="Times New Roman"/>
          <w:sz w:val="24"/>
          <w:szCs w:val="24"/>
          <w:lang w:val="en-IN"/>
        </w:rPr>
        <w:br/>
        <w:t>https://www.oecd.org/sti/ieconomy/privacy-guidelines.htm</w:t>
      </w:r>
    </w:p>
    <w:p w14:paraId="301D7682" w14:textId="77777777" w:rsidR="00E7600F" w:rsidRPr="001F535A" w:rsidRDefault="00E7600F">
      <w:pPr>
        <w:pStyle w:val="Normal1"/>
        <w:spacing w:line="360" w:lineRule="auto"/>
        <w:jc w:val="both"/>
        <w:rPr>
          <w:rFonts w:ascii="Times New Roman" w:eastAsia="Times New Roman" w:hAnsi="Times New Roman" w:cs="Times New Roman"/>
          <w:sz w:val="24"/>
          <w:szCs w:val="24"/>
        </w:rPr>
      </w:pPr>
    </w:p>
    <w:sectPr w:rsidR="00E7600F" w:rsidRPr="001F535A">
      <w:footerReference w:type="defaul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77BE1" w14:textId="77777777" w:rsidR="00C9098A" w:rsidRDefault="00C9098A">
      <w:pPr>
        <w:spacing w:line="240" w:lineRule="auto"/>
      </w:pPr>
      <w:r>
        <w:separator/>
      </w:r>
    </w:p>
  </w:endnote>
  <w:endnote w:type="continuationSeparator" w:id="0">
    <w:p w14:paraId="3DA1A81A" w14:textId="77777777" w:rsidR="00C9098A" w:rsidRDefault="00C909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488099"/>
      <w:docPartObj>
        <w:docPartGallery w:val="Page Numbers (Bottom of Page)"/>
        <w:docPartUnique/>
      </w:docPartObj>
    </w:sdtPr>
    <w:sdtEndPr>
      <w:rPr>
        <w:noProof/>
      </w:rPr>
    </w:sdtEndPr>
    <w:sdtContent>
      <w:p w14:paraId="181CC616" w14:textId="5694143C" w:rsidR="00BC34D7" w:rsidRDefault="00BC34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A5A0C" w14:textId="77777777" w:rsidR="00E7600F" w:rsidRDefault="00E76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CF784" w14:textId="77777777" w:rsidR="00C9098A" w:rsidRDefault="00C9098A">
      <w:r>
        <w:separator/>
      </w:r>
    </w:p>
  </w:footnote>
  <w:footnote w:type="continuationSeparator" w:id="0">
    <w:p w14:paraId="34DA841E" w14:textId="77777777" w:rsidR="00C9098A" w:rsidRDefault="00C909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71FC864"/>
    <w:multiLevelType w:val="multilevel"/>
    <w:tmpl w:val="A71FC864"/>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 w15:restartNumberingAfterBreak="0">
    <w:nsid w:val="C9286599"/>
    <w:multiLevelType w:val="multilevel"/>
    <w:tmpl w:val="C9286599"/>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2" w15:restartNumberingAfterBreak="0">
    <w:nsid w:val="109F4407"/>
    <w:multiLevelType w:val="multilevel"/>
    <w:tmpl w:val="E3EA3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B12D08"/>
    <w:multiLevelType w:val="multilevel"/>
    <w:tmpl w:val="AF42EEA6"/>
    <w:lvl w:ilvl="0">
      <w:start w:val="1"/>
      <w:numFmt w:val="decimal"/>
      <w:lvlText w:val="%1"/>
      <w:lvlJc w:val="left"/>
      <w:pPr>
        <w:ind w:left="480" w:hanging="480"/>
      </w:pPr>
      <w:rPr>
        <w:rFonts w:hint="default"/>
        <w:b w:val="0"/>
        <w:sz w:val="32"/>
      </w:rPr>
    </w:lvl>
    <w:lvl w:ilvl="1">
      <w:start w:val="1"/>
      <w:numFmt w:val="decimal"/>
      <w:lvlText w:val="%1.%2"/>
      <w:lvlJc w:val="left"/>
      <w:pPr>
        <w:ind w:left="480" w:hanging="480"/>
      </w:pPr>
      <w:rPr>
        <w:rFonts w:hint="default"/>
        <w:b w:val="0"/>
        <w:sz w:val="32"/>
      </w:rPr>
    </w:lvl>
    <w:lvl w:ilvl="2">
      <w:start w:val="1"/>
      <w:numFmt w:val="decimal"/>
      <w:lvlText w:val="%1.%2.%3"/>
      <w:lvlJc w:val="left"/>
      <w:pPr>
        <w:ind w:left="720" w:hanging="720"/>
      </w:pPr>
      <w:rPr>
        <w:rFonts w:hint="default"/>
        <w:b w:val="0"/>
        <w:sz w:val="32"/>
      </w:rPr>
    </w:lvl>
    <w:lvl w:ilvl="3">
      <w:start w:val="1"/>
      <w:numFmt w:val="decimal"/>
      <w:lvlText w:val="%1.%2.%3.%4"/>
      <w:lvlJc w:val="left"/>
      <w:pPr>
        <w:ind w:left="720" w:hanging="720"/>
      </w:pPr>
      <w:rPr>
        <w:rFonts w:hint="default"/>
        <w:b w:val="0"/>
        <w:sz w:val="32"/>
      </w:rPr>
    </w:lvl>
    <w:lvl w:ilvl="4">
      <w:start w:val="1"/>
      <w:numFmt w:val="decimal"/>
      <w:lvlText w:val="%1.%2.%3.%4.%5"/>
      <w:lvlJc w:val="left"/>
      <w:pPr>
        <w:ind w:left="1080" w:hanging="1080"/>
      </w:pPr>
      <w:rPr>
        <w:rFonts w:hint="default"/>
        <w:b w:val="0"/>
        <w:sz w:val="32"/>
      </w:rPr>
    </w:lvl>
    <w:lvl w:ilvl="5">
      <w:start w:val="1"/>
      <w:numFmt w:val="decimal"/>
      <w:lvlText w:val="%1.%2.%3.%4.%5.%6"/>
      <w:lvlJc w:val="left"/>
      <w:pPr>
        <w:ind w:left="1080" w:hanging="1080"/>
      </w:pPr>
      <w:rPr>
        <w:rFonts w:hint="default"/>
        <w:b w:val="0"/>
        <w:sz w:val="32"/>
      </w:rPr>
    </w:lvl>
    <w:lvl w:ilvl="6">
      <w:start w:val="1"/>
      <w:numFmt w:val="decimal"/>
      <w:lvlText w:val="%1.%2.%3.%4.%5.%6.%7"/>
      <w:lvlJc w:val="left"/>
      <w:pPr>
        <w:ind w:left="1440" w:hanging="1440"/>
      </w:pPr>
      <w:rPr>
        <w:rFonts w:hint="default"/>
        <w:b w:val="0"/>
        <w:sz w:val="32"/>
      </w:rPr>
    </w:lvl>
    <w:lvl w:ilvl="7">
      <w:start w:val="1"/>
      <w:numFmt w:val="decimal"/>
      <w:lvlText w:val="%1.%2.%3.%4.%5.%6.%7.%8"/>
      <w:lvlJc w:val="left"/>
      <w:pPr>
        <w:ind w:left="1440" w:hanging="1440"/>
      </w:pPr>
      <w:rPr>
        <w:rFonts w:hint="default"/>
        <w:b w:val="0"/>
        <w:sz w:val="32"/>
      </w:rPr>
    </w:lvl>
    <w:lvl w:ilvl="8">
      <w:start w:val="1"/>
      <w:numFmt w:val="decimal"/>
      <w:lvlText w:val="%1.%2.%3.%4.%5.%6.%7.%8.%9"/>
      <w:lvlJc w:val="left"/>
      <w:pPr>
        <w:ind w:left="1800" w:hanging="1800"/>
      </w:pPr>
      <w:rPr>
        <w:rFonts w:hint="default"/>
        <w:b w:val="0"/>
        <w:sz w:val="32"/>
      </w:rPr>
    </w:lvl>
  </w:abstractNum>
  <w:abstractNum w:abstractNumId="4" w15:restartNumberingAfterBreak="0">
    <w:nsid w:val="6418385A"/>
    <w:multiLevelType w:val="multilevel"/>
    <w:tmpl w:val="0D36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642275">
    <w:abstractNumId w:val="0"/>
  </w:num>
  <w:num w:numId="2" w16cid:durableId="1852992197">
    <w:abstractNumId w:val="1"/>
  </w:num>
  <w:num w:numId="3" w16cid:durableId="638846936">
    <w:abstractNumId w:val="2"/>
  </w:num>
  <w:num w:numId="4" w16cid:durableId="1700661238">
    <w:abstractNumId w:val="4"/>
  </w:num>
  <w:num w:numId="5" w16cid:durableId="21341327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balanceSingleByteDoubleByteWidth/>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348D"/>
    <w:rsid w:val="000012A0"/>
    <w:rsid w:val="000175D5"/>
    <w:rsid w:val="000D4068"/>
    <w:rsid w:val="00197F99"/>
    <w:rsid w:val="001F535A"/>
    <w:rsid w:val="001F5B4A"/>
    <w:rsid w:val="00254C07"/>
    <w:rsid w:val="00257DA8"/>
    <w:rsid w:val="00271D63"/>
    <w:rsid w:val="00343820"/>
    <w:rsid w:val="00386F52"/>
    <w:rsid w:val="003D2186"/>
    <w:rsid w:val="004524AD"/>
    <w:rsid w:val="004844DD"/>
    <w:rsid w:val="004A348D"/>
    <w:rsid w:val="004B6132"/>
    <w:rsid w:val="004E34EE"/>
    <w:rsid w:val="00560350"/>
    <w:rsid w:val="0056728C"/>
    <w:rsid w:val="005A379E"/>
    <w:rsid w:val="005E381F"/>
    <w:rsid w:val="005F393F"/>
    <w:rsid w:val="00737B2F"/>
    <w:rsid w:val="00793EF8"/>
    <w:rsid w:val="007B36CA"/>
    <w:rsid w:val="007C5A8D"/>
    <w:rsid w:val="00843360"/>
    <w:rsid w:val="008C02CB"/>
    <w:rsid w:val="008C6C82"/>
    <w:rsid w:val="008D6AE0"/>
    <w:rsid w:val="00A40040"/>
    <w:rsid w:val="00A840F8"/>
    <w:rsid w:val="00AD1A34"/>
    <w:rsid w:val="00B0546B"/>
    <w:rsid w:val="00B94B0B"/>
    <w:rsid w:val="00BC34D7"/>
    <w:rsid w:val="00BF6FFB"/>
    <w:rsid w:val="00C62BCB"/>
    <w:rsid w:val="00C8742D"/>
    <w:rsid w:val="00C905E6"/>
    <w:rsid w:val="00C9098A"/>
    <w:rsid w:val="00D8067F"/>
    <w:rsid w:val="00E7600F"/>
    <w:rsid w:val="00E91DB4"/>
    <w:rsid w:val="00EE002E"/>
    <w:rsid w:val="00EF5842"/>
    <w:rsid w:val="00F6690F"/>
    <w:rsid w:val="00FB5B0D"/>
    <w:rsid w:val="00FC73CC"/>
    <w:rsid w:val="00FE0AA0"/>
    <w:rsid w:val="01CB2F01"/>
    <w:rsid w:val="01CC0983"/>
    <w:rsid w:val="0E5C7E9D"/>
    <w:rsid w:val="16841A81"/>
    <w:rsid w:val="25FB7DCF"/>
    <w:rsid w:val="265C5CA2"/>
    <w:rsid w:val="310E2F8A"/>
    <w:rsid w:val="31A204E2"/>
    <w:rsid w:val="426217F9"/>
    <w:rsid w:val="4D5F637E"/>
    <w:rsid w:val="4F7B713D"/>
    <w:rsid w:val="538A6E2D"/>
    <w:rsid w:val="54004A3B"/>
    <w:rsid w:val="56530930"/>
    <w:rsid w:val="57BC467E"/>
    <w:rsid w:val="5A0E5F9B"/>
    <w:rsid w:val="5C8445D7"/>
    <w:rsid w:val="5CB660AB"/>
    <w:rsid w:val="62E4334D"/>
    <w:rsid w:val="68AB31C8"/>
    <w:rsid w:val="6C3F65A7"/>
    <w:rsid w:val="6F7306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7F448"/>
  <w15:docId w15:val="{687F2F31-F87C-4E03-B210-A8379A5E9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val="en" w:eastAsia="en-US"/>
    </w:rPr>
  </w:style>
  <w:style w:type="paragraph" w:styleId="Heading1">
    <w:name w:val="heading 1"/>
    <w:basedOn w:val="Normal1"/>
    <w:next w:val="Normal1"/>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qFormat/>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qFormat/>
    <w:pPr>
      <w:keepNext/>
      <w:keepLines/>
      <w:spacing w:before="320" w:after="80"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qFormat/>
    <w:pPr>
      <w:keepNext/>
      <w:keepLines/>
      <w:spacing w:before="280" w:after="80"/>
      <w:outlineLvl w:val="3"/>
    </w:pPr>
    <w:rPr>
      <w:color w:val="666666"/>
      <w:sz w:val="24"/>
      <w:szCs w:val="24"/>
    </w:rPr>
  </w:style>
  <w:style w:type="paragraph" w:styleId="Heading5">
    <w:name w:val="heading 5"/>
    <w:basedOn w:val="Normal1"/>
    <w:next w:val="Normal1"/>
    <w:qFormat/>
    <w:pPr>
      <w:keepNext/>
      <w:keepLines/>
      <w:spacing w:before="240" w:after="80"/>
      <w:outlineLvl w:val="4"/>
    </w:pPr>
    <w:rPr>
      <w:color w:val="666666"/>
    </w:rPr>
  </w:style>
  <w:style w:type="paragraph" w:styleId="Heading6">
    <w:name w:val="heading 6"/>
    <w:basedOn w:val="Normal1"/>
    <w:next w:val="Normal1"/>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276" w:lineRule="auto"/>
    </w:pPr>
    <w:rPr>
      <w:rFonts w:ascii="Arial" w:eastAsia="Arial" w:hAnsi="Arial" w:cs="Arial"/>
      <w:sz w:val="22"/>
      <w:szCs w:val="22"/>
      <w:lang w:val="en" w:eastAsia="en-US"/>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paragraph" w:styleId="Subtitle">
    <w:name w:val="Subtitle"/>
    <w:basedOn w:val="Normal1"/>
    <w:next w:val="Normal1"/>
    <w:qFormat/>
    <w:pPr>
      <w:keepNext/>
      <w:keepLines/>
      <w:spacing w:after="320"/>
    </w:pPr>
    <w:rPr>
      <w:color w:val="666666"/>
      <w:sz w:val="30"/>
      <w:szCs w:val="30"/>
    </w:rPr>
  </w:style>
  <w:style w:type="paragraph" w:styleId="Title">
    <w:name w:val="Title"/>
    <w:basedOn w:val="Normal1"/>
    <w:next w:val="Normal1"/>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table" w:customStyle="1" w:styleId="TableNormal1">
    <w:name w:val="Table Normal1"/>
    <w:qFormat/>
    <w:tblPr>
      <w:tblCellMar>
        <w:top w:w="0" w:type="dxa"/>
        <w:left w:w="0" w:type="dxa"/>
        <w:bottom w:w="0" w:type="dxa"/>
        <w:right w:w="0" w:type="dxa"/>
      </w:tblCellMar>
    </w:tblPr>
  </w:style>
  <w:style w:type="table" w:customStyle="1" w:styleId="Table1">
    <w:name w:val="Table1"/>
    <w:basedOn w:val="TableNormal1"/>
    <w:qFormat/>
    <w:tblPr>
      <w:tblCellMar>
        <w:top w:w="100" w:type="dxa"/>
        <w:left w:w="100" w:type="dxa"/>
        <w:bottom w:w="100" w:type="dxa"/>
        <w:right w:w="100" w:type="dxa"/>
      </w:tblCellMar>
    </w:tblPr>
  </w:style>
  <w:style w:type="table" w:customStyle="1" w:styleId="Table2">
    <w:name w:val="Table2"/>
    <w:basedOn w:val="TableNormal1"/>
    <w:qFormat/>
    <w:tblPr>
      <w:tblCellMar>
        <w:top w:w="100" w:type="dxa"/>
        <w:left w:w="100" w:type="dxa"/>
        <w:bottom w:w="100" w:type="dxa"/>
        <w:right w:w="100" w:type="dxa"/>
      </w:tblCellMar>
    </w:tblPr>
  </w:style>
  <w:style w:type="table" w:customStyle="1" w:styleId="Table3">
    <w:name w:val="Table3"/>
    <w:basedOn w:val="TableNormal1"/>
    <w:qFormat/>
    <w:tblPr>
      <w:tblCellMar>
        <w:top w:w="100" w:type="dxa"/>
        <w:left w:w="100" w:type="dxa"/>
        <w:bottom w:w="100" w:type="dxa"/>
        <w:right w:w="100" w:type="dxa"/>
      </w:tblCellMar>
    </w:tblPr>
  </w:style>
  <w:style w:type="table" w:customStyle="1" w:styleId="Table4">
    <w:name w:val="Table4"/>
    <w:basedOn w:val="TableNormal1"/>
    <w:qFormat/>
    <w:tblPr>
      <w:tblCellMar>
        <w:top w:w="100" w:type="dxa"/>
        <w:left w:w="100" w:type="dxa"/>
        <w:bottom w:w="100" w:type="dxa"/>
        <w:right w:w="100" w:type="dxa"/>
      </w:tblCellMar>
    </w:tblPr>
  </w:style>
  <w:style w:type="table" w:customStyle="1" w:styleId="Table5">
    <w:name w:val="Table5"/>
    <w:basedOn w:val="TableNormal1"/>
    <w:qFormat/>
    <w:tblPr>
      <w:tblCellMar>
        <w:top w:w="100" w:type="dxa"/>
        <w:left w:w="100" w:type="dxa"/>
        <w:bottom w:w="100" w:type="dxa"/>
        <w:right w:w="100" w:type="dxa"/>
      </w:tblCellMar>
    </w:tblPr>
  </w:style>
  <w:style w:type="table" w:customStyle="1" w:styleId="Table6">
    <w:name w:val="Table6"/>
    <w:basedOn w:val="TableNormal1"/>
    <w:tblPr>
      <w:tblCellMar>
        <w:top w:w="100" w:type="dxa"/>
        <w:left w:w="100" w:type="dxa"/>
        <w:bottom w:w="100" w:type="dxa"/>
        <w:right w:w="100" w:type="dxa"/>
      </w:tblCellMar>
    </w:tblPr>
  </w:style>
  <w:style w:type="table" w:customStyle="1" w:styleId="Table7">
    <w:name w:val="Table7"/>
    <w:basedOn w:val="TableNormal1"/>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table" w:customStyle="1" w:styleId="GridTable21">
    <w:name w:val="Grid Table 21"/>
    <w:basedOn w:val="TableNormal"/>
    <w:uiPriority w:val="47"/>
    <w:tblPr>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1Light1">
    <w:name w:val="Grid Table 1 Light1"/>
    <w:basedOn w:val="TableNormal"/>
    <w:uiPriority w:val="46"/>
    <w:qFormat/>
    <w:tblPr>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59"/>
    <w:rsid w:val="00E91D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C34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71997F-FDE1-4B9B-BF1E-819E17D6B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5465</Words>
  <Characters>31153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malvi</dc:creator>
  <cp:lastModifiedBy>Gautam Malviya (2504384)</cp:lastModifiedBy>
  <cp:revision>2</cp:revision>
  <dcterms:created xsi:type="dcterms:W3CDTF">2026-04-22T20:19:00Z</dcterms:created>
  <dcterms:modified xsi:type="dcterms:W3CDTF">2026-04-22T20:19:00Z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1033-12.1.0.25242</vt:lpwstr>
  </property>
  <property fmtid="{D5CDD505-2E9C-101B-9397-08002B2CF9AE}" pid="3" name="ICV">
    <vt:lpwstr>AC7F9D9D3F7D4075B8F38BC111765122_13</vt:lpwstr>
  </property>
  <property fmtid="{D5CDD505-2E9C-101B-9397-08002B2CF9AE}" pid="4" name="KSOTemplateDocerSaveRecord">
    <vt:lpwstr>eyJoZGlkIjoiZDBmMDJkMTdiMTZiYTg2N2Q2MGQxOGYwMzk4ZTNlMGQiLCJ1c2VySWQiOiI1NjcxMTg5NjE5OTkifQ==</vt:lpwstr>
  </property>
  <property fmtid="{D5CDD505-2E9C-101B-9397-08002B2CF9AE}" pid="5" name="GrammarlyDocumentId">
    <vt:lpwstr>d626d2c0-251a-4010-b731-6c266b74c674</vt:lpwstr>
  </property>
</Properties>
</file>