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0C91C" w14:textId="65BF368A" w:rsidR="007D6E88" w:rsidRPr="002B1BB8" w:rsidRDefault="00F659C3" w:rsidP="002B1BB8">
      <w:pPr>
        <w:spacing w:after="0" w:line="480" w:lineRule="auto"/>
        <w:jc w:val="center"/>
        <w:rPr>
          <w:rFonts w:ascii="Times New Roman" w:hAnsi="Times New Roman"/>
          <w:b/>
          <w:bCs/>
          <w:sz w:val="24"/>
          <w:szCs w:val="24"/>
          <w:lang w:val="en-GB"/>
        </w:rPr>
      </w:pPr>
      <w:r>
        <w:rPr>
          <w:noProof/>
        </w:rPr>
        <w:pict w14:anchorId="6ADAC4DD">
          <v:roundrect id="Rounded Rectangle 1" o:spid="_x0000_s1026" style="position:absolute;left:0;text-align:left;margin-left:-1.5pt;margin-top:24pt;width:455.25pt;height:231.75pt;z-index:1;visibility:visible;mso-wrap-style:square;mso-height-percent:0;mso-wrap-distance-left:9pt;mso-wrap-distance-top:0;mso-wrap-distance-right:9pt;mso-wrap-distance-bottom:0;mso-position-horizontal-relative:margin;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" fillcolor="#00b0f0" stroked="f" strokeweight="1pt">
            <v:stroke joinstyle="miter"/>
            <v:shadow on="t" color="black" opacity="20971f" offset="0,2.2pt"/>
            <v:textbox>
              <w:txbxContent>
                <w:p w14:paraId="1D532C8A" w14:textId="44CB2014" w:rsidR="007710C3" w:rsidRDefault="007710C3" w:rsidP="007710C3">
                  <w:pPr>
                    <w:jc w:val="center"/>
                    <w:rPr>
                      <w:b/>
                      <w:sz w:val="56"/>
                    </w:rPr>
                  </w:pPr>
                  <w:r>
                    <w:rPr>
                      <w:b/>
                      <w:sz w:val="56"/>
                    </w:rPr>
                    <w:t>Tort Law</w:t>
                  </w:r>
                </w:p>
                <w:p w14:paraId="1AE05C56" w14:textId="5202EC9A" w:rsidR="007710C3" w:rsidRPr="00B96F45" w:rsidRDefault="007710C3" w:rsidP="007710C3">
                  <w:pPr>
                    <w:spacing w:line="480" w:lineRule="auto"/>
                    <w:jc w:val="center"/>
                    <w:rPr>
                      <w:b/>
                      <w:bCs/>
                      <w:sz w:val="24"/>
                      <w:szCs w:val="24"/>
                    </w:rPr>
                  </w:pPr>
                  <w:r w:rsidRPr="008B6657">
                    <w:rPr>
                      <w:b/>
                      <w:color w:val="002060"/>
                      <w:sz w:val="56"/>
                    </w:rPr>
                    <w:t>Assignment</w:t>
                  </w:r>
                  <w:r>
                    <w:rPr>
                      <w:b/>
                      <w:color w:val="002060"/>
                      <w:sz w:val="56"/>
                    </w:rPr>
                    <w:t xml:space="preserve"> Title: Negligence</w:t>
                  </w:r>
                </w:p>
                <w:p w14:paraId="2C431D8B" w14:textId="77777777" w:rsidR="007710C3" w:rsidRPr="008B6657" w:rsidRDefault="007710C3" w:rsidP="007710C3">
                  <w:pPr>
                    <w:jc w:val="center"/>
                    <w:rPr>
                      <w:b/>
                      <w:color w:val="002060"/>
                      <w:sz w:val="56"/>
                    </w:rPr>
                  </w:pPr>
                </w:p>
                <w:p w14:paraId="25D13038" w14:textId="77777777" w:rsidR="007710C3" w:rsidRPr="008B6657" w:rsidRDefault="007710C3" w:rsidP="007710C3">
                  <w:pPr>
                    <w:jc w:val="center"/>
                    <w:rPr>
                      <w:b/>
                      <w:sz w:val="56"/>
                    </w:rPr>
                  </w:pPr>
                </w:p>
              </w:txbxContent>
            </v:textbox>
            <w10:wrap anchorx="margin"/>
          </v:roundrect>
        </w:pict>
      </w:r>
    </w:p>
    <w:p w14:paraId="4DD01B20" w14:textId="77777777" w:rsidR="007D6E88" w:rsidRPr="002B1BB8" w:rsidRDefault="007D6E88" w:rsidP="002B1BB8">
      <w:pPr>
        <w:spacing w:after="0" w:line="480" w:lineRule="auto"/>
        <w:jc w:val="center"/>
        <w:rPr>
          <w:rFonts w:ascii="Times New Roman" w:hAnsi="Times New Roman"/>
          <w:b/>
          <w:bCs/>
          <w:sz w:val="24"/>
          <w:szCs w:val="24"/>
          <w:lang w:val="en-GB"/>
        </w:rPr>
      </w:pPr>
    </w:p>
    <w:p w14:paraId="43AD804E" w14:textId="77777777" w:rsidR="007D6E88" w:rsidRPr="002B1BB8" w:rsidRDefault="007D6E88" w:rsidP="002B1BB8">
      <w:pPr>
        <w:spacing w:after="0" w:line="480" w:lineRule="auto"/>
        <w:jc w:val="center"/>
        <w:rPr>
          <w:rFonts w:ascii="Times New Roman" w:hAnsi="Times New Roman"/>
          <w:b/>
          <w:bCs/>
          <w:sz w:val="24"/>
          <w:szCs w:val="24"/>
          <w:lang w:val="en-GB"/>
        </w:rPr>
      </w:pPr>
    </w:p>
    <w:p w14:paraId="721FF677" w14:textId="77777777" w:rsidR="007D6E88" w:rsidRPr="002B1BB8" w:rsidRDefault="007D6E88" w:rsidP="002B1BB8">
      <w:pPr>
        <w:spacing w:after="0" w:line="480" w:lineRule="auto"/>
        <w:jc w:val="center"/>
        <w:rPr>
          <w:rFonts w:ascii="Times New Roman" w:hAnsi="Times New Roman"/>
          <w:b/>
          <w:bCs/>
          <w:sz w:val="24"/>
          <w:szCs w:val="24"/>
          <w:lang w:val="en-GB"/>
        </w:rPr>
      </w:pPr>
    </w:p>
    <w:p w14:paraId="4F3F3408" w14:textId="77777777" w:rsidR="00EE6270" w:rsidRPr="002B1BB8" w:rsidRDefault="00EE6270" w:rsidP="002B1BB8">
      <w:pPr>
        <w:spacing w:after="0" w:line="480" w:lineRule="auto"/>
        <w:jc w:val="center"/>
        <w:rPr>
          <w:rFonts w:ascii="Times New Roman" w:hAnsi="Times New Roman"/>
          <w:b/>
          <w:bCs/>
          <w:sz w:val="24"/>
          <w:szCs w:val="24"/>
          <w:lang w:val="en-GB"/>
        </w:rPr>
      </w:pPr>
    </w:p>
    <w:p w14:paraId="46BBFA09" w14:textId="77777777" w:rsidR="00EE6270" w:rsidRPr="002B1BB8" w:rsidRDefault="00EE6270" w:rsidP="002B1BB8">
      <w:pPr>
        <w:spacing w:after="0" w:line="480" w:lineRule="auto"/>
        <w:jc w:val="center"/>
        <w:rPr>
          <w:rFonts w:ascii="Times New Roman" w:hAnsi="Times New Roman"/>
          <w:b/>
          <w:bCs/>
          <w:sz w:val="24"/>
          <w:szCs w:val="24"/>
          <w:lang w:val="en-GB"/>
        </w:rPr>
      </w:pPr>
    </w:p>
    <w:p w14:paraId="34741106" w14:textId="77777777" w:rsidR="007D6E88" w:rsidRPr="002B1BB8" w:rsidRDefault="007D6E88" w:rsidP="002B1BB8">
      <w:pPr>
        <w:spacing w:after="0" w:line="480" w:lineRule="auto"/>
        <w:jc w:val="center"/>
        <w:rPr>
          <w:rFonts w:ascii="Times New Roman" w:hAnsi="Times New Roman"/>
          <w:b/>
          <w:bCs/>
          <w:sz w:val="24"/>
          <w:szCs w:val="24"/>
          <w:lang w:val="en-GB"/>
        </w:rPr>
      </w:pPr>
    </w:p>
    <w:p w14:paraId="63BDE047" w14:textId="77777777" w:rsidR="007D6E88" w:rsidRPr="002B1BB8" w:rsidRDefault="007D6E88" w:rsidP="002B1BB8">
      <w:pPr>
        <w:spacing w:after="0" w:line="480" w:lineRule="auto"/>
        <w:jc w:val="center"/>
        <w:rPr>
          <w:rFonts w:ascii="Times New Roman" w:hAnsi="Times New Roman"/>
          <w:b/>
          <w:bCs/>
          <w:sz w:val="24"/>
          <w:szCs w:val="24"/>
          <w:lang w:val="en-GB"/>
        </w:rPr>
      </w:pPr>
    </w:p>
    <w:p w14:paraId="0652007A" w14:textId="77777777" w:rsidR="007D6E88" w:rsidRPr="002B1BB8" w:rsidRDefault="007D6E88" w:rsidP="002B1BB8">
      <w:pPr>
        <w:spacing w:after="0" w:line="480" w:lineRule="auto"/>
        <w:jc w:val="center"/>
        <w:rPr>
          <w:rFonts w:ascii="Times New Roman" w:hAnsi="Times New Roman"/>
          <w:b/>
          <w:bCs/>
          <w:sz w:val="24"/>
          <w:szCs w:val="24"/>
          <w:lang w:val="en-GB"/>
        </w:rPr>
      </w:pPr>
    </w:p>
    <w:p w14:paraId="12E90564" w14:textId="77777777" w:rsidR="007D6E88" w:rsidRPr="002B1BB8" w:rsidRDefault="007D6E88" w:rsidP="002B1BB8">
      <w:pPr>
        <w:spacing w:after="0" w:line="480" w:lineRule="auto"/>
        <w:jc w:val="center"/>
        <w:rPr>
          <w:rFonts w:ascii="Times New Roman" w:hAnsi="Times New Roman"/>
          <w:b/>
          <w:bCs/>
          <w:sz w:val="24"/>
          <w:szCs w:val="24"/>
          <w:lang w:val="en-GB"/>
        </w:rPr>
      </w:pPr>
    </w:p>
    <w:p w14:paraId="1080823B" w14:textId="77777777" w:rsidR="007D6E88" w:rsidRPr="002B1BB8" w:rsidRDefault="007D6E88" w:rsidP="002B1BB8">
      <w:pPr>
        <w:spacing w:after="0" w:line="480" w:lineRule="auto"/>
        <w:jc w:val="center"/>
        <w:rPr>
          <w:rFonts w:ascii="Times New Roman" w:hAnsi="Times New Roman"/>
          <w:b/>
          <w:bCs/>
          <w:sz w:val="24"/>
          <w:szCs w:val="24"/>
          <w:lang w:val="en-GB"/>
        </w:rPr>
      </w:pPr>
    </w:p>
    <w:p w14:paraId="2D10CE0D" w14:textId="13D555FE" w:rsidR="00372182" w:rsidRPr="002B1BB8" w:rsidRDefault="00372182" w:rsidP="007710C3">
      <w:pPr>
        <w:spacing w:after="0" w:line="480" w:lineRule="auto"/>
        <w:rPr>
          <w:rFonts w:ascii="Times New Roman" w:hAnsi="Times New Roman"/>
          <w:b/>
          <w:bCs/>
          <w:sz w:val="24"/>
          <w:szCs w:val="24"/>
          <w:lang w:val="en-GB"/>
        </w:rPr>
      </w:pPr>
    </w:p>
    <w:p w14:paraId="78BDA089" w14:textId="642F9DF4" w:rsidR="007D6E88" w:rsidRPr="002B1BB8" w:rsidRDefault="00F659C3" w:rsidP="002B1BB8">
      <w:pPr>
        <w:pStyle w:val="Heading1"/>
        <w:spacing w:before="0" w:after="0" w:line="480" w:lineRule="auto"/>
        <w:rPr>
          <w:rFonts w:ascii="Times New Roman" w:hAnsi="Times New Roman"/>
          <w:sz w:val="24"/>
          <w:szCs w:val="24"/>
          <w:lang w:val="en-GB"/>
        </w:rPr>
      </w:pPr>
      <w:r>
        <w:rPr>
          <w:noProof/>
        </w:rPr>
        <w:pict w14:anchorId="324ACF92">
          <v:rect id="Rectangle 3" o:spid="_x0000_s1027" style="position:absolute;margin-left:6.75pt;margin-top:7.85pt;width:461.25pt;height:244.5pt;z-index:2;visibility:visible;mso-wrap-style:square;mso-height-percent:0;mso-wrap-distance-left:9pt;mso-wrap-distance-top:0;mso-wrap-distance-right:9pt;mso-wrap-distance-bottom:0;mso-position-horizontal-relative:margin;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" fillcolor="#ffd966" stroked="f" strokeweight=".5pt">
            <v:shadow on="t" color="black" opacity="20971f" offset="0,2.2pt"/>
            <v:textbox>
              <w:txbxContent>
                <w:p w14:paraId="029307B8" w14:textId="77777777" w:rsidR="007710C3" w:rsidRPr="008D6921" w:rsidRDefault="007710C3" w:rsidP="007710C3">
                  <w:pPr>
                    <w:jc w:val="both"/>
                    <w:rPr>
                      <w:b/>
                      <w:sz w:val="40"/>
                    </w:rPr>
                  </w:pPr>
                  <w:r w:rsidRPr="008D6921">
                    <w:rPr>
                      <w:b/>
                      <w:sz w:val="40"/>
                    </w:rPr>
                    <w:t>Student Name:</w:t>
                  </w:r>
                  <w:r>
                    <w:rPr>
                      <w:b/>
                      <w:sz w:val="40"/>
                    </w:rPr>
                    <w:t xml:space="preserve"> MD ROSHID AHMED</w:t>
                  </w:r>
                </w:p>
                <w:p w14:paraId="5D9BC7BA" w14:textId="77777777" w:rsidR="007710C3" w:rsidRPr="008D6921" w:rsidRDefault="007710C3" w:rsidP="007710C3">
                  <w:pPr>
                    <w:jc w:val="both"/>
                    <w:rPr>
                      <w:b/>
                      <w:sz w:val="40"/>
                    </w:rPr>
                  </w:pPr>
                  <w:r>
                    <w:rPr>
                      <w:b/>
                      <w:sz w:val="40"/>
                    </w:rPr>
                    <w:t xml:space="preserve">Student </w:t>
                  </w:r>
                  <w:r w:rsidRPr="008D6921">
                    <w:rPr>
                      <w:b/>
                      <w:sz w:val="40"/>
                    </w:rPr>
                    <w:t xml:space="preserve">ID: </w:t>
                  </w:r>
                  <w:r>
                    <w:rPr>
                      <w:b/>
                      <w:sz w:val="40"/>
                    </w:rPr>
                    <w:t>1922561</w:t>
                  </w:r>
                </w:p>
                <w:p w14:paraId="3C4A1904" w14:textId="1A11317F" w:rsidR="007710C3" w:rsidRPr="008D6921" w:rsidRDefault="007710C3" w:rsidP="007710C3">
                  <w:pPr>
                    <w:jc w:val="both"/>
                    <w:rPr>
                      <w:b/>
                      <w:sz w:val="40"/>
                    </w:rPr>
                  </w:pPr>
                  <w:r w:rsidRPr="008D6921">
                    <w:rPr>
                      <w:b/>
                      <w:sz w:val="40"/>
                    </w:rPr>
                    <w:t>Course Le</w:t>
                  </w:r>
                  <w:r>
                    <w:rPr>
                      <w:b/>
                      <w:sz w:val="40"/>
                    </w:rPr>
                    <w:t>cturer</w:t>
                  </w:r>
                  <w:r w:rsidRPr="008D6921">
                    <w:rPr>
                      <w:b/>
                      <w:sz w:val="40"/>
                    </w:rPr>
                    <w:t>:</w:t>
                  </w:r>
                  <w:r>
                    <w:rPr>
                      <w:b/>
                      <w:sz w:val="40"/>
                    </w:rPr>
                    <w:t xml:space="preserve"> Louise Holmes</w:t>
                  </w:r>
                </w:p>
                <w:p w14:paraId="01AE9542" w14:textId="0D8D1140" w:rsidR="007710C3" w:rsidRPr="008D6921" w:rsidRDefault="007710C3" w:rsidP="007710C3">
                  <w:pPr>
                    <w:jc w:val="both"/>
                    <w:rPr>
                      <w:b/>
                      <w:sz w:val="40"/>
                    </w:rPr>
                  </w:pPr>
                  <w:r w:rsidRPr="008D6921">
                    <w:rPr>
                      <w:b/>
                      <w:sz w:val="40"/>
                    </w:rPr>
                    <w:t>Course Module:</w:t>
                  </w:r>
                  <w:r>
                    <w:rPr>
                      <w:b/>
                      <w:sz w:val="40"/>
                    </w:rPr>
                    <w:t xml:space="preserve"> Tort Law</w:t>
                  </w:r>
                </w:p>
                <w:p w14:paraId="21A0C08C" w14:textId="7C2B7FBF" w:rsidR="007710C3" w:rsidRDefault="007710C3" w:rsidP="007710C3">
                  <w:pPr>
                    <w:jc w:val="both"/>
                    <w:rPr>
                      <w:b/>
                      <w:sz w:val="40"/>
                    </w:rPr>
                  </w:pPr>
                  <w:r w:rsidRPr="008D6921">
                    <w:rPr>
                      <w:b/>
                      <w:sz w:val="40"/>
                    </w:rPr>
                    <w:t>Course Code:</w:t>
                  </w:r>
                  <w:r>
                    <w:rPr>
                      <w:b/>
                      <w:sz w:val="40"/>
                    </w:rPr>
                    <w:t xml:space="preserve"> BMLW5008</w:t>
                  </w:r>
                </w:p>
                <w:p w14:paraId="2F077DD9" w14:textId="29A8A6DA" w:rsidR="007710C3" w:rsidRPr="008D6921" w:rsidRDefault="007710C3" w:rsidP="007710C3">
                  <w:pPr>
                    <w:jc w:val="both"/>
                    <w:rPr>
                      <w:b/>
                      <w:sz w:val="40"/>
                    </w:rPr>
                  </w:pPr>
                  <w:r>
                    <w:rPr>
                      <w:b/>
                      <w:sz w:val="40"/>
                    </w:rPr>
                    <w:t>Submission deadline: 5</w:t>
                  </w:r>
                  <w:r w:rsidRPr="00D7740D">
                    <w:rPr>
                      <w:b/>
                      <w:sz w:val="40"/>
                      <w:vertAlign w:val="superscript"/>
                    </w:rPr>
                    <w:t>th</w:t>
                  </w:r>
                  <w:r>
                    <w:rPr>
                      <w:b/>
                      <w:sz w:val="40"/>
                    </w:rPr>
                    <w:t xml:space="preserve"> November 2021.</w:t>
                  </w:r>
                </w:p>
              </w:txbxContent>
            </v:textbox>
            <w10:wrap anchorx="margin"/>
          </v:rect>
        </w:pict>
      </w:r>
      <w:r w:rsidR="007D6E88" w:rsidRPr="002B1BB8">
        <w:rPr>
          <w:rFonts w:ascii="Times New Roman" w:hAnsi="Times New Roman"/>
          <w:sz w:val="24"/>
          <w:szCs w:val="24"/>
          <w:lang w:val="en-GB"/>
        </w:rPr>
        <w:br w:type="page"/>
      </w:r>
      <w:r w:rsidR="007D6E88" w:rsidRPr="002B1BB8">
        <w:rPr>
          <w:rFonts w:ascii="Times New Roman" w:hAnsi="Times New Roman"/>
          <w:sz w:val="24"/>
          <w:szCs w:val="24"/>
          <w:lang w:val="en-GB"/>
        </w:rPr>
        <w:lastRenderedPageBreak/>
        <w:t>Table of Contents</w:t>
      </w:r>
      <w:r w:rsidR="00836E7A">
        <w:rPr>
          <w:rFonts w:ascii="Times New Roman" w:hAnsi="Times New Roman"/>
          <w:sz w:val="24"/>
          <w:szCs w:val="24"/>
          <w:lang w:val="en-GB"/>
        </w:rPr>
        <w:t xml:space="preserve">                                                                                                               Page No</w:t>
      </w:r>
    </w:p>
    <w:p w14:paraId="1DC4A37B" w14:textId="77777777" w:rsidR="007D6E88" w:rsidRPr="002B1BB8" w:rsidRDefault="007D6E88" w:rsidP="002B1BB8">
      <w:pPr>
        <w:pStyle w:val="TOC1"/>
        <w:tabs>
          <w:tab w:val="right" w:leader="dot" w:pos="9350"/>
        </w:tabs>
        <w:spacing w:after="0" w:line="480" w:lineRule="auto"/>
        <w:rPr>
          <w:rFonts w:ascii="Times New Roman" w:hAnsi="Times New Roman"/>
          <w:noProof/>
          <w:sz w:val="24"/>
          <w:szCs w:val="24"/>
          <w:lang w:val="en-GB"/>
        </w:rPr>
      </w:pPr>
      <w:r w:rsidRPr="002B1BB8">
        <w:rPr>
          <w:rFonts w:ascii="Times New Roman" w:hAnsi="Times New Roman"/>
          <w:sz w:val="24"/>
          <w:szCs w:val="24"/>
          <w:lang w:val="en-GB"/>
        </w:rPr>
        <w:fldChar w:fldCharType="begin"/>
      </w:r>
      <w:r w:rsidRPr="002B1BB8">
        <w:rPr>
          <w:rFonts w:ascii="Times New Roman" w:hAnsi="Times New Roman"/>
          <w:sz w:val="24"/>
          <w:szCs w:val="24"/>
          <w:lang w:val="en-GB"/>
        </w:rPr>
        <w:instrText xml:space="preserve"> TOC \o "1-3" \h \z \u </w:instrText>
      </w:r>
      <w:r w:rsidRPr="002B1BB8">
        <w:rPr>
          <w:rFonts w:ascii="Times New Roman" w:hAnsi="Times New Roman"/>
          <w:sz w:val="24"/>
          <w:szCs w:val="24"/>
          <w:lang w:val="en-GB"/>
        </w:rPr>
        <w:fldChar w:fldCharType="separate"/>
      </w:r>
      <w:hyperlink w:anchor="_Toc85804338" w:history="1">
        <w:r w:rsidRPr="002B1BB8">
          <w:rPr>
            <w:rStyle w:val="Hyperlink"/>
            <w:rFonts w:ascii="Times New Roman" w:hAnsi="Times New Roman"/>
            <w:noProof/>
            <w:sz w:val="24"/>
            <w:szCs w:val="24"/>
            <w:lang w:val="en-GB"/>
          </w:rPr>
          <w:t>Introduction</w:t>
        </w:r>
        <w:r w:rsidRPr="002B1BB8">
          <w:rPr>
            <w:rFonts w:ascii="Times New Roman" w:hAnsi="Times New Roman"/>
            <w:noProof/>
            <w:webHidden/>
            <w:sz w:val="24"/>
            <w:szCs w:val="24"/>
            <w:lang w:val="en-GB"/>
          </w:rPr>
          <w:tab/>
        </w:r>
        <w:r w:rsidRPr="002B1BB8">
          <w:rPr>
            <w:rFonts w:ascii="Times New Roman" w:hAnsi="Times New Roman"/>
            <w:noProof/>
            <w:webHidden/>
            <w:sz w:val="24"/>
            <w:szCs w:val="24"/>
            <w:lang w:val="en-GB"/>
          </w:rPr>
          <w:fldChar w:fldCharType="begin"/>
        </w:r>
        <w:r w:rsidRPr="002B1BB8">
          <w:rPr>
            <w:rFonts w:ascii="Times New Roman" w:hAnsi="Times New Roman"/>
            <w:noProof/>
            <w:webHidden/>
            <w:sz w:val="24"/>
            <w:szCs w:val="24"/>
            <w:lang w:val="en-GB"/>
          </w:rPr>
          <w:instrText xml:space="preserve"> PAGEREF _Toc85804338 \h </w:instrText>
        </w:r>
        <w:r w:rsidRPr="002B1BB8">
          <w:rPr>
            <w:rFonts w:ascii="Times New Roman" w:hAnsi="Times New Roman"/>
            <w:noProof/>
            <w:webHidden/>
            <w:sz w:val="24"/>
            <w:szCs w:val="24"/>
            <w:lang w:val="en-GB"/>
          </w:rPr>
        </w:r>
        <w:r w:rsidRPr="002B1BB8">
          <w:rPr>
            <w:rFonts w:ascii="Times New Roman" w:hAnsi="Times New Roman"/>
            <w:noProof/>
            <w:webHidden/>
            <w:sz w:val="24"/>
            <w:szCs w:val="24"/>
            <w:lang w:val="en-GB"/>
          </w:rPr>
          <w:fldChar w:fldCharType="separate"/>
        </w:r>
        <w:r w:rsidR="002B1BB8">
          <w:rPr>
            <w:rFonts w:ascii="Times New Roman" w:hAnsi="Times New Roman"/>
            <w:noProof/>
            <w:webHidden/>
            <w:sz w:val="24"/>
            <w:szCs w:val="24"/>
            <w:lang w:val="en-GB"/>
          </w:rPr>
          <w:t>3</w:t>
        </w:r>
        <w:r w:rsidRPr="002B1BB8">
          <w:rPr>
            <w:rFonts w:ascii="Times New Roman" w:hAnsi="Times New Roman"/>
            <w:noProof/>
            <w:webHidden/>
            <w:sz w:val="24"/>
            <w:szCs w:val="24"/>
            <w:lang w:val="en-GB"/>
          </w:rPr>
          <w:fldChar w:fldCharType="end"/>
        </w:r>
      </w:hyperlink>
    </w:p>
    <w:p w14:paraId="1BC054F7" w14:textId="1920ED2B" w:rsidR="007D6E88" w:rsidRPr="002B1BB8" w:rsidRDefault="00F659C3" w:rsidP="002B1BB8">
      <w:pPr>
        <w:pStyle w:val="TOC1"/>
        <w:tabs>
          <w:tab w:val="right" w:leader="dot" w:pos="9350"/>
        </w:tabs>
        <w:spacing w:after="0" w:line="480" w:lineRule="auto"/>
        <w:rPr>
          <w:rFonts w:ascii="Times New Roman" w:hAnsi="Times New Roman"/>
          <w:noProof/>
          <w:sz w:val="24"/>
          <w:szCs w:val="24"/>
          <w:lang w:val="en-GB"/>
        </w:rPr>
      </w:pPr>
      <w:hyperlink w:anchor="_Toc85804339" w:history="1">
        <w:r w:rsidR="007D6E88" w:rsidRPr="002B1BB8">
          <w:rPr>
            <w:rStyle w:val="Hyperlink"/>
            <w:rFonts w:ascii="Times New Roman" w:hAnsi="Times New Roman"/>
            <w:noProof/>
            <w:sz w:val="24"/>
            <w:szCs w:val="24"/>
            <w:lang w:val="en-GB"/>
          </w:rPr>
          <w:t>Analysis of Balance of Fairness and Flexibility related to Standard of Care in context to Negligence to manage Interests of Defendant and Claimants</w:t>
        </w:r>
        <w:r w:rsidR="007D6E88" w:rsidRPr="002B1BB8">
          <w:rPr>
            <w:rFonts w:ascii="Times New Roman" w:hAnsi="Times New Roman"/>
            <w:noProof/>
            <w:webHidden/>
            <w:sz w:val="24"/>
            <w:szCs w:val="24"/>
            <w:lang w:val="en-GB"/>
          </w:rPr>
          <w:tab/>
        </w:r>
        <w:r w:rsidR="00F859F1">
          <w:rPr>
            <w:rFonts w:ascii="Times New Roman" w:hAnsi="Times New Roman"/>
            <w:noProof/>
            <w:webHidden/>
            <w:sz w:val="24"/>
            <w:szCs w:val="24"/>
            <w:lang w:val="en-GB"/>
          </w:rPr>
          <w:t>4</w:t>
        </w:r>
        <w:r w:rsidR="00836E7A">
          <w:rPr>
            <w:rFonts w:ascii="Times New Roman" w:hAnsi="Times New Roman"/>
            <w:noProof/>
            <w:webHidden/>
            <w:sz w:val="24"/>
            <w:szCs w:val="24"/>
            <w:lang w:val="en-GB"/>
          </w:rPr>
          <w:t xml:space="preserve"> </w:t>
        </w:r>
        <w:r w:rsidR="00F859F1">
          <w:rPr>
            <w:rFonts w:ascii="Times New Roman" w:hAnsi="Times New Roman"/>
            <w:noProof/>
            <w:webHidden/>
            <w:sz w:val="24"/>
            <w:szCs w:val="24"/>
            <w:lang w:val="en-GB"/>
          </w:rPr>
          <w:t>-</w:t>
        </w:r>
        <w:r w:rsidR="00836E7A">
          <w:rPr>
            <w:rFonts w:ascii="Times New Roman" w:hAnsi="Times New Roman"/>
            <w:noProof/>
            <w:webHidden/>
            <w:sz w:val="24"/>
            <w:szCs w:val="24"/>
            <w:lang w:val="en-GB"/>
          </w:rPr>
          <w:t xml:space="preserve"> </w:t>
        </w:r>
        <w:r w:rsidR="00F859F1">
          <w:rPr>
            <w:rFonts w:ascii="Times New Roman" w:hAnsi="Times New Roman"/>
            <w:noProof/>
            <w:webHidden/>
            <w:sz w:val="24"/>
            <w:szCs w:val="24"/>
            <w:lang w:val="en-GB"/>
          </w:rPr>
          <w:t>12</w:t>
        </w:r>
      </w:hyperlink>
    </w:p>
    <w:p w14:paraId="3C8852CF" w14:textId="230ECAD8" w:rsidR="007D6E88" w:rsidRPr="002B1BB8" w:rsidRDefault="00F659C3" w:rsidP="002B1BB8">
      <w:pPr>
        <w:pStyle w:val="TOC1"/>
        <w:tabs>
          <w:tab w:val="right" w:leader="dot" w:pos="9350"/>
        </w:tabs>
        <w:spacing w:after="0" w:line="480" w:lineRule="auto"/>
        <w:rPr>
          <w:rFonts w:ascii="Times New Roman" w:hAnsi="Times New Roman"/>
          <w:noProof/>
          <w:sz w:val="24"/>
          <w:szCs w:val="24"/>
          <w:lang w:val="en-GB"/>
        </w:rPr>
      </w:pPr>
      <w:hyperlink w:anchor="_Toc85804340" w:history="1">
        <w:r w:rsidR="007D6E88" w:rsidRPr="002B1BB8">
          <w:rPr>
            <w:rStyle w:val="Hyperlink"/>
            <w:rFonts w:ascii="Times New Roman" w:hAnsi="Times New Roman"/>
            <w:iCs/>
            <w:noProof/>
            <w:sz w:val="24"/>
            <w:szCs w:val="24"/>
            <w:shd w:val="clear" w:color="auto" w:fill="FFFFFF"/>
            <w:lang w:val="en-GB"/>
          </w:rPr>
          <w:t>Conclusion</w:t>
        </w:r>
        <w:r w:rsidR="007D6E88" w:rsidRPr="002B1BB8">
          <w:rPr>
            <w:rFonts w:ascii="Times New Roman" w:hAnsi="Times New Roman"/>
            <w:noProof/>
            <w:webHidden/>
            <w:sz w:val="24"/>
            <w:szCs w:val="24"/>
            <w:lang w:val="en-GB"/>
          </w:rPr>
          <w:tab/>
        </w:r>
        <w:r w:rsidR="00F859F1">
          <w:rPr>
            <w:rFonts w:ascii="Times New Roman" w:hAnsi="Times New Roman"/>
            <w:noProof/>
            <w:webHidden/>
            <w:sz w:val="24"/>
            <w:szCs w:val="24"/>
            <w:lang w:val="en-GB"/>
          </w:rPr>
          <w:t>13</w:t>
        </w:r>
      </w:hyperlink>
    </w:p>
    <w:p w14:paraId="54DDA930" w14:textId="2D036889" w:rsidR="007D6E88" w:rsidRPr="002B1BB8" w:rsidRDefault="00F659C3" w:rsidP="002B1BB8">
      <w:pPr>
        <w:pStyle w:val="TOC1"/>
        <w:tabs>
          <w:tab w:val="right" w:leader="dot" w:pos="9350"/>
        </w:tabs>
        <w:spacing w:after="0" w:line="480" w:lineRule="auto"/>
        <w:rPr>
          <w:rFonts w:ascii="Times New Roman" w:hAnsi="Times New Roman"/>
          <w:noProof/>
          <w:sz w:val="24"/>
          <w:szCs w:val="24"/>
          <w:lang w:val="en-GB"/>
        </w:rPr>
      </w:pPr>
      <w:hyperlink w:anchor="_Toc85804341" w:history="1">
        <w:r w:rsidR="007D6E88" w:rsidRPr="002B1BB8">
          <w:rPr>
            <w:rStyle w:val="Hyperlink"/>
            <w:rFonts w:ascii="Times New Roman" w:hAnsi="Times New Roman"/>
            <w:noProof/>
            <w:sz w:val="24"/>
            <w:szCs w:val="24"/>
            <w:lang w:val="en-GB"/>
          </w:rPr>
          <w:t>References</w:t>
        </w:r>
        <w:r w:rsidR="007D6E88" w:rsidRPr="002B1BB8">
          <w:rPr>
            <w:rFonts w:ascii="Times New Roman" w:hAnsi="Times New Roman"/>
            <w:noProof/>
            <w:webHidden/>
            <w:sz w:val="24"/>
            <w:szCs w:val="24"/>
            <w:lang w:val="en-GB"/>
          </w:rPr>
          <w:tab/>
        </w:r>
        <w:r w:rsidR="00F859F1">
          <w:rPr>
            <w:rFonts w:ascii="Times New Roman" w:hAnsi="Times New Roman"/>
            <w:noProof/>
            <w:webHidden/>
            <w:sz w:val="24"/>
            <w:szCs w:val="24"/>
            <w:lang w:val="en-GB"/>
          </w:rPr>
          <w:t>14</w:t>
        </w:r>
      </w:hyperlink>
    </w:p>
    <w:p w14:paraId="56B0760C" w14:textId="77777777" w:rsidR="007D6E88" w:rsidRPr="002B1BB8" w:rsidRDefault="007D6E88" w:rsidP="002B1BB8">
      <w:pPr>
        <w:spacing w:after="0" w:line="480" w:lineRule="auto"/>
        <w:rPr>
          <w:rFonts w:ascii="Times New Roman" w:hAnsi="Times New Roman"/>
          <w:sz w:val="24"/>
          <w:szCs w:val="24"/>
          <w:lang w:val="en-GB"/>
        </w:rPr>
      </w:pPr>
      <w:r w:rsidRPr="002B1BB8">
        <w:rPr>
          <w:rFonts w:ascii="Times New Roman" w:hAnsi="Times New Roman"/>
          <w:sz w:val="24"/>
          <w:szCs w:val="24"/>
          <w:lang w:val="en-GB"/>
        </w:rPr>
        <w:fldChar w:fldCharType="end"/>
      </w:r>
    </w:p>
    <w:p w14:paraId="5C41ECCF" w14:textId="77777777" w:rsidR="00F859F1" w:rsidRDefault="00F859F1" w:rsidP="002B1BB8">
      <w:pPr>
        <w:pStyle w:val="Heading1"/>
        <w:spacing w:before="0" w:after="0" w:line="480" w:lineRule="auto"/>
        <w:rPr>
          <w:rFonts w:ascii="Times New Roman" w:hAnsi="Times New Roman"/>
          <w:sz w:val="24"/>
          <w:szCs w:val="24"/>
          <w:lang w:val="en-GB"/>
        </w:rPr>
      </w:pPr>
    </w:p>
    <w:p w14:paraId="30CDE9FD" w14:textId="77777777" w:rsidR="00F859F1" w:rsidRDefault="00F859F1" w:rsidP="002B1BB8">
      <w:pPr>
        <w:pStyle w:val="Heading1"/>
        <w:spacing w:before="0" w:after="0" w:line="480" w:lineRule="auto"/>
        <w:rPr>
          <w:rFonts w:ascii="Times New Roman" w:hAnsi="Times New Roman"/>
          <w:sz w:val="24"/>
          <w:szCs w:val="24"/>
          <w:lang w:val="en-GB"/>
        </w:rPr>
      </w:pPr>
    </w:p>
    <w:p w14:paraId="558699F7" w14:textId="77777777" w:rsidR="00F859F1" w:rsidRDefault="00F859F1" w:rsidP="00F859F1">
      <w:pPr>
        <w:pStyle w:val="Heading1"/>
        <w:spacing w:before="0" w:after="0" w:line="480" w:lineRule="auto"/>
        <w:jc w:val="right"/>
        <w:rPr>
          <w:rFonts w:ascii="Times New Roman" w:hAnsi="Times New Roman"/>
          <w:sz w:val="24"/>
          <w:szCs w:val="24"/>
          <w:lang w:val="en-GB"/>
        </w:rPr>
      </w:pPr>
    </w:p>
    <w:p w14:paraId="4AAD7B82" w14:textId="665B3ED7" w:rsidR="007D6E88" w:rsidRPr="008C6F62" w:rsidRDefault="007D6E88" w:rsidP="002B1BB8">
      <w:pPr>
        <w:pStyle w:val="Heading1"/>
        <w:spacing w:before="0" w:after="0" w:line="480" w:lineRule="auto"/>
        <w:rPr>
          <w:rFonts w:ascii="Times New Roman" w:hAnsi="Times New Roman"/>
          <w:sz w:val="28"/>
          <w:szCs w:val="28"/>
          <w:lang w:val="en-GB"/>
        </w:rPr>
      </w:pPr>
      <w:r w:rsidRPr="00F859F1">
        <w:rPr>
          <w:lang w:val="en-GB"/>
        </w:rPr>
        <w:br w:type="page"/>
      </w:r>
      <w:bookmarkStart w:id="0" w:name="_Toc85804338"/>
      <w:r w:rsidRPr="008C6F62">
        <w:rPr>
          <w:rFonts w:ascii="Times New Roman" w:hAnsi="Times New Roman"/>
          <w:sz w:val="28"/>
          <w:szCs w:val="28"/>
          <w:lang w:val="en-GB"/>
        </w:rPr>
        <w:lastRenderedPageBreak/>
        <w:t>Introduction</w:t>
      </w:r>
      <w:bookmarkEnd w:id="0"/>
    </w:p>
    <w:p w14:paraId="7C67F933" w14:textId="2A800432" w:rsidR="00231DB7" w:rsidRDefault="00231DB7" w:rsidP="002B1BB8">
      <w:pPr>
        <w:spacing w:after="0" w:line="480" w:lineRule="auto"/>
        <w:jc w:val="both"/>
        <w:rPr>
          <w:rFonts w:ascii="Times New Roman" w:eastAsia="Calibri" w:hAnsi="Times New Roman"/>
          <w:sz w:val="28"/>
          <w:szCs w:val="28"/>
          <w:lang w:val="en-GB" w:eastAsia="en-US" w:bidi="hi-IN"/>
        </w:rPr>
      </w:pPr>
      <w:r w:rsidRPr="008C6F62">
        <w:rPr>
          <w:rFonts w:ascii="Times New Roman" w:eastAsia="Calibri" w:hAnsi="Times New Roman"/>
          <w:sz w:val="28"/>
          <w:szCs w:val="28"/>
          <w:lang w:val="en-GB" w:eastAsia="en-US" w:bidi="hi-IN"/>
        </w:rPr>
        <w:tab/>
        <w:t xml:space="preserve">According to the Tort Law, it can be analysed that the standard of care refers to the sole scale for determining carefulness as well as caution needed from an individual that is identified to rely upon a duty of care. The standard of care is significant to be determined as it helps for the determination of the level of negligence needed to highlight a validated cause behind a specific action </w:t>
      </w:r>
      <w:r w:rsidRPr="007B2CAF">
        <w:rPr>
          <w:rFonts w:ascii="Times New Roman" w:eastAsia="Calibri" w:hAnsi="Times New Roman"/>
          <w:i/>
          <w:iCs/>
          <w:sz w:val="28"/>
          <w:szCs w:val="28"/>
          <w:lang w:val="en-GB" w:eastAsia="en-US" w:bidi="hi-IN"/>
        </w:rPr>
        <w:t>(Turner, 2013)</w:t>
      </w:r>
      <w:r w:rsidRPr="008C6F62">
        <w:rPr>
          <w:rFonts w:ascii="Times New Roman" w:eastAsia="Calibri" w:hAnsi="Times New Roman"/>
          <w:sz w:val="28"/>
          <w:szCs w:val="28"/>
          <w:lang w:val="en-GB" w:eastAsia="en-US" w:bidi="hi-IN"/>
        </w:rPr>
        <w:t xml:space="preserve">. In this context, this study is focused to perform a critical analysis regarding the fact that whether or not the concept of standard of care in negligence is capable of offering a flexible as well as a fair equilibrium between the interests of the defendants as well as the claimants. </w:t>
      </w:r>
    </w:p>
    <w:p w14:paraId="0C2DB288" w14:textId="5026C001" w:rsidR="006D55CD" w:rsidRDefault="006D55CD" w:rsidP="002B1BB8">
      <w:pPr>
        <w:spacing w:after="0" w:line="480" w:lineRule="auto"/>
        <w:jc w:val="both"/>
        <w:rPr>
          <w:rFonts w:ascii="Times New Roman" w:eastAsia="Calibri" w:hAnsi="Times New Roman"/>
          <w:sz w:val="28"/>
          <w:szCs w:val="28"/>
          <w:lang w:val="en-GB" w:eastAsia="en-US" w:bidi="hi-IN"/>
        </w:rPr>
      </w:pPr>
    </w:p>
    <w:p w14:paraId="79A0D3D5" w14:textId="076FB1BF" w:rsidR="006D55CD" w:rsidRDefault="006D55CD" w:rsidP="002B1BB8">
      <w:pPr>
        <w:spacing w:after="0" w:line="480" w:lineRule="auto"/>
        <w:jc w:val="both"/>
        <w:rPr>
          <w:rFonts w:ascii="Times New Roman" w:eastAsia="Calibri" w:hAnsi="Times New Roman"/>
          <w:sz w:val="28"/>
          <w:szCs w:val="28"/>
          <w:lang w:val="en-GB" w:eastAsia="en-US" w:bidi="hi-IN"/>
        </w:rPr>
      </w:pPr>
    </w:p>
    <w:p w14:paraId="63028FD3" w14:textId="2F7AF79A" w:rsidR="006D55CD" w:rsidRDefault="006D55CD" w:rsidP="002B1BB8">
      <w:pPr>
        <w:spacing w:after="0" w:line="480" w:lineRule="auto"/>
        <w:jc w:val="both"/>
        <w:rPr>
          <w:rFonts w:ascii="Times New Roman" w:eastAsia="Calibri" w:hAnsi="Times New Roman"/>
          <w:sz w:val="28"/>
          <w:szCs w:val="28"/>
          <w:lang w:val="en-GB" w:eastAsia="en-US" w:bidi="hi-IN"/>
        </w:rPr>
      </w:pPr>
    </w:p>
    <w:p w14:paraId="1B79941B" w14:textId="66CF178F" w:rsidR="006D55CD" w:rsidRDefault="006D55CD" w:rsidP="002B1BB8">
      <w:pPr>
        <w:spacing w:after="0" w:line="480" w:lineRule="auto"/>
        <w:jc w:val="both"/>
        <w:rPr>
          <w:rFonts w:ascii="Times New Roman" w:eastAsia="Calibri" w:hAnsi="Times New Roman"/>
          <w:sz w:val="28"/>
          <w:szCs w:val="28"/>
          <w:lang w:val="en-GB" w:eastAsia="en-US" w:bidi="hi-IN"/>
        </w:rPr>
      </w:pPr>
    </w:p>
    <w:p w14:paraId="31C7C7F4" w14:textId="4E9A9E1E" w:rsidR="006D55CD" w:rsidRDefault="006D55CD" w:rsidP="002B1BB8">
      <w:pPr>
        <w:spacing w:after="0" w:line="480" w:lineRule="auto"/>
        <w:jc w:val="both"/>
        <w:rPr>
          <w:rFonts w:ascii="Times New Roman" w:eastAsia="Calibri" w:hAnsi="Times New Roman"/>
          <w:sz w:val="28"/>
          <w:szCs w:val="28"/>
          <w:lang w:val="en-GB" w:eastAsia="en-US" w:bidi="hi-IN"/>
        </w:rPr>
      </w:pPr>
    </w:p>
    <w:p w14:paraId="1CB0C2A3" w14:textId="37EBE7D6" w:rsidR="006D55CD" w:rsidRDefault="006D55CD" w:rsidP="002B1BB8">
      <w:pPr>
        <w:spacing w:after="0" w:line="480" w:lineRule="auto"/>
        <w:jc w:val="both"/>
        <w:rPr>
          <w:rFonts w:ascii="Times New Roman" w:eastAsia="Calibri" w:hAnsi="Times New Roman"/>
          <w:sz w:val="28"/>
          <w:szCs w:val="28"/>
          <w:lang w:val="en-GB" w:eastAsia="en-US" w:bidi="hi-IN"/>
        </w:rPr>
      </w:pPr>
    </w:p>
    <w:p w14:paraId="7029D12F" w14:textId="77777777" w:rsidR="006D55CD" w:rsidRPr="008C6F62" w:rsidRDefault="006D55CD" w:rsidP="002B1BB8">
      <w:pPr>
        <w:spacing w:after="0" w:line="480" w:lineRule="auto"/>
        <w:jc w:val="both"/>
        <w:rPr>
          <w:rFonts w:ascii="Times New Roman" w:eastAsia="Calibri" w:hAnsi="Times New Roman"/>
          <w:sz w:val="28"/>
          <w:szCs w:val="28"/>
          <w:lang w:val="en-GB" w:eastAsia="en-US" w:bidi="hi-IN"/>
        </w:rPr>
      </w:pPr>
    </w:p>
    <w:p w14:paraId="3BD0049A" w14:textId="77777777" w:rsidR="00372182" w:rsidRPr="008C6F62" w:rsidRDefault="007D6E88" w:rsidP="002B1BB8">
      <w:pPr>
        <w:pStyle w:val="Heading1"/>
        <w:spacing w:before="0" w:after="0" w:line="480" w:lineRule="auto"/>
        <w:rPr>
          <w:rFonts w:ascii="Times New Roman" w:hAnsi="Times New Roman"/>
          <w:sz w:val="28"/>
          <w:szCs w:val="28"/>
          <w:lang w:val="en-GB"/>
        </w:rPr>
      </w:pPr>
      <w:bookmarkStart w:id="1" w:name="_Toc85804339"/>
      <w:r w:rsidRPr="008C6F62">
        <w:rPr>
          <w:rFonts w:ascii="Times New Roman" w:hAnsi="Times New Roman"/>
          <w:sz w:val="28"/>
          <w:szCs w:val="28"/>
          <w:lang w:val="en-GB"/>
        </w:rPr>
        <w:lastRenderedPageBreak/>
        <w:t>Analysis of Balance of Fairness and Flexibility related to Standard of Care in context to Negligence to manage Interests of Defendant and Claimants</w:t>
      </w:r>
      <w:bookmarkEnd w:id="1"/>
    </w:p>
    <w:p w14:paraId="364D5127" w14:textId="77777777" w:rsidR="00231DB7" w:rsidRPr="008C6F62" w:rsidRDefault="00137073" w:rsidP="002B1BB8">
      <w:pPr>
        <w:spacing w:after="0" w:line="480" w:lineRule="auto"/>
        <w:jc w:val="both"/>
        <w:rPr>
          <w:rFonts w:ascii="Times New Roman" w:eastAsia="Calibri" w:hAnsi="Times New Roman"/>
          <w:sz w:val="28"/>
          <w:szCs w:val="28"/>
          <w:lang w:val="en-GB" w:eastAsia="en-US" w:bidi="hi-IN"/>
        </w:rPr>
      </w:pPr>
      <w:r w:rsidRPr="008C6F62">
        <w:rPr>
          <w:rFonts w:ascii="Times New Roman" w:hAnsi="Times New Roman"/>
          <w:bCs/>
          <w:sz w:val="28"/>
          <w:szCs w:val="28"/>
          <w:lang w:val="en-GB"/>
        </w:rPr>
        <w:tab/>
      </w:r>
      <w:r w:rsidR="00231DB7" w:rsidRPr="008C6F62">
        <w:rPr>
          <w:rFonts w:ascii="Times New Roman" w:eastAsia="Calibri" w:hAnsi="Times New Roman"/>
          <w:sz w:val="28"/>
          <w:szCs w:val="28"/>
          <w:lang w:val="en-GB" w:eastAsia="en-US" w:bidi="hi-IN"/>
        </w:rPr>
        <w:t xml:space="preserve">Standard of care is used in an interchangeable manner with the breach of duty. This means that the negligence towards adhering to the defined standard of care duties can be considered as a breach of duty </w:t>
      </w:r>
      <w:r w:rsidR="00231DB7" w:rsidRPr="007B2CAF">
        <w:rPr>
          <w:rFonts w:ascii="Times New Roman" w:eastAsia="Calibri" w:hAnsi="Times New Roman"/>
          <w:i/>
          <w:iCs/>
          <w:sz w:val="28"/>
          <w:szCs w:val="28"/>
          <w:lang w:val="en-GB" w:eastAsia="en-US" w:bidi="hi-IN"/>
        </w:rPr>
        <w:t>(Moffett and Moore, 2011)</w:t>
      </w:r>
      <w:r w:rsidR="00231DB7" w:rsidRPr="008C6F62">
        <w:rPr>
          <w:rFonts w:ascii="Times New Roman" w:eastAsia="Calibri" w:hAnsi="Times New Roman"/>
          <w:sz w:val="28"/>
          <w:szCs w:val="28"/>
          <w:lang w:val="en-GB" w:eastAsia="en-US" w:bidi="hi-IN"/>
        </w:rPr>
        <w:t xml:space="preserve">. Hence, the standard of care relates to the requirement for breach of duty in regard to the negligence concept. In relation to the above, the breach of duty can be defined as the negligence shown in taking proper care that results in undesirable damage from the defendant's end to the claimant. In order to explain the breach of duty, the case of </w:t>
      </w:r>
      <w:r w:rsidR="00231DB7" w:rsidRPr="008C6F62">
        <w:rPr>
          <w:rFonts w:ascii="Times New Roman" w:eastAsia="Calibri" w:hAnsi="Times New Roman"/>
          <w:i/>
          <w:iCs/>
          <w:sz w:val="28"/>
          <w:szCs w:val="28"/>
          <w:lang w:val="en-GB" w:eastAsia="en-US" w:bidi="hi-IN"/>
        </w:rPr>
        <w:t>Dorset Yacht v Home Office</w:t>
      </w:r>
      <w:r w:rsidR="00231DB7" w:rsidRPr="008C6F62">
        <w:rPr>
          <w:rFonts w:ascii="Times New Roman" w:eastAsia="Calibri" w:hAnsi="Times New Roman"/>
          <w:sz w:val="28"/>
          <w:szCs w:val="28"/>
          <w:lang w:val="en-GB" w:eastAsia="en-US" w:bidi="hi-IN"/>
        </w:rPr>
        <w:t xml:space="preserve"> [1970] can be considered where the predictable damage-causing situation can be denoted as the breach of duty (Harlow, 2005; Bailey, Jones and Mowbray, 2005). Further, the standard of care sits within the concept of breach of duty as in more than one circumstance that are highlighted in the case </w:t>
      </w:r>
      <w:r w:rsidR="00231DB7" w:rsidRPr="008C6F62">
        <w:rPr>
          <w:rFonts w:ascii="Times New Roman" w:eastAsia="Calibri" w:hAnsi="Times New Roman"/>
          <w:i/>
          <w:iCs/>
          <w:sz w:val="28"/>
          <w:szCs w:val="28"/>
          <w:lang w:val="en-GB" w:eastAsia="en-US" w:bidi="hi-IN"/>
        </w:rPr>
        <w:t>of Caparo Industries plc v Dickman</w:t>
      </w:r>
      <w:r w:rsidR="00231DB7" w:rsidRPr="008C6F62">
        <w:rPr>
          <w:rFonts w:ascii="Times New Roman" w:eastAsia="Calibri" w:hAnsi="Times New Roman"/>
          <w:sz w:val="28"/>
          <w:szCs w:val="28"/>
          <w:lang w:val="en-GB" w:eastAsia="en-US" w:bidi="hi-IN"/>
        </w:rPr>
        <w:t xml:space="preserve"> [1990]. As per this case, it is required to be highlighted that not only defendant that is under a specific duty in the direction of the claimant is needed to be careful, but failure in attaining the needful standard of care generated the risk of damage (Kelly, Hammer and Hendy, 2017).</w:t>
      </w:r>
    </w:p>
    <w:p w14:paraId="4F2F0A67" w14:textId="77777777" w:rsidR="00231DB7" w:rsidRPr="008C6F62" w:rsidRDefault="00231DB7" w:rsidP="002B1BB8">
      <w:pPr>
        <w:spacing w:after="0" w:line="480" w:lineRule="auto"/>
        <w:jc w:val="both"/>
        <w:rPr>
          <w:rFonts w:ascii="Times New Roman" w:hAnsi="Times New Roman"/>
          <w:bCs/>
          <w:sz w:val="28"/>
          <w:szCs w:val="28"/>
          <w:lang w:val="en-GB"/>
        </w:rPr>
      </w:pPr>
      <w:r w:rsidRPr="008C6F62">
        <w:rPr>
          <w:rFonts w:ascii="Times New Roman" w:eastAsia="Calibri" w:hAnsi="Times New Roman"/>
          <w:sz w:val="28"/>
          <w:szCs w:val="28"/>
          <w:lang w:val="en-GB" w:eastAsia="en-US" w:bidi="hi-IN"/>
        </w:rPr>
        <w:tab/>
        <w:t xml:space="preserve">As per another circumstance in the breach of duty, it is also needed to be highlighted that the defendant is in close association with the claimant such that he </w:t>
      </w:r>
      <w:r w:rsidRPr="008C6F62">
        <w:rPr>
          <w:rFonts w:ascii="Times New Roman" w:eastAsia="Calibri" w:hAnsi="Times New Roman"/>
          <w:sz w:val="28"/>
          <w:szCs w:val="28"/>
          <w:lang w:val="en-GB" w:eastAsia="en-US" w:bidi="hi-IN"/>
        </w:rPr>
        <w:lastRenderedPageBreak/>
        <w:t xml:space="preserve">holds a duty of care towards the claimant. This aspect can be referred to as proximity (Horsey and Rackley, 2021). In addition to the above, the fulfilment of the standard of care can be tested in accordance with the decisions whether or not the prevalence of a breach of duty is observed. This is performed in the light of the objective test named the reasonable man test (Harpwood, 2005). The application of this test is observed in the case of </w:t>
      </w:r>
      <w:r w:rsidRPr="008C6F62">
        <w:rPr>
          <w:rFonts w:ascii="Times New Roman" w:eastAsia="Calibri" w:hAnsi="Times New Roman"/>
          <w:i/>
          <w:iCs/>
          <w:sz w:val="28"/>
          <w:szCs w:val="28"/>
          <w:lang w:val="en-GB" w:eastAsia="en-US" w:bidi="hi-IN"/>
        </w:rPr>
        <w:t>Blyth v Birmingham waterworks co</w:t>
      </w:r>
      <w:r w:rsidRPr="008C6F62">
        <w:rPr>
          <w:rFonts w:ascii="Times New Roman" w:eastAsia="Calibri" w:hAnsi="Times New Roman"/>
          <w:sz w:val="28"/>
          <w:szCs w:val="28"/>
          <w:lang w:val="en-GB" w:eastAsia="en-US" w:bidi="hi-IN"/>
        </w:rPr>
        <w:t xml:space="preserve"> [1856] where it is held that the defendant might be responsible for negligence if he or she omitted to perform the duties as obligated to a reasonable person by mistake. The breach of the standard of care occurs if the defendant committed a task that would have not been committed by a person taking reasonable safety measures (Pritchard and Reeves, 2013). Hence, on the basis of the reasonable man test, the standard of care can be defined as objective.</w:t>
      </w:r>
    </w:p>
    <w:p w14:paraId="5AAEE4F6" w14:textId="77777777" w:rsidR="007D6E88" w:rsidRPr="008C6F62" w:rsidRDefault="00231DB7" w:rsidP="002B1BB8">
      <w:pPr>
        <w:spacing w:after="0" w:line="480" w:lineRule="auto"/>
        <w:jc w:val="both"/>
        <w:rPr>
          <w:rFonts w:ascii="Times New Roman" w:hAnsi="Times New Roman"/>
          <w:color w:val="000000"/>
          <w:sz w:val="28"/>
          <w:szCs w:val="28"/>
          <w:shd w:val="clear" w:color="auto" w:fill="FFFFFF"/>
          <w:lang w:val="en-GB"/>
        </w:rPr>
      </w:pPr>
      <w:r w:rsidRPr="008C6F62">
        <w:rPr>
          <w:rFonts w:ascii="Times New Roman" w:hAnsi="Times New Roman"/>
          <w:bCs/>
          <w:sz w:val="28"/>
          <w:szCs w:val="28"/>
          <w:lang w:val="en-GB"/>
        </w:rPr>
        <w:tab/>
        <w:t>Moreover, i</w:t>
      </w:r>
      <w:r w:rsidR="00137073" w:rsidRPr="008C6F62">
        <w:rPr>
          <w:rFonts w:ascii="Times New Roman" w:hAnsi="Times New Roman"/>
          <w:bCs/>
          <w:sz w:val="28"/>
          <w:szCs w:val="28"/>
          <w:lang w:val="en-GB"/>
        </w:rPr>
        <w:t xml:space="preserve">n regard to establishing the standards of care, it is crucial to determine the extent to which the care needs to be taken by the reasonable individual in distinct circumstances. Here, the clause is that the standard of care might vary according to distinct situations and resultants of the case laws. For example, as the result of the case of </w:t>
      </w:r>
      <w:r w:rsidR="00137073" w:rsidRPr="008C6F62">
        <w:rPr>
          <w:rStyle w:val="Emphasis"/>
          <w:rFonts w:ascii="Times New Roman" w:hAnsi="Times New Roman"/>
          <w:color w:val="000000"/>
          <w:sz w:val="28"/>
          <w:szCs w:val="28"/>
          <w:shd w:val="clear" w:color="auto" w:fill="FFFFFF"/>
          <w:lang w:val="en-GB"/>
        </w:rPr>
        <w:t>Garthe v. Ruppert</w:t>
      </w:r>
      <w:r w:rsidR="00137073" w:rsidRPr="008C6F62">
        <w:rPr>
          <w:rStyle w:val="Emphasis"/>
          <w:rFonts w:ascii="Times New Roman" w:hAnsi="Times New Roman"/>
          <w:i w:val="0"/>
          <w:color w:val="000000"/>
          <w:sz w:val="28"/>
          <w:szCs w:val="28"/>
          <w:shd w:val="clear" w:color="auto" w:fill="FFFFFF"/>
          <w:lang w:val="en-GB"/>
        </w:rPr>
        <w:t>, it has been derived that some dangers used to get eliminated through the customary manner of performing the activities safely</w:t>
      </w:r>
      <w:r w:rsidR="00596DA8" w:rsidRPr="008C6F62">
        <w:rPr>
          <w:rStyle w:val="Emphasis"/>
          <w:rFonts w:ascii="Times New Roman" w:hAnsi="Times New Roman"/>
          <w:i w:val="0"/>
          <w:color w:val="000000"/>
          <w:sz w:val="28"/>
          <w:szCs w:val="28"/>
          <w:shd w:val="clear" w:color="auto" w:fill="FFFFFF"/>
          <w:lang w:val="en-GB"/>
        </w:rPr>
        <w:t xml:space="preserve"> (</w:t>
      </w:r>
      <w:r w:rsidR="00596DA8" w:rsidRPr="008C6F62">
        <w:rPr>
          <w:rFonts w:ascii="Times New Roman" w:hAnsi="Times New Roman"/>
          <w:color w:val="222222"/>
          <w:sz w:val="28"/>
          <w:szCs w:val="28"/>
          <w:shd w:val="clear" w:color="auto" w:fill="FFFFFF"/>
          <w:lang w:val="en-GB"/>
        </w:rPr>
        <w:t>Moffett and Moore, 2011)</w:t>
      </w:r>
      <w:r w:rsidR="00137073" w:rsidRPr="008C6F62">
        <w:rPr>
          <w:rStyle w:val="Emphasis"/>
          <w:rFonts w:ascii="Times New Roman" w:hAnsi="Times New Roman"/>
          <w:i w:val="0"/>
          <w:color w:val="000000"/>
          <w:sz w:val="28"/>
          <w:szCs w:val="28"/>
          <w:shd w:val="clear" w:color="auto" w:fill="FFFFFF"/>
          <w:lang w:val="en-GB"/>
        </w:rPr>
        <w:t xml:space="preserve">. Such customs might be evident for representing that the individual alleged for showing negligent behaviour in </w:t>
      </w:r>
      <w:r w:rsidR="00137073" w:rsidRPr="008C6F62">
        <w:rPr>
          <w:rStyle w:val="Emphasis"/>
          <w:rFonts w:ascii="Times New Roman" w:hAnsi="Times New Roman"/>
          <w:i w:val="0"/>
          <w:color w:val="000000"/>
          <w:sz w:val="28"/>
          <w:szCs w:val="28"/>
          <w:shd w:val="clear" w:color="auto" w:fill="FFFFFF"/>
          <w:lang w:val="en-GB"/>
        </w:rPr>
        <w:lastRenderedPageBreak/>
        <w:t>maintaining the standard of care, performed activities that have fallen underneath the anticipated customs or standards.</w:t>
      </w:r>
      <w:r w:rsidR="00361022" w:rsidRPr="008C6F62">
        <w:rPr>
          <w:rStyle w:val="Emphasis"/>
          <w:rFonts w:ascii="Times New Roman" w:hAnsi="Times New Roman"/>
          <w:i w:val="0"/>
          <w:color w:val="000000"/>
          <w:sz w:val="28"/>
          <w:szCs w:val="28"/>
          <w:shd w:val="clear" w:color="auto" w:fill="FFFFFF"/>
          <w:lang w:val="en-GB"/>
        </w:rPr>
        <w:t xml:space="preserve"> In the case of </w:t>
      </w:r>
      <w:r w:rsidR="00361022" w:rsidRPr="008C6F62">
        <w:rPr>
          <w:rStyle w:val="Emphasis"/>
          <w:rFonts w:ascii="Times New Roman" w:hAnsi="Times New Roman"/>
          <w:color w:val="000000"/>
          <w:sz w:val="28"/>
          <w:szCs w:val="28"/>
          <w:shd w:val="clear" w:color="auto" w:fill="FFFFFF"/>
          <w:lang w:val="en-GB"/>
        </w:rPr>
        <w:t>Helling v. Carey</w:t>
      </w:r>
      <w:r w:rsidR="00361022" w:rsidRPr="008C6F62">
        <w:rPr>
          <w:rStyle w:val="Emphasis"/>
          <w:rFonts w:ascii="Times New Roman" w:hAnsi="Times New Roman"/>
          <w:i w:val="0"/>
          <w:color w:val="000000"/>
          <w:sz w:val="28"/>
          <w:szCs w:val="28"/>
          <w:shd w:val="clear" w:color="auto" w:fill="FFFFFF"/>
          <w:lang w:val="en-GB"/>
        </w:rPr>
        <w:t xml:space="preserve">, an </w:t>
      </w:r>
      <w:r w:rsidR="00361022" w:rsidRPr="008C6F62">
        <w:rPr>
          <w:rFonts w:ascii="Times New Roman" w:hAnsi="Times New Roman"/>
          <w:color w:val="000000"/>
          <w:sz w:val="28"/>
          <w:szCs w:val="28"/>
          <w:shd w:val="clear" w:color="auto" w:fill="FFFFFF"/>
          <w:lang w:val="en-GB"/>
        </w:rPr>
        <w:t>ophthalmologist has been sued by the plaintiff due to losing eyesight because of glaucoma. In the trial of court, the witness reflected that the age of the patient was below 40 years and glaucoma incidence probability in such age group is one in the group of 25,000 people. This has not been a standard practice to examine the patients of this age group using tonometry. However, it was decided by Supreme Court that as the test has been harmless and cost-friendly, it must have been provided to the plaintiff</w:t>
      </w:r>
      <w:r w:rsidR="00F672AC" w:rsidRPr="008C6F62">
        <w:rPr>
          <w:rFonts w:ascii="Times New Roman" w:hAnsi="Times New Roman"/>
          <w:color w:val="000000"/>
          <w:sz w:val="28"/>
          <w:szCs w:val="28"/>
          <w:shd w:val="clear" w:color="auto" w:fill="FFFFFF"/>
          <w:lang w:val="en-GB"/>
        </w:rPr>
        <w:t xml:space="preserve"> by referring to the definition of "Standard of Care" given by TJ Hooper. According to this definition, the standard of care is the one which is performed customarily along with any reasonable activity to reduce any harm to the patients even while it is not typically utilised and performed</w:t>
      </w:r>
      <w:r w:rsidR="00596DA8" w:rsidRPr="008C6F62">
        <w:rPr>
          <w:rFonts w:ascii="Times New Roman" w:hAnsi="Times New Roman"/>
          <w:color w:val="000000"/>
          <w:sz w:val="28"/>
          <w:szCs w:val="28"/>
          <w:shd w:val="clear" w:color="auto" w:fill="FFFFFF"/>
          <w:lang w:val="en-GB"/>
        </w:rPr>
        <w:t xml:space="preserve"> (</w:t>
      </w:r>
      <w:r w:rsidR="00596DA8" w:rsidRPr="008C6F62">
        <w:rPr>
          <w:rFonts w:ascii="Times New Roman" w:hAnsi="Times New Roman"/>
          <w:color w:val="222222"/>
          <w:sz w:val="28"/>
          <w:szCs w:val="28"/>
          <w:shd w:val="clear" w:color="auto" w:fill="FFFFFF"/>
          <w:lang w:val="en-GB"/>
        </w:rPr>
        <w:t xml:space="preserve">Moffett and Moore, 2011; </w:t>
      </w:r>
      <w:r w:rsidR="00596DA8" w:rsidRPr="008C6F62">
        <w:rPr>
          <w:rFonts w:ascii="Times New Roman" w:hAnsi="Times New Roman"/>
          <w:sz w:val="28"/>
          <w:szCs w:val="28"/>
          <w:lang w:val="en-GB"/>
        </w:rPr>
        <w:t>LexisNexis, 2021</w:t>
      </w:r>
      <w:r w:rsidR="00596DA8" w:rsidRPr="008C6F62">
        <w:rPr>
          <w:rFonts w:ascii="Times New Roman" w:hAnsi="Times New Roman"/>
          <w:color w:val="222222"/>
          <w:sz w:val="28"/>
          <w:szCs w:val="28"/>
          <w:shd w:val="clear" w:color="auto" w:fill="FFFFFF"/>
          <w:lang w:val="en-GB"/>
        </w:rPr>
        <w:t>)</w:t>
      </w:r>
      <w:r w:rsidR="00F672AC" w:rsidRPr="008C6F62">
        <w:rPr>
          <w:rFonts w:ascii="Times New Roman" w:hAnsi="Times New Roman"/>
          <w:color w:val="000000"/>
          <w:sz w:val="28"/>
          <w:szCs w:val="28"/>
          <w:shd w:val="clear" w:color="auto" w:fill="FFFFFF"/>
          <w:lang w:val="en-GB"/>
        </w:rPr>
        <w:t xml:space="preserve">. </w:t>
      </w:r>
    </w:p>
    <w:p w14:paraId="4DFE3EE1" w14:textId="77777777" w:rsidR="008A12BE" w:rsidRPr="008C6F62" w:rsidRDefault="00BE6E61" w:rsidP="002B1BB8">
      <w:pPr>
        <w:spacing w:after="0" w:line="480" w:lineRule="auto"/>
        <w:jc w:val="both"/>
        <w:rPr>
          <w:rStyle w:val="Emphasis"/>
          <w:rFonts w:ascii="Times New Roman" w:hAnsi="Times New Roman"/>
          <w:i w:val="0"/>
          <w:color w:val="000000"/>
          <w:sz w:val="28"/>
          <w:szCs w:val="28"/>
          <w:shd w:val="clear" w:color="auto" w:fill="FFFFFF"/>
          <w:lang w:val="en-GB"/>
        </w:rPr>
      </w:pPr>
      <w:r w:rsidRPr="008C6F62">
        <w:rPr>
          <w:rStyle w:val="Emphasis"/>
          <w:rFonts w:ascii="Times New Roman" w:hAnsi="Times New Roman"/>
          <w:i w:val="0"/>
          <w:color w:val="000000"/>
          <w:sz w:val="28"/>
          <w:szCs w:val="28"/>
          <w:shd w:val="clear" w:color="auto" w:fill="FFFFFF"/>
          <w:lang w:val="en-GB"/>
        </w:rPr>
        <w:tab/>
        <w:t xml:space="preserve">On the other hand, in the case of </w:t>
      </w:r>
      <w:r w:rsidRPr="008C6F62">
        <w:rPr>
          <w:rStyle w:val="Emphasis"/>
          <w:rFonts w:ascii="Times New Roman" w:hAnsi="Times New Roman"/>
          <w:color w:val="000000"/>
          <w:sz w:val="28"/>
          <w:szCs w:val="28"/>
          <w:shd w:val="clear" w:color="auto" w:fill="FFFFFF"/>
          <w:lang w:val="en-GB"/>
        </w:rPr>
        <w:t>Roe v Minister of Health [1954]</w:t>
      </w:r>
      <w:r w:rsidRPr="008C6F62">
        <w:rPr>
          <w:rStyle w:val="Emphasis"/>
          <w:rFonts w:ascii="Times New Roman" w:hAnsi="Times New Roman"/>
          <w:i w:val="0"/>
          <w:color w:val="000000"/>
          <w:sz w:val="28"/>
          <w:szCs w:val="28"/>
          <w:shd w:val="clear" w:color="auto" w:fill="FFFFFF"/>
          <w:lang w:val="en-GB"/>
        </w:rPr>
        <w:t xml:space="preserve">, an anaesthetic was given to the two claimants for the operations. However, the anaesthetic was infected with some sterilising solution due to which the claimants were paralysed permanently. The infection has been spread in the anaesthetic while storing it. Anaesthetic had been contained within a glass along with sterilising fluid. The ampoules of glass had some cracks which were not visible. It could not be identified that the anaesthetic might get infected in such as way. </w:t>
      </w:r>
      <w:r w:rsidR="008A12BE" w:rsidRPr="008C6F62">
        <w:rPr>
          <w:rStyle w:val="Emphasis"/>
          <w:rFonts w:ascii="Times New Roman" w:hAnsi="Times New Roman"/>
          <w:i w:val="0"/>
          <w:color w:val="000000"/>
          <w:sz w:val="28"/>
          <w:szCs w:val="28"/>
          <w:shd w:val="clear" w:color="auto" w:fill="FFFFFF"/>
          <w:lang w:val="en-GB"/>
        </w:rPr>
        <w:t xml:space="preserve">In the court, it was </w:t>
      </w:r>
      <w:r w:rsidR="008A12BE" w:rsidRPr="008C6F62">
        <w:rPr>
          <w:rStyle w:val="Emphasis"/>
          <w:rFonts w:ascii="Times New Roman" w:hAnsi="Times New Roman"/>
          <w:i w:val="0"/>
          <w:color w:val="000000"/>
          <w:sz w:val="28"/>
          <w:szCs w:val="28"/>
          <w:shd w:val="clear" w:color="auto" w:fill="FFFFFF"/>
          <w:lang w:val="en-GB"/>
        </w:rPr>
        <w:lastRenderedPageBreak/>
        <w:t>held that the defendant did not breach of duty. The standard of care has not been compromised because the risk could not be foreseeable because of being unknown and unidentifiable (</w:t>
      </w:r>
      <w:r w:rsidR="008A12BE" w:rsidRPr="008C6F62">
        <w:rPr>
          <w:rFonts w:ascii="Times New Roman" w:hAnsi="Times New Roman"/>
          <w:color w:val="222222"/>
          <w:sz w:val="28"/>
          <w:szCs w:val="28"/>
          <w:shd w:val="clear" w:color="auto" w:fill="FFFFFF"/>
          <w:lang w:val="en-GB"/>
        </w:rPr>
        <w:t>Dowie, 2020</w:t>
      </w:r>
      <w:r w:rsidR="007D6E88" w:rsidRPr="008C6F62">
        <w:rPr>
          <w:rFonts w:ascii="Times New Roman" w:hAnsi="Times New Roman"/>
          <w:color w:val="222222"/>
          <w:sz w:val="28"/>
          <w:szCs w:val="28"/>
          <w:shd w:val="clear" w:color="auto" w:fill="FFFFFF"/>
          <w:lang w:val="en-GB"/>
        </w:rPr>
        <w:t>; Reekie, 2017</w:t>
      </w:r>
      <w:r w:rsidR="008A12BE" w:rsidRPr="008C6F62">
        <w:rPr>
          <w:rFonts w:ascii="Times New Roman" w:hAnsi="Times New Roman"/>
          <w:color w:val="222222"/>
          <w:sz w:val="28"/>
          <w:szCs w:val="28"/>
          <w:shd w:val="clear" w:color="auto" w:fill="FFFFFF"/>
          <w:lang w:val="en-GB"/>
        </w:rPr>
        <w:t>)</w:t>
      </w:r>
      <w:r w:rsidR="008A12BE" w:rsidRPr="008C6F62">
        <w:rPr>
          <w:rStyle w:val="Emphasis"/>
          <w:rFonts w:ascii="Times New Roman" w:hAnsi="Times New Roman"/>
          <w:i w:val="0"/>
          <w:color w:val="000000"/>
          <w:sz w:val="28"/>
          <w:szCs w:val="28"/>
          <w:shd w:val="clear" w:color="auto" w:fill="FFFFFF"/>
          <w:lang w:val="en-GB"/>
        </w:rPr>
        <w:t xml:space="preserve">. </w:t>
      </w:r>
      <w:r w:rsidR="00BC11AA" w:rsidRPr="008C6F62">
        <w:rPr>
          <w:rStyle w:val="Emphasis"/>
          <w:rFonts w:ascii="Times New Roman" w:hAnsi="Times New Roman"/>
          <w:i w:val="0"/>
          <w:color w:val="000000"/>
          <w:sz w:val="28"/>
          <w:szCs w:val="28"/>
          <w:shd w:val="clear" w:color="auto" w:fill="FFFFFF"/>
          <w:lang w:val="en-GB"/>
        </w:rPr>
        <w:t xml:space="preserve">Moreover, in the case of </w:t>
      </w:r>
      <w:r w:rsidR="00BC11AA" w:rsidRPr="008C6F62">
        <w:rPr>
          <w:rStyle w:val="Emphasis"/>
          <w:rFonts w:ascii="Times New Roman" w:hAnsi="Times New Roman"/>
          <w:color w:val="000000"/>
          <w:sz w:val="28"/>
          <w:szCs w:val="28"/>
          <w:shd w:val="clear" w:color="auto" w:fill="FFFFFF"/>
          <w:lang w:val="en-GB"/>
        </w:rPr>
        <w:t>Bolam v Friern HMC (1957)</w:t>
      </w:r>
      <w:r w:rsidR="00BC11AA" w:rsidRPr="008C6F62">
        <w:rPr>
          <w:rStyle w:val="Emphasis"/>
          <w:rFonts w:ascii="Times New Roman" w:hAnsi="Times New Roman"/>
          <w:i w:val="0"/>
          <w:color w:val="000000"/>
          <w:sz w:val="28"/>
          <w:szCs w:val="28"/>
          <w:shd w:val="clear" w:color="auto" w:fill="FFFFFF"/>
          <w:lang w:val="en-GB"/>
        </w:rPr>
        <w:t>, the court made the judgment that the professional was not liable for violating the duty of care in case he or she performed actions in the same way that is perceived as adequate by some other responsible healthcare professionals who have expertise within the potential medical area</w:t>
      </w:r>
      <w:r w:rsidR="0017331C" w:rsidRPr="008C6F62">
        <w:rPr>
          <w:rStyle w:val="Emphasis"/>
          <w:rFonts w:ascii="Times New Roman" w:hAnsi="Times New Roman"/>
          <w:i w:val="0"/>
          <w:color w:val="000000"/>
          <w:sz w:val="28"/>
          <w:szCs w:val="28"/>
          <w:shd w:val="clear" w:color="auto" w:fill="FFFFFF"/>
          <w:lang w:val="en-GB"/>
        </w:rPr>
        <w:t xml:space="preserve"> (</w:t>
      </w:r>
      <w:r w:rsidR="0017331C" w:rsidRPr="008C6F62">
        <w:rPr>
          <w:rFonts w:ascii="Times New Roman" w:hAnsi="Times New Roman"/>
          <w:color w:val="222222"/>
          <w:sz w:val="28"/>
          <w:szCs w:val="28"/>
          <w:shd w:val="clear" w:color="auto" w:fill="FFFFFF"/>
          <w:lang w:val="en-GB"/>
        </w:rPr>
        <w:t>Griffith, 2020</w:t>
      </w:r>
      <w:r w:rsidR="007D6E88" w:rsidRPr="008C6F62">
        <w:rPr>
          <w:rFonts w:ascii="Times New Roman" w:hAnsi="Times New Roman"/>
          <w:color w:val="222222"/>
          <w:sz w:val="28"/>
          <w:szCs w:val="28"/>
          <w:shd w:val="clear" w:color="auto" w:fill="FFFFFF"/>
          <w:lang w:val="en-GB"/>
        </w:rPr>
        <w:t xml:space="preserve">; Peters </w:t>
      </w:r>
      <w:r w:rsidR="007D6E88" w:rsidRPr="008C6F62">
        <w:rPr>
          <w:rFonts w:ascii="Times New Roman" w:hAnsi="Times New Roman"/>
          <w:i/>
          <w:color w:val="222222"/>
          <w:sz w:val="28"/>
          <w:szCs w:val="28"/>
          <w:shd w:val="clear" w:color="auto" w:fill="FFFFFF"/>
          <w:lang w:val="en-GB"/>
        </w:rPr>
        <w:t>et al.,</w:t>
      </w:r>
      <w:r w:rsidR="007D6E88" w:rsidRPr="008C6F62">
        <w:rPr>
          <w:rFonts w:ascii="Times New Roman" w:hAnsi="Times New Roman"/>
          <w:color w:val="222222"/>
          <w:sz w:val="28"/>
          <w:szCs w:val="28"/>
          <w:shd w:val="clear" w:color="auto" w:fill="FFFFFF"/>
          <w:lang w:val="en-GB"/>
        </w:rPr>
        <w:t xml:space="preserve"> 2020</w:t>
      </w:r>
      <w:r w:rsidR="0017331C" w:rsidRPr="008C6F62">
        <w:rPr>
          <w:rFonts w:ascii="Times New Roman" w:hAnsi="Times New Roman"/>
          <w:color w:val="222222"/>
          <w:sz w:val="28"/>
          <w:szCs w:val="28"/>
          <w:shd w:val="clear" w:color="auto" w:fill="FFFFFF"/>
          <w:lang w:val="en-GB"/>
        </w:rPr>
        <w:t>)</w:t>
      </w:r>
      <w:r w:rsidR="00BC11AA" w:rsidRPr="008C6F62">
        <w:rPr>
          <w:rStyle w:val="Emphasis"/>
          <w:rFonts w:ascii="Times New Roman" w:hAnsi="Times New Roman"/>
          <w:i w:val="0"/>
          <w:color w:val="000000"/>
          <w:sz w:val="28"/>
          <w:szCs w:val="28"/>
          <w:shd w:val="clear" w:color="auto" w:fill="FFFFFF"/>
          <w:lang w:val="en-GB"/>
        </w:rPr>
        <w:t>.</w:t>
      </w:r>
      <w:r w:rsidR="00391155" w:rsidRPr="008C6F62">
        <w:rPr>
          <w:rStyle w:val="Emphasis"/>
          <w:rFonts w:ascii="Times New Roman" w:hAnsi="Times New Roman"/>
          <w:i w:val="0"/>
          <w:color w:val="000000"/>
          <w:sz w:val="28"/>
          <w:szCs w:val="28"/>
          <w:shd w:val="clear" w:color="auto" w:fill="FFFFFF"/>
          <w:lang w:val="en-GB"/>
        </w:rPr>
        <w:t xml:space="preserve"> </w:t>
      </w:r>
      <w:r w:rsidR="008A12BE" w:rsidRPr="008C6F62">
        <w:rPr>
          <w:rStyle w:val="Emphasis"/>
          <w:rFonts w:ascii="Times New Roman" w:hAnsi="Times New Roman"/>
          <w:i w:val="0"/>
          <w:color w:val="000000"/>
          <w:sz w:val="28"/>
          <w:szCs w:val="28"/>
          <w:shd w:val="clear" w:color="auto" w:fill="FFFFFF"/>
          <w:lang w:val="en-GB"/>
        </w:rPr>
        <w:t>Thus, it is inferred that the extent to which the standard of care needs to be maintained might vary as per distinct situations and results of the case laws.</w:t>
      </w:r>
    </w:p>
    <w:p w14:paraId="2DBF12DC" w14:textId="77777777" w:rsidR="007D6E88" w:rsidRPr="008C6F62" w:rsidRDefault="008A12BE" w:rsidP="002B1BB8">
      <w:pPr>
        <w:spacing w:after="0" w:line="480" w:lineRule="auto"/>
        <w:jc w:val="both"/>
        <w:rPr>
          <w:rStyle w:val="Emphasis"/>
          <w:rFonts w:ascii="Times New Roman" w:hAnsi="Times New Roman"/>
          <w:i w:val="0"/>
          <w:color w:val="000000"/>
          <w:sz w:val="28"/>
          <w:szCs w:val="28"/>
          <w:shd w:val="clear" w:color="auto" w:fill="FFFFFF"/>
          <w:lang w:val="en-GB"/>
        </w:rPr>
      </w:pPr>
      <w:r w:rsidRPr="008C6F62">
        <w:rPr>
          <w:rStyle w:val="Emphasis"/>
          <w:rFonts w:ascii="Times New Roman" w:hAnsi="Times New Roman"/>
          <w:i w:val="0"/>
          <w:color w:val="000000"/>
          <w:sz w:val="28"/>
          <w:szCs w:val="28"/>
          <w:shd w:val="clear" w:color="auto" w:fill="FFFFFF"/>
          <w:lang w:val="en-GB"/>
        </w:rPr>
        <w:tab/>
        <w:t>However, it is also observed that the standard of care principle works differently in case the defendant is involve</w:t>
      </w:r>
      <w:r w:rsidR="001F2D90" w:rsidRPr="008C6F62">
        <w:rPr>
          <w:rStyle w:val="Emphasis"/>
          <w:rFonts w:ascii="Times New Roman" w:hAnsi="Times New Roman"/>
          <w:i w:val="0"/>
          <w:color w:val="000000"/>
          <w:sz w:val="28"/>
          <w:szCs w:val="28"/>
          <w:shd w:val="clear" w:color="auto" w:fill="FFFFFF"/>
          <w:lang w:val="en-GB"/>
        </w:rPr>
        <w:t xml:space="preserve">d within the riskful actions wherein the damage-related risks are high as well as victimhood of the claimants are clearly predictable or foreseeable. While supporting the case law, it is noted that in the case of </w:t>
      </w:r>
      <w:r w:rsidR="001F2D90" w:rsidRPr="008C6F62">
        <w:rPr>
          <w:rStyle w:val="Emphasis"/>
          <w:rFonts w:ascii="Times New Roman" w:hAnsi="Times New Roman"/>
          <w:color w:val="000000"/>
          <w:sz w:val="28"/>
          <w:szCs w:val="28"/>
          <w:shd w:val="clear" w:color="auto" w:fill="FFFFFF"/>
          <w:lang w:val="en-GB"/>
        </w:rPr>
        <w:t>Watt v Hertfordshire County Council [1954]</w:t>
      </w:r>
      <w:r w:rsidR="001F2D90" w:rsidRPr="008C6F62">
        <w:rPr>
          <w:rStyle w:val="Emphasis"/>
          <w:rFonts w:ascii="Times New Roman" w:hAnsi="Times New Roman"/>
          <w:i w:val="0"/>
          <w:color w:val="000000"/>
          <w:sz w:val="28"/>
          <w:szCs w:val="28"/>
          <w:shd w:val="clear" w:color="auto" w:fill="FFFFFF"/>
          <w:lang w:val="en-GB"/>
        </w:rPr>
        <w:t>, the claimant has been working within the fire department as well as was attending the call with a lady who got stuck beneath the lorry close to the fire centre. I</w:t>
      </w:r>
      <w:r w:rsidR="007F6516" w:rsidRPr="008C6F62">
        <w:rPr>
          <w:rStyle w:val="Emphasis"/>
          <w:rFonts w:ascii="Times New Roman" w:hAnsi="Times New Roman"/>
          <w:i w:val="0"/>
          <w:color w:val="000000"/>
          <w:sz w:val="28"/>
          <w:szCs w:val="28"/>
          <w:shd w:val="clear" w:color="auto" w:fill="FFFFFF"/>
          <w:lang w:val="en-GB"/>
        </w:rPr>
        <w:t>t required</w:t>
      </w:r>
      <w:r w:rsidR="001F2D90" w:rsidRPr="008C6F62">
        <w:rPr>
          <w:rStyle w:val="Emphasis"/>
          <w:rFonts w:ascii="Times New Roman" w:hAnsi="Times New Roman"/>
          <w:i w:val="0"/>
          <w:color w:val="000000"/>
          <w:sz w:val="28"/>
          <w:szCs w:val="28"/>
          <w:shd w:val="clear" w:color="auto" w:fill="FFFFFF"/>
          <w:lang w:val="en-GB"/>
        </w:rPr>
        <w:t xml:space="preserve"> </w:t>
      </w:r>
      <w:r w:rsidR="007F6516" w:rsidRPr="008C6F62">
        <w:rPr>
          <w:rStyle w:val="Emphasis"/>
          <w:rFonts w:ascii="Times New Roman" w:hAnsi="Times New Roman"/>
          <w:i w:val="0"/>
          <w:color w:val="000000"/>
          <w:sz w:val="28"/>
          <w:szCs w:val="28"/>
          <w:shd w:val="clear" w:color="auto" w:fill="FFFFFF"/>
          <w:lang w:val="en-GB"/>
        </w:rPr>
        <w:t>heavy</w:t>
      </w:r>
      <w:r w:rsidR="001F2D90" w:rsidRPr="008C6F62">
        <w:rPr>
          <w:rStyle w:val="Emphasis"/>
          <w:rFonts w:ascii="Times New Roman" w:hAnsi="Times New Roman"/>
          <w:i w:val="0"/>
          <w:color w:val="000000"/>
          <w:sz w:val="28"/>
          <w:szCs w:val="28"/>
          <w:shd w:val="clear" w:color="auto" w:fill="FFFFFF"/>
          <w:lang w:val="en-GB"/>
        </w:rPr>
        <w:t xml:space="preserve"> sized equipment for lifting the lorry. </w:t>
      </w:r>
      <w:r w:rsidR="007F6516" w:rsidRPr="008C6F62">
        <w:rPr>
          <w:rStyle w:val="Emphasis"/>
          <w:rFonts w:ascii="Times New Roman" w:hAnsi="Times New Roman"/>
          <w:i w:val="0"/>
          <w:color w:val="000000"/>
          <w:sz w:val="28"/>
          <w:szCs w:val="28"/>
          <w:shd w:val="clear" w:color="auto" w:fill="FFFFFF"/>
          <w:lang w:val="en-GB"/>
        </w:rPr>
        <w:t xml:space="preserve">The transportation vehicle generally utilised for travelling the equipment was not available due to which this equipment was placed unsafely on the backside of the truck. For avoiding its downfall from the truck, the </w:t>
      </w:r>
      <w:r w:rsidR="007F6516" w:rsidRPr="008C6F62">
        <w:rPr>
          <w:rStyle w:val="Emphasis"/>
          <w:rFonts w:ascii="Times New Roman" w:hAnsi="Times New Roman"/>
          <w:i w:val="0"/>
          <w:color w:val="000000"/>
          <w:sz w:val="28"/>
          <w:szCs w:val="28"/>
          <w:shd w:val="clear" w:color="auto" w:fill="FFFFFF"/>
          <w:lang w:val="en-GB"/>
        </w:rPr>
        <w:lastRenderedPageBreak/>
        <w:t>equipment was to hold on by the claimant throughout the journey. On a red light, the claimant suffered an injury because of falling of the equipment due to which he posed a claim of negligence against the employer that he breached the duty-of-care toward</w:t>
      </w:r>
      <w:r w:rsidR="007D6E88" w:rsidRPr="008C6F62">
        <w:rPr>
          <w:rStyle w:val="Emphasis"/>
          <w:rFonts w:ascii="Times New Roman" w:hAnsi="Times New Roman"/>
          <w:i w:val="0"/>
          <w:color w:val="000000"/>
          <w:sz w:val="28"/>
          <w:szCs w:val="28"/>
          <w:shd w:val="clear" w:color="auto" w:fill="FFFFFF"/>
          <w:lang w:val="en-GB"/>
        </w:rPr>
        <w:t>s him (</w:t>
      </w:r>
      <w:r w:rsidR="007D6E88" w:rsidRPr="008C6F62">
        <w:rPr>
          <w:rFonts w:ascii="Times New Roman" w:hAnsi="Times New Roman"/>
          <w:color w:val="222222"/>
          <w:sz w:val="28"/>
          <w:szCs w:val="28"/>
          <w:shd w:val="clear" w:color="auto" w:fill="FFFFFF"/>
          <w:lang w:val="en-GB"/>
        </w:rPr>
        <w:t>Riley-Smith, Heppinstall and Foster, 2020).</w:t>
      </w:r>
      <w:r w:rsidR="007F6516" w:rsidRPr="008C6F62">
        <w:rPr>
          <w:rStyle w:val="Emphasis"/>
          <w:rFonts w:ascii="Times New Roman" w:hAnsi="Times New Roman"/>
          <w:i w:val="0"/>
          <w:color w:val="000000"/>
          <w:sz w:val="28"/>
          <w:szCs w:val="28"/>
          <w:shd w:val="clear" w:color="auto" w:fill="FFFFFF"/>
          <w:lang w:val="en-GB"/>
        </w:rPr>
        <w:t xml:space="preserve"> </w:t>
      </w:r>
    </w:p>
    <w:p w14:paraId="16435997" w14:textId="77777777" w:rsidR="007D6E88" w:rsidRPr="008C6F62" w:rsidRDefault="007F6516" w:rsidP="002B1BB8">
      <w:pPr>
        <w:spacing w:after="0" w:line="480" w:lineRule="auto"/>
        <w:ind w:firstLine="720"/>
        <w:jc w:val="both"/>
        <w:rPr>
          <w:rStyle w:val="Emphasis"/>
          <w:rFonts w:ascii="Times New Roman" w:hAnsi="Times New Roman"/>
          <w:i w:val="0"/>
          <w:color w:val="000000"/>
          <w:sz w:val="28"/>
          <w:szCs w:val="28"/>
          <w:shd w:val="clear" w:color="auto" w:fill="FFFFFF"/>
          <w:lang w:val="en-GB"/>
        </w:rPr>
      </w:pPr>
      <w:r w:rsidRPr="008C6F62">
        <w:rPr>
          <w:rStyle w:val="Emphasis"/>
          <w:rFonts w:ascii="Times New Roman" w:hAnsi="Times New Roman"/>
          <w:i w:val="0"/>
          <w:color w:val="000000"/>
          <w:sz w:val="28"/>
          <w:szCs w:val="28"/>
          <w:shd w:val="clear" w:color="auto" w:fill="FFFFFF"/>
          <w:lang w:val="en-GB"/>
        </w:rPr>
        <w:t xml:space="preserve">However, the court </w:t>
      </w:r>
      <w:r w:rsidR="007D6E88" w:rsidRPr="008C6F62">
        <w:rPr>
          <w:rStyle w:val="Emphasis"/>
          <w:rFonts w:ascii="Times New Roman" w:hAnsi="Times New Roman"/>
          <w:i w:val="0"/>
          <w:color w:val="000000"/>
          <w:sz w:val="28"/>
          <w:szCs w:val="28"/>
          <w:shd w:val="clear" w:color="auto" w:fill="FFFFFF"/>
          <w:lang w:val="en-GB"/>
        </w:rPr>
        <w:t xml:space="preserve">in the above case </w:t>
      </w:r>
      <w:r w:rsidRPr="008C6F62">
        <w:rPr>
          <w:rStyle w:val="Emphasis"/>
          <w:rFonts w:ascii="Times New Roman" w:hAnsi="Times New Roman"/>
          <w:i w:val="0"/>
          <w:color w:val="000000"/>
          <w:sz w:val="28"/>
          <w:szCs w:val="28"/>
          <w:shd w:val="clear" w:color="auto" w:fill="FFFFFF"/>
          <w:lang w:val="en-GB"/>
        </w:rPr>
        <w:t>established that there was an emergency situation wherein the equipment had social utility of a high level for the assurance of saving the lady's life. The risk to the lady has been higher as compared to the risk regarding the claimant's injury. It inferred that the department of fire was not supposed to retrieve precautionary measures to protect the claimant from injury in such a situation of emergency</w:t>
      </w:r>
      <w:r w:rsidR="0017331C" w:rsidRPr="008C6F62">
        <w:rPr>
          <w:rStyle w:val="Emphasis"/>
          <w:rFonts w:ascii="Times New Roman" w:hAnsi="Times New Roman"/>
          <w:i w:val="0"/>
          <w:color w:val="000000"/>
          <w:sz w:val="28"/>
          <w:szCs w:val="28"/>
          <w:shd w:val="clear" w:color="auto" w:fill="FFFFFF"/>
          <w:lang w:val="en-GB"/>
        </w:rPr>
        <w:t xml:space="preserve"> (</w:t>
      </w:r>
      <w:r w:rsidR="0017331C" w:rsidRPr="008C6F62">
        <w:rPr>
          <w:rFonts w:ascii="Times New Roman" w:hAnsi="Times New Roman"/>
          <w:color w:val="222222"/>
          <w:sz w:val="28"/>
          <w:szCs w:val="28"/>
          <w:shd w:val="clear" w:color="auto" w:fill="FFFFFF"/>
          <w:lang w:val="en-GB"/>
        </w:rPr>
        <w:t>Riley-Smith, Heppinstall and Foster, 2020)</w:t>
      </w:r>
      <w:r w:rsidRPr="008C6F62">
        <w:rPr>
          <w:rStyle w:val="Emphasis"/>
          <w:rFonts w:ascii="Times New Roman" w:hAnsi="Times New Roman"/>
          <w:i w:val="0"/>
          <w:color w:val="000000"/>
          <w:sz w:val="28"/>
          <w:szCs w:val="28"/>
          <w:shd w:val="clear" w:color="auto" w:fill="FFFFFF"/>
          <w:lang w:val="en-GB"/>
        </w:rPr>
        <w:t xml:space="preserve">. Thus, this case law assists the </w:t>
      </w:r>
      <w:r w:rsidR="00BC11AA" w:rsidRPr="008C6F62">
        <w:rPr>
          <w:rStyle w:val="Emphasis"/>
          <w:rFonts w:ascii="Times New Roman" w:hAnsi="Times New Roman"/>
          <w:i w:val="0"/>
          <w:color w:val="000000"/>
          <w:sz w:val="28"/>
          <w:szCs w:val="28"/>
          <w:shd w:val="clear" w:color="auto" w:fill="FFFFFF"/>
          <w:lang w:val="en-GB"/>
        </w:rPr>
        <w:t xml:space="preserve">professionals that the standard of care is not fully the liability of the defendant while he assigns workers to get into some riskful tasks for resolving certain emergency situations for saving someone’s life. </w:t>
      </w:r>
      <w:r w:rsidR="0017331C" w:rsidRPr="008C6F62">
        <w:rPr>
          <w:rStyle w:val="Emphasis"/>
          <w:rFonts w:ascii="Times New Roman" w:hAnsi="Times New Roman"/>
          <w:i w:val="0"/>
          <w:color w:val="000000"/>
          <w:sz w:val="28"/>
          <w:szCs w:val="28"/>
          <w:shd w:val="clear" w:color="auto" w:fill="FFFFFF"/>
          <w:lang w:val="en-GB"/>
        </w:rPr>
        <w:t xml:space="preserve">The higher standard of care set out for the professionals is to safeguard the social people in an emergency situation than preventing themselves from the risks of injury while tacking such situation. </w:t>
      </w:r>
      <w:r w:rsidR="00391155" w:rsidRPr="008C6F62">
        <w:rPr>
          <w:rStyle w:val="Emphasis"/>
          <w:rFonts w:ascii="Times New Roman" w:hAnsi="Times New Roman"/>
          <w:i w:val="0"/>
          <w:color w:val="000000"/>
          <w:sz w:val="28"/>
          <w:szCs w:val="28"/>
          <w:shd w:val="clear" w:color="auto" w:fill="FFFFFF"/>
          <w:lang w:val="en-GB"/>
        </w:rPr>
        <w:t xml:space="preserve">This aspect is also assisted by the Social Action, Responsibility and Heroism Act 2015. In this act, it is mentioned that the courts </w:t>
      </w:r>
      <w:r w:rsidR="002635A2" w:rsidRPr="008C6F62">
        <w:rPr>
          <w:rStyle w:val="Emphasis"/>
          <w:rFonts w:ascii="Times New Roman" w:hAnsi="Times New Roman"/>
          <w:i w:val="0"/>
          <w:color w:val="000000"/>
          <w:sz w:val="28"/>
          <w:szCs w:val="28"/>
          <w:shd w:val="clear" w:color="auto" w:fill="FFFFFF"/>
          <w:lang w:val="en-GB"/>
        </w:rPr>
        <w:t xml:space="preserve">need to </w:t>
      </w:r>
      <w:r w:rsidR="00391155" w:rsidRPr="008C6F62">
        <w:rPr>
          <w:rStyle w:val="Emphasis"/>
          <w:rFonts w:ascii="Times New Roman" w:hAnsi="Times New Roman"/>
          <w:i w:val="0"/>
          <w:color w:val="000000"/>
          <w:sz w:val="28"/>
          <w:szCs w:val="28"/>
          <w:shd w:val="clear" w:color="auto" w:fill="FFFFFF"/>
          <w:lang w:val="en-GB"/>
        </w:rPr>
        <w:t xml:space="preserve">consider the aspect of whether the statutory duty's breach took place during the time while the individual was performing some tasks for offering social benefits or welfare of the society. It is also considered in this act that the court well </w:t>
      </w:r>
      <w:r w:rsidR="00391155" w:rsidRPr="008C6F62">
        <w:rPr>
          <w:rStyle w:val="Emphasis"/>
          <w:rFonts w:ascii="Times New Roman" w:hAnsi="Times New Roman"/>
          <w:i w:val="0"/>
          <w:color w:val="000000"/>
          <w:sz w:val="28"/>
          <w:szCs w:val="28"/>
          <w:shd w:val="clear" w:color="auto" w:fill="FFFFFF"/>
          <w:lang w:val="en-GB"/>
        </w:rPr>
        <w:lastRenderedPageBreak/>
        <w:t>regards the situation wherein the negligence is performed during the heroic action of an individual to help social people in emergency situations (</w:t>
      </w:r>
      <w:r w:rsidR="00391155" w:rsidRPr="008C6F62">
        <w:rPr>
          <w:rFonts w:ascii="Times New Roman" w:hAnsi="Times New Roman"/>
          <w:color w:val="222222"/>
          <w:sz w:val="28"/>
          <w:szCs w:val="28"/>
          <w:shd w:val="clear" w:color="auto" w:fill="FFFFFF"/>
          <w:lang w:val="en-GB"/>
        </w:rPr>
        <w:t>Legislation.gov.uk, 2021)</w:t>
      </w:r>
      <w:r w:rsidR="00391155" w:rsidRPr="008C6F62">
        <w:rPr>
          <w:rStyle w:val="Emphasis"/>
          <w:rFonts w:ascii="Times New Roman" w:hAnsi="Times New Roman"/>
          <w:i w:val="0"/>
          <w:color w:val="000000"/>
          <w:sz w:val="28"/>
          <w:szCs w:val="28"/>
          <w:shd w:val="clear" w:color="auto" w:fill="FFFFFF"/>
          <w:lang w:val="en-GB"/>
        </w:rPr>
        <w:t xml:space="preserve">. </w:t>
      </w:r>
    </w:p>
    <w:p w14:paraId="30D0BD43" w14:textId="77777777" w:rsidR="008A12BE" w:rsidRPr="008C6F62" w:rsidRDefault="00391155" w:rsidP="002B1BB8">
      <w:pPr>
        <w:spacing w:after="0" w:line="480" w:lineRule="auto"/>
        <w:ind w:firstLine="720"/>
        <w:jc w:val="both"/>
        <w:rPr>
          <w:rStyle w:val="Emphasis"/>
          <w:rFonts w:ascii="Times New Roman" w:hAnsi="Times New Roman"/>
          <w:i w:val="0"/>
          <w:color w:val="000000"/>
          <w:sz w:val="28"/>
          <w:szCs w:val="28"/>
          <w:shd w:val="clear" w:color="auto" w:fill="FFFFFF"/>
          <w:lang w:val="en-GB"/>
        </w:rPr>
      </w:pPr>
      <w:r w:rsidRPr="008C6F62">
        <w:rPr>
          <w:rStyle w:val="Emphasis"/>
          <w:rFonts w:ascii="Times New Roman" w:hAnsi="Times New Roman"/>
          <w:i w:val="0"/>
          <w:color w:val="000000"/>
          <w:sz w:val="28"/>
          <w:szCs w:val="28"/>
          <w:shd w:val="clear" w:color="auto" w:fill="FFFFFF"/>
          <w:lang w:val="en-GB"/>
        </w:rPr>
        <w:t xml:space="preserve">However, in the case of </w:t>
      </w:r>
      <w:r w:rsidRPr="008C6F62">
        <w:rPr>
          <w:rStyle w:val="Emphasis"/>
          <w:rFonts w:ascii="Times New Roman" w:hAnsi="Times New Roman"/>
          <w:color w:val="000000"/>
          <w:sz w:val="28"/>
          <w:szCs w:val="28"/>
          <w:shd w:val="clear" w:color="auto" w:fill="FFFFFF"/>
          <w:lang w:val="en-GB"/>
        </w:rPr>
        <w:t>Cordas v. Peerless Taxi Company</w:t>
      </w:r>
      <w:r w:rsidRPr="008C6F62">
        <w:rPr>
          <w:rStyle w:val="Emphasis"/>
          <w:rFonts w:ascii="Times New Roman" w:hAnsi="Times New Roman"/>
          <w:i w:val="0"/>
          <w:color w:val="000000"/>
          <w:sz w:val="28"/>
          <w:szCs w:val="28"/>
          <w:shd w:val="clear" w:color="auto" w:fill="FFFFFF"/>
          <w:lang w:val="en-GB"/>
        </w:rPr>
        <w:t xml:space="preserve">, it has been held by the court that the ordinary individual </w:t>
      </w:r>
      <w:r w:rsidR="002635A2" w:rsidRPr="008C6F62">
        <w:rPr>
          <w:rStyle w:val="Emphasis"/>
          <w:rFonts w:ascii="Times New Roman" w:hAnsi="Times New Roman"/>
          <w:i w:val="0"/>
          <w:color w:val="000000"/>
          <w:sz w:val="28"/>
          <w:szCs w:val="28"/>
          <w:shd w:val="clear" w:color="auto" w:fill="FFFFFF"/>
          <w:lang w:val="en-GB"/>
        </w:rPr>
        <w:t>is not to be responsible for performing any heroic duty by putting their own life at severe risks. It is the foremost duty of any individual in any kind of emergency situation to take care of themself unless that individual is not responsible for such an emergency situation</w:t>
      </w:r>
      <w:r w:rsidR="0017331C" w:rsidRPr="008C6F62">
        <w:rPr>
          <w:rStyle w:val="Emphasis"/>
          <w:rFonts w:ascii="Times New Roman" w:hAnsi="Times New Roman"/>
          <w:i w:val="0"/>
          <w:color w:val="000000"/>
          <w:sz w:val="28"/>
          <w:szCs w:val="28"/>
          <w:shd w:val="clear" w:color="auto" w:fill="FFFFFF"/>
          <w:lang w:val="en-GB"/>
        </w:rPr>
        <w:t xml:space="preserve"> (</w:t>
      </w:r>
      <w:r w:rsidR="0017331C" w:rsidRPr="008C6F62">
        <w:rPr>
          <w:rFonts w:ascii="Times New Roman" w:hAnsi="Times New Roman"/>
          <w:sz w:val="28"/>
          <w:szCs w:val="28"/>
          <w:lang w:val="en-GB"/>
        </w:rPr>
        <w:t>LexisNexis, 2021a).</w:t>
      </w:r>
      <w:r w:rsidR="002635A2" w:rsidRPr="008C6F62">
        <w:rPr>
          <w:rStyle w:val="Emphasis"/>
          <w:rFonts w:ascii="Times New Roman" w:hAnsi="Times New Roman"/>
          <w:i w:val="0"/>
          <w:color w:val="000000"/>
          <w:sz w:val="28"/>
          <w:szCs w:val="28"/>
          <w:shd w:val="clear" w:color="auto" w:fill="FFFFFF"/>
          <w:lang w:val="en-GB"/>
        </w:rPr>
        <w:t xml:space="preserve"> Thus, the standard of care, according to the above case, is all about safeguarding one-self first in case there is a life-related risk instead of performing heroic action to protect others at own life's risk. This is noted as the standard of care in the emergency situation and the normal person needs to work accordingly. However, while referring to the case of </w:t>
      </w:r>
      <w:r w:rsidR="002635A2" w:rsidRPr="008C6F62">
        <w:rPr>
          <w:rStyle w:val="Emphasis"/>
          <w:rFonts w:ascii="Times New Roman" w:hAnsi="Times New Roman"/>
          <w:color w:val="000000"/>
          <w:sz w:val="28"/>
          <w:szCs w:val="28"/>
          <w:shd w:val="clear" w:color="auto" w:fill="FFFFFF"/>
          <w:lang w:val="en-GB"/>
        </w:rPr>
        <w:t>Watt v Hertfordshire County Council [1954]</w:t>
      </w:r>
      <w:r w:rsidR="002635A2" w:rsidRPr="008C6F62">
        <w:rPr>
          <w:rStyle w:val="Emphasis"/>
          <w:rFonts w:ascii="Times New Roman" w:hAnsi="Times New Roman"/>
          <w:i w:val="0"/>
          <w:color w:val="000000"/>
          <w:sz w:val="28"/>
          <w:szCs w:val="28"/>
          <w:shd w:val="clear" w:color="auto" w:fill="FFFFFF"/>
          <w:lang w:val="en-GB"/>
        </w:rPr>
        <w:t>, the professional person requires following standard of care at the risk of harms that might be suffered by him or her in regard to handling the emergency situation for protecting the society</w:t>
      </w:r>
      <w:r w:rsidR="0017331C" w:rsidRPr="008C6F62">
        <w:rPr>
          <w:rStyle w:val="Emphasis"/>
          <w:rFonts w:ascii="Times New Roman" w:hAnsi="Times New Roman"/>
          <w:i w:val="0"/>
          <w:color w:val="000000"/>
          <w:sz w:val="28"/>
          <w:szCs w:val="28"/>
          <w:shd w:val="clear" w:color="auto" w:fill="FFFFFF"/>
          <w:lang w:val="en-GB"/>
        </w:rPr>
        <w:t xml:space="preserve"> (</w:t>
      </w:r>
      <w:r w:rsidR="0017331C" w:rsidRPr="008C6F62">
        <w:rPr>
          <w:rFonts w:ascii="Times New Roman" w:hAnsi="Times New Roman"/>
          <w:color w:val="222222"/>
          <w:sz w:val="28"/>
          <w:szCs w:val="28"/>
          <w:shd w:val="clear" w:color="auto" w:fill="FFFFFF"/>
          <w:lang w:val="en-GB"/>
        </w:rPr>
        <w:t>Riley-Smith, Heppinstall and Foster, 2020)</w:t>
      </w:r>
      <w:r w:rsidR="002635A2" w:rsidRPr="008C6F62">
        <w:rPr>
          <w:rStyle w:val="Emphasis"/>
          <w:rFonts w:ascii="Times New Roman" w:hAnsi="Times New Roman"/>
          <w:i w:val="0"/>
          <w:color w:val="000000"/>
          <w:sz w:val="28"/>
          <w:szCs w:val="28"/>
          <w:shd w:val="clear" w:color="auto" w:fill="FFFFFF"/>
          <w:lang w:val="en-GB"/>
        </w:rPr>
        <w:t>.</w:t>
      </w:r>
    </w:p>
    <w:p w14:paraId="52F99126" w14:textId="77777777" w:rsidR="00231DB7" w:rsidRPr="008C6F62" w:rsidRDefault="00231DB7" w:rsidP="002B1BB8">
      <w:pPr>
        <w:spacing w:after="0" w:line="480" w:lineRule="auto"/>
        <w:jc w:val="both"/>
        <w:rPr>
          <w:rFonts w:ascii="Times New Roman" w:eastAsia="Calibri" w:hAnsi="Times New Roman"/>
          <w:sz w:val="28"/>
          <w:szCs w:val="28"/>
          <w:lang w:val="en-GB" w:eastAsia="en-US" w:bidi="hi-IN"/>
        </w:rPr>
      </w:pPr>
      <w:r w:rsidRPr="008C6F62">
        <w:rPr>
          <w:rFonts w:ascii="Times New Roman" w:eastAsia="Calibri" w:hAnsi="Times New Roman"/>
          <w:sz w:val="28"/>
          <w:szCs w:val="28"/>
          <w:lang w:val="en-GB" w:eastAsia="en-US" w:bidi="hi-IN"/>
        </w:rPr>
        <w:t xml:space="preserve">In reference to the legal principles established under the case of </w:t>
      </w:r>
      <w:r w:rsidRPr="008C6F62">
        <w:rPr>
          <w:rFonts w:ascii="Times New Roman" w:eastAsia="Calibri" w:hAnsi="Times New Roman"/>
          <w:i/>
          <w:iCs/>
          <w:sz w:val="28"/>
          <w:szCs w:val="28"/>
          <w:lang w:val="en-GB" w:eastAsia="en-US" w:bidi="hi-IN"/>
        </w:rPr>
        <w:t>Nettleship v Weston</w:t>
      </w:r>
      <w:r w:rsidRPr="008C6F62">
        <w:rPr>
          <w:rFonts w:ascii="Times New Roman" w:eastAsia="Calibri" w:hAnsi="Times New Roman"/>
          <w:sz w:val="28"/>
          <w:szCs w:val="28"/>
          <w:lang w:val="en-GB" w:eastAsia="en-US" w:bidi="hi-IN"/>
        </w:rPr>
        <w:t xml:space="preserve"> [1971], it can be analysed that the standard of care was raised by the aid of the factor named reasonable man. Under this case, it was held that the standard of care cannot be lowered on the grounds of the reasonable man or an experienced </w:t>
      </w:r>
      <w:r w:rsidRPr="008C6F62">
        <w:rPr>
          <w:rFonts w:ascii="Times New Roman" w:eastAsia="Calibri" w:hAnsi="Times New Roman"/>
          <w:sz w:val="28"/>
          <w:szCs w:val="28"/>
          <w:lang w:val="en-GB" w:eastAsia="en-US" w:bidi="hi-IN"/>
        </w:rPr>
        <w:lastRenderedPageBreak/>
        <w:t xml:space="preserve">driver as the defendant learner driver was not permitted to risk others' lives because of having less driving experience.  The civil grants no excuse for the defendant and raises the prevalence of standard of care by considering a breach of duty by the defendant and comparing the defendant with the reasonable and skilled driver (McBride and Bagshaw, 2018). Similarly, the case of </w:t>
      </w:r>
      <w:r w:rsidRPr="008C6F62">
        <w:rPr>
          <w:rFonts w:ascii="Times New Roman" w:eastAsia="Calibri" w:hAnsi="Times New Roman"/>
          <w:i/>
          <w:iCs/>
          <w:sz w:val="28"/>
          <w:szCs w:val="28"/>
          <w:lang w:val="en-GB" w:eastAsia="en-US" w:bidi="hi-IN"/>
        </w:rPr>
        <w:t>Wilsher v Essex</w:t>
      </w:r>
      <w:r w:rsidRPr="008C6F62">
        <w:rPr>
          <w:rFonts w:ascii="Times New Roman" w:eastAsia="Calibri" w:hAnsi="Times New Roman"/>
          <w:sz w:val="28"/>
          <w:szCs w:val="28"/>
          <w:lang w:val="en-GB" w:eastAsia="en-US" w:bidi="hi-IN"/>
        </w:rPr>
        <w:t xml:space="preserve"> [1986] also raised the standard of care by the special factor of issuing liabilities for the actions of a less experienced professional to the immediate health authority and comparing junior doctor's duty of care with that of the skilled doctor (Cornock, 2021). On the other hand, as per the case of </w:t>
      </w:r>
      <w:r w:rsidRPr="008C6F62">
        <w:rPr>
          <w:rFonts w:ascii="Times New Roman" w:eastAsia="Calibri" w:hAnsi="Times New Roman"/>
          <w:i/>
          <w:iCs/>
          <w:sz w:val="28"/>
          <w:szCs w:val="28"/>
          <w:lang w:val="en-GB" w:eastAsia="en-US" w:bidi="hi-IN"/>
        </w:rPr>
        <w:t>Mansfield v Weetabix</w:t>
      </w:r>
      <w:r w:rsidRPr="008C6F62">
        <w:rPr>
          <w:rFonts w:ascii="Times New Roman" w:eastAsia="Calibri" w:hAnsi="Times New Roman"/>
          <w:sz w:val="28"/>
          <w:szCs w:val="28"/>
          <w:lang w:val="en-GB" w:eastAsia="en-US" w:bidi="hi-IN"/>
        </w:rPr>
        <w:t xml:space="preserve"> [1998], it is analysed that the standard of care is lowered in the cases when the breach of duty tends to occur in accordance with the physical as well as mental characteristics of an individual. This case lowered the standard of care through the factor related to consideration of the personal situation or personal characteristics of an individual (Steele, 2007). The case overturned judgements made under </w:t>
      </w:r>
      <w:r w:rsidRPr="008C6F62">
        <w:rPr>
          <w:rFonts w:ascii="Times New Roman" w:eastAsia="Calibri" w:hAnsi="Times New Roman"/>
          <w:i/>
          <w:iCs/>
          <w:sz w:val="28"/>
          <w:szCs w:val="28"/>
          <w:lang w:val="en-GB" w:eastAsia="en-US" w:bidi="hi-IN"/>
        </w:rPr>
        <w:t>Roberts v Ramsbottom</w:t>
      </w:r>
      <w:r w:rsidRPr="008C6F62">
        <w:rPr>
          <w:rFonts w:ascii="Times New Roman" w:eastAsia="Calibri" w:hAnsi="Times New Roman"/>
          <w:sz w:val="28"/>
          <w:szCs w:val="28"/>
          <w:lang w:val="en-GB" w:eastAsia="en-US" w:bidi="hi-IN"/>
        </w:rPr>
        <w:t xml:space="preserve"> [1980] and described that the personal characteristics or situation must be taken into account while offering regards to reasonable standards. This condition might be considered into account because the personal characteristics are required to be compared with that of the reasonable men for the prohibition of liability (Lunney and Oliphant, 2013).</w:t>
      </w:r>
    </w:p>
    <w:p w14:paraId="4B424887" w14:textId="7A50A545" w:rsidR="00231DB7" w:rsidRPr="008C6F62" w:rsidRDefault="00231DB7" w:rsidP="002B1BB8">
      <w:pPr>
        <w:spacing w:after="0" w:line="480" w:lineRule="auto"/>
        <w:ind w:firstLine="720"/>
        <w:jc w:val="both"/>
        <w:rPr>
          <w:rFonts w:ascii="Times New Roman" w:eastAsia="Calibri" w:hAnsi="Times New Roman"/>
          <w:sz w:val="28"/>
          <w:szCs w:val="28"/>
          <w:lang w:val="en-GB" w:eastAsia="en-US" w:bidi="hi-IN"/>
        </w:rPr>
      </w:pPr>
      <w:r w:rsidRPr="008C6F62">
        <w:rPr>
          <w:rFonts w:ascii="Times New Roman" w:eastAsia="Calibri" w:hAnsi="Times New Roman"/>
          <w:sz w:val="28"/>
          <w:szCs w:val="28"/>
          <w:lang w:val="en-GB" w:eastAsia="en-US" w:bidi="hi-IN"/>
        </w:rPr>
        <w:lastRenderedPageBreak/>
        <w:tab/>
        <w:t>Further, section 1defined in Compensation Act 2006 also helps in raising the standard of care by helping to determine whether or not an act can be stated as negligent. It allows the court to take strict actions by discouraging the individuals to perform the undertaking functions in relationship with the desirable activity (Williams, 2006).</w:t>
      </w:r>
      <w:r w:rsidR="00A337F7" w:rsidRPr="008C6F62">
        <w:rPr>
          <w:rFonts w:ascii="Times New Roman" w:eastAsia="Calibri" w:hAnsi="Times New Roman"/>
          <w:sz w:val="28"/>
          <w:szCs w:val="28"/>
          <w:lang w:val="en-GB" w:eastAsia="en-US" w:bidi="hi-IN"/>
        </w:rPr>
        <w:t xml:space="preserve"> </w:t>
      </w:r>
      <w:r w:rsidRPr="008C6F62">
        <w:rPr>
          <w:rFonts w:ascii="Times New Roman" w:eastAsia="Calibri" w:hAnsi="Times New Roman"/>
          <w:sz w:val="28"/>
          <w:szCs w:val="28"/>
          <w:lang w:val="en-GB" w:eastAsia="en-US" w:bidi="hi-IN"/>
        </w:rPr>
        <w:t xml:space="preserve">Furthermore, in regard to sporting activities, the standard of care is applied by means of the skills and level of proficiency of the sports players. This can be affirmed by the case of </w:t>
      </w:r>
      <w:r w:rsidRPr="008C6F62">
        <w:rPr>
          <w:rFonts w:ascii="Times New Roman" w:eastAsia="Calibri" w:hAnsi="Times New Roman"/>
          <w:i/>
          <w:iCs/>
          <w:sz w:val="28"/>
          <w:szCs w:val="28"/>
          <w:lang w:val="en-GB" w:eastAsia="en-US" w:bidi="hi-IN"/>
        </w:rPr>
        <w:t>Condon v Basi</w:t>
      </w:r>
      <w:r w:rsidRPr="008C6F62">
        <w:rPr>
          <w:rFonts w:ascii="Times New Roman" w:eastAsia="Calibri" w:hAnsi="Times New Roman"/>
          <w:sz w:val="28"/>
          <w:szCs w:val="28"/>
          <w:lang w:val="en-GB" w:eastAsia="en-US" w:bidi="hi-IN"/>
        </w:rPr>
        <w:t xml:space="preserve"> [1985] which involved a football match where the claimant broke his leg after receiving a challenge from the side of the defendant. The competing football clubs in the match were a part of the Leamington Local League (Steele, 2010). Under this case, the Court was confused in regard to the prevalence of the standard of care that was expected from the football player. Finally, the Court reached the judgment that the standard of care is applicable between the two competitive sports teams as per the expertise attained by the sports player. In this context, the defendant is identified to show a breach of duty. The Court also found that for applying the standard of care in competitive sports, the associated participants are required to hold the duty of care for their fellow teammates. The player is liable for negligence in showing a low standard of care (Howarth, 2016).</w:t>
      </w:r>
    </w:p>
    <w:p w14:paraId="02E14A85" w14:textId="17F48CF0" w:rsidR="007710C3" w:rsidRPr="008C6F62" w:rsidRDefault="007710C3" w:rsidP="002B1BB8">
      <w:pPr>
        <w:spacing w:after="0" w:line="480" w:lineRule="auto"/>
        <w:ind w:firstLine="720"/>
        <w:jc w:val="both"/>
        <w:rPr>
          <w:rFonts w:ascii="Times New Roman" w:eastAsia="Calibri" w:hAnsi="Times New Roman"/>
          <w:sz w:val="28"/>
          <w:szCs w:val="28"/>
          <w:lang w:val="en-GB" w:eastAsia="en-US" w:bidi="hi-IN"/>
        </w:rPr>
      </w:pPr>
    </w:p>
    <w:p w14:paraId="1BCF84A5" w14:textId="5DF233E1" w:rsidR="007710C3" w:rsidRPr="008C6F62" w:rsidRDefault="007710C3" w:rsidP="002B1BB8">
      <w:pPr>
        <w:spacing w:after="0" w:line="480" w:lineRule="auto"/>
        <w:ind w:firstLine="720"/>
        <w:jc w:val="both"/>
        <w:rPr>
          <w:rFonts w:ascii="Times New Roman" w:eastAsia="Calibri" w:hAnsi="Times New Roman"/>
          <w:sz w:val="28"/>
          <w:szCs w:val="28"/>
          <w:lang w:val="en-GB" w:eastAsia="en-US" w:bidi="hi-IN"/>
        </w:rPr>
      </w:pPr>
    </w:p>
    <w:p w14:paraId="2FBD33C7" w14:textId="5F441018" w:rsidR="007710C3" w:rsidRPr="008C6F62" w:rsidRDefault="007710C3" w:rsidP="002B1BB8">
      <w:pPr>
        <w:spacing w:after="0" w:line="480" w:lineRule="auto"/>
        <w:ind w:firstLine="720"/>
        <w:jc w:val="both"/>
        <w:rPr>
          <w:rFonts w:ascii="Times New Roman" w:eastAsia="Calibri" w:hAnsi="Times New Roman"/>
          <w:sz w:val="28"/>
          <w:szCs w:val="28"/>
          <w:lang w:val="en-GB" w:eastAsia="en-US" w:bidi="hi-IN"/>
        </w:rPr>
      </w:pPr>
    </w:p>
    <w:p w14:paraId="512A4E78" w14:textId="77777777" w:rsidR="007710C3" w:rsidRPr="008C6F62" w:rsidRDefault="007710C3" w:rsidP="002B1BB8">
      <w:pPr>
        <w:spacing w:after="0" w:line="480" w:lineRule="auto"/>
        <w:ind w:firstLine="720"/>
        <w:jc w:val="both"/>
        <w:rPr>
          <w:rStyle w:val="Emphasis"/>
          <w:rFonts w:ascii="Times New Roman" w:eastAsia="Calibri" w:hAnsi="Times New Roman"/>
          <w:i w:val="0"/>
          <w:iCs w:val="0"/>
          <w:sz w:val="28"/>
          <w:szCs w:val="28"/>
          <w:lang w:val="en-GB" w:eastAsia="en-US" w:bidi="hi-IN"/>
        </w:rPr>
      </w:pPr>
    </w:p>
    <w:p w14:paraId="48E54832" w14:textId="77777777" w:rsidR="002635A2" w:rsidRPr="008C6F62" w:rsidRDefault="0088773A" w:rsidP="002B1BB8">
      <w:pPr>
        <w:pStyle w:val="Heading1"/>
        <w:spacing w:before="0" w:after="0" w:line="480" w:lineRule="auto"/>
        <w:rPr>
          <w:rStyle w:val="Emphasis"/>
          <w:rFonts w:ascii="Times New Roman" w:hAnsi="Times New Roman"/>
          <w:i w:val="0"/>
          <w:color w:val="000000"/>
          <w:sz w:val="28"/>
          <w:szCs w:val="28"/>
          <w:shd w:val="clear" w:color="auto" w:fill="FFFFFF"/>
          <w:lang w:val="en-GB"/>
        </w:rPr>
      </w:pPr>
      <w:bookmarkStart w:id="2" w:name="_Toc85804340"/>
      <w:r w:rsidRPr="008C6F62">
        <w:rPr>
          <w:rStyle w:val="Emphasis"/>
          <w:rFonts w:ascii="Times New Roman" w:hAnsi="Times New Roman"/>
          <w:i w:val="0"/>
          <w:color w:val="000000"/>
          <w:sz w:val="28"/>
          <w:szCs w:val="28"/>
          <w:shd w:val="clear" w:color="auto" w:fill="FFFFFF"/>
          <w:lang w:val="en-GB"/>
        </w:rPr>
        <w:t>Conclusion</w:t>
      </w:r>
      <w:bookmarkEnd w:id="2"/>
    </w:p>
    <w:p w14:paraId="1F0F883F" w14:textId="459F45E1" w:rsidR="002635A2" w:rsidRPr="008C6F62" w:rsidRDefault="002635A2" w:rsidP="002B1BB8">
      <w:pPr>
        <w:spacing w:after="0" w:line="480" w:lineRule="auto"/>
        <w:jc w:val="both"/>
        <w:rPr>
          <w:rStyle w:val="Emphasis"/>
          <w:rFonts w:ascii="Times New Roman" w:hAnsi="Times New Roman"/>
          <w:i w:val="0"/>
          <w:color w:val="000000"/>
          <w:sz w:val="28"/>
          <w:szCs w:val="28"/>
          <w:shd w:val="clear" w:color="auto" w:fill="FFFFFF"/>
          <w:lang w:val="en-GB"/>
        </w:rPr>
      </w:pPr>
      <w:r w:rsidRPr="008C6F62">
        <w:rPr>
          <w:rStyle w:val="Emphasis"/>
          <w:rFonts w:ascii="Times New Roman" w:hAnsi="Times New Roman"/>
          <w:i w:val="0"/>
          <w:color w:val="000000"/>
          <w:sz w:val="28"/>
          <w:szCs w:val="28"/>
          <w:shd w:val="clear" w:color="auto" w:fill="FFFFFF"/>
          <w:lang w:val="en-GB"/>
        </w:rPr>
        <w:tab/>
        <w:t xml:space="preserve">In this way, it is identified that the standard of care has balanced flexibility and fairness for defendants and claimants. It is because the standard of care involves </w:t>
      </w:r>
      <w:r w:rsidR="0088773A" w:rsidRPr="008C6F62">
        <w:rPr>
          <w:rStyle w:val="Emphasis"/>
          <w:rFonts w:ascii="Times New Roman" w:hAnsi="Times New Roman"/>
          <w:i w:val="0"/>
          <w:color w:val="000000"/>
          <w:sz w:val="28"/>
          <w:szCs w:val="28"/>
          <w:shd w:val="clear" w:color="auto" w:fill="FFFFFF"/>
          <w:lang w:val="en-GB"/>
        </w:rPr>
        <w:t xml:space="preserve">customs that are usually considered by the professionals like other expert professionals to perform their tasks successfully. These customs might vary according to the nature of requirements but in professionalism, these customs must be accepted by other experts and professionals in the same field. Thus, on the defendants' and claimants' part, the standard of care related customs are flexible but fair in all manners. </w:t>
      </w:r>
    </w:p>
    <w:p w14:paraId="31EAA9CF" w14:textId="77777777" w:rsidR="00BE6E61" w:rsidRPr="002B1BB8" w:rsidRDefault="00391155" w:rsidP="002B1BB8">
      <w:pPr>
        <w:spacing w:after="0" w:line="480" w:lineRule="auto"/>
        <w:jc w:val="both"/>
        <w:rPr>
          <w:rStyle w:val="Emphasis"/>
          <w:rFonts w:ascii="Times New Roman" w:hAnsi="Times New Roman"/>
          <w:i w:val="0"/>
          <w:color w:val="000000"/>
          <w:sz w:val="24"/>
          <w:szCs w:val="24"/>
          <w:shd w:val="clear" w:color="auto" w:fill="FFFFFF"/>
          <w:lang w:val="en-GB"/>
        </w:rPr>
      </w:pPr>
      <w:r w:rsidRPr="002B1BB8">
        <w:rPr>
          <w:rFonts w:ascii="Times New Roman" w:hAnsi="Times New Roman"/>
          <w:color w:val="202122"/>
          <w:sz w:val="24"/>
          <w:szCs w:val="24"/>
          <w:shd w:val="clear" w:color="auto" w:fill="FFFFFF"/>
          <w:lang w:val="en-GB"/>
        </w:rPr>
        <w:t> </w:t>
      </w:r>
    </w:p>
    <w:p w14:paraId="12814AA3" w14:textId="77777777" w:rsidR="00BE6E61" w:rsidRPr="002B1BB8" w:rsidRDefault="00BE6E61" w:rsidP="002B1BB8">
      <w:pPr>
        <w:spacing w:after="0" w:line="480" w:lineRule="auto"/>
        <w:jc w:val="both"/>
        <w:rPr>
          <w:rStyle w:val="Emphasis"/>
          <w:rFonts w:ascii="Times New Roman" w:hAnsi="Times New Roman"/>
          <w:i w:val="0"/>
          <w:color w:val="000000"/>
          <w:sz w:val="24"/>
          <w:szCs w:val="24"/>
          <w:shd w:val="clear" w:color="auto" w:fill="FFFFFF"/>
          <w:lang w:val="en-GB"/>
        </w:rPr>
      </w:pPr>
    </w:p>
    <w:p w14:paraId="0518F9EE" w14:textId="77777777" w:rsidR="00372182" w:rsidRPr="002B1BB8" w:rsidRDefault="00372182" w:rsidP="002B1BB8">
      <w:pPr>
        <w:spacing w:after="0" w:line="480" w:lineRule="auto"/>
        <w:rPr>
          <w:rFonts w:ascii="Times New Roman" w:hAnsi="Times New Roman"/>
          <w:bCs/>
          <w:sz w:val="24"/>
          <w:szCs w:val="24"/>
          <w:lang w:val="en-GB"/>
        </w:rPr>
      </w:pPr>
    </w:p>
    <w:p w14:paraId="2A38C11B" w14:textId="77777777" w:rsidR="00596DA8" w:rsidRPr="002B1BB8" w:rsidRDefault="007D6E88" w:rsidP="002B1BB8">
      <w:pPr>
        <w:pStyle w:val="Heading1"/>
        <w:spacing w:before="0" w:after="0" w:line="480" w:lineRule="auto"/>
        <w:rPr>
          <w:rFonts w:ascii="Times New Roman" w:hAnsi="Times New Roman"/>
          <w:sz w:val="24"/>
          <w:szCs w:val="24"/>
          <w:lang w:val="en-GB"/>
        </w:rPr>
      </w:pPr>
      <w:r w:rsidRPr="002B1BB8">
        <w:rPr>
          <w:rFonts w:ascii="Times New Roman" w:hAnsi="Times New Roman"/>
          <w:sz w:val="24"/>
          <w:szCs w:val="24"/>
          <w:lang w:val="en-GB"/>
        </w:rPr>
        <w:br w:type="page"/>
      </w:r>
      <w:bookmarkStart w:id="3" w:name="_Toc85804341"/>
      <w:r w:rsidR="00596DA8" w:rsidRPr="002B1BB8">
        <w:rPr>
          <w:rFonts w:ascii="Times New Roman" w:hAnsi="Times New Roman"/>
          <w:sz w:val="24"/>
          <w:szCs w:val="24"/>
          <w:lang w:val="en-GB"/>
        </w:rPr>
        <w:lastRenderedPageBreak/>
        <w:t>References</w:t>
      </w:r>
      <w:bookmarkEnd w:id="3"/>
    </w:p>
    <w:p w14:paraId="5E54F1A3"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Bailey, S.H.,</w:t>
      </w:r>
      <w:r w:rsidR="00E511C9" w:rsidRPr="00694FEC">
        <w:rPr>
          <w:rFonts w:ascii="Times New Roman" w:eastAsia="Calibri" w:hAnsi="Times New Roman"/>
          <w:sz w:val="24"/>
          <w:szCs w:val="24"/>
          <w:lang w:val="en-GB" w:eastAsia="en-US" w:bidi="hi-IN"/>
        </w:rPr>
        <w:t xml:space="preserve"> Jones, B.L. and </w:t>
      </w:r>
      <w:r w:rsidRPr="00694FEC">
        <w:rPr>
          <w:rFonts w:ascii="Times New Roman" w:eastAsia="Calibri" w:hAnsi="Times New Roman"/>
          <w:sz w:val="24"/>
          <w:szCs w:val="24"/>
          <w:lang w:val="en-GB" w:eastAsia="en-US" w:bidi="hi-IN"/>
        </w:rPr>
        <w:t xml:space="preserve">Mowbray, A.R. 2005. </w:t>
      </w:r>
      <w:r w:rsidRPr="00694FEC">
        <w:rPr>
          <w:rFonts w:ascii="Times New Roman" w:eastAsia="Calibri" w:hAnsi="Times New Roman"/>
          <w:i/>
          <w:iCs/>
          <w:sz w:val="24"/>
          <w:szCs w:val="24"/>
          <w:lang w:val="en-GB" w:eastAsia="en-US" w:bidi="hi-IN"/>
        </w:rPr>
        <w:t>Cases, materials and commentary on administrative law</w:t>
      </w:r>
      <w:r w:rsidRPr="00694FEC">
        <w:rPr>
          <w:rFonts w:ascii="Times New Roman" w:eastAsia="Calibri" w:hAnsi="Times New Roman"/>
          <w:sz w:val="24"/>
          <w:szCs w:val="24"/>
          <w:lang w:val="en-GB" w:eastAsia="en-US" w:bidi="hi-IN"/>
        </w:rPr>
        <w:t>. Mytholmroyd: Sweet &amp; Maxwell.</w:t>
      </w:r>
    </w:p>
    <w:p w14:paraId="7BC6E955" w14:textId="35CA1C9B" w:rsidR="002B1BB8" w:rsidRPr="002B1BB8" w:rsidRDefault="002B1BB8" w:rsidP="002B1BB8">
      <w:pPr>
        <w:spacing w:after="0" w:line="480" w:lineRule="auto"/>
        <w:ind w:left="720" w:hanging="720"/>
        <w:rPr>
          <w:rFonts w:ascii="Times New Roman" w:hAnsi="Times New Roman"/>
          <w:sz w:val="24"/>
          <w:szCs w:val="24"/>
          <w:lang w:val="en-GB"/>
        </w:rPr>
      </w:pPr>
      <w:r w:rsidRPr="002B1BB8">
        <w:rPr>
          <w:rFonts w:ascii="Times New Roman" w:hAnsi="Times New Roman"/>
          <w:sz w:val="24"/>
          <w:szCs w:val="24"/>
          <w:lang w:val="en-GB"/>
        </w:rPr>
        <w:t xml:space="preserve">Cappellino, A. 2021. The Standard of Care for Medical Malpractice: What You Need to Know. [Online]. Available at: </w:t>
      </w:r>
      <w:hyperlink r:id="rId7" w:history="1">
        <w:r w:rsidRPr="002B1BB8">
          <w:rPr>
            <w:rStyle w:val="Hyperlink"/>
            <w:rFonts w:ascii="Times New Roman" w:hAnsi="Times New Roman"/>
            <w:sz w:val="24"/>
            <w:szCs w:val="24"/>
            <w:lang w:val="en-GB"/>
          </w:rPr>
          <w:t>https://www.expertinstitute.com/resources/insights/standard-care-medical-malpractice-need-know/</w:t>
        </w:r>
      </w:hyperlink>
      <w:r w:rsidRPr="002B1BB8">
        <w:rPr>
          <w:rFonts w:ascii="Times New Roman" w:hAnsi="Times New Roman"/>
          <w:sz w:val="24"/>
          <w:szCs w:val="24"/>
          <w:lang w:val="en-GB"/>
        </w:rPr>
        <w:t xml:space="preserve"> [Accessed on: </w:t>
      </w:r>
      <w:r w:rsidR="00D4654E">
        <w:rPr>
          <w:rFonts w:ascii="Times New Roman" w:hAnsi="Times New Roman"/>
          <w:sz w:val="24"/>
          <w:szCs w:val="24"/>
          <w:lang w:val="en-GB"/>
        </w:rPr>
        <w:t>15</w:t>
      </w:r>
      <w:r w:rsidR="00D4654E" w:rsidRPr="00D4654E">
        <w:rPr>
          <w:rFonts w:ascii="Times New Roman" w:hAnsi="Times New Roman"/>
          <w:sz w:val="24"/>
          <w:szCs w:val="24"/>
          <w:vertAlign w:val="superscript"/>
          <w:lang w:val="en-GB"/>
        </w:rPr>
        <w:t>th</w:t>
      </w:r>
      <w:r w:rsidR="00D4654E">
        <w:rPr>
          <w:rFonts w:ascii="Times New Roman" w:hAnsi="Times New Roman"/>
          <w:sz w:val="24"/>
          <w:szCs w:val="24"/>
          <w:lang w:val="en-GB"/>
        </w:rPr>
        <w:t xml:space="preserve"> </w:t>
      </w:r>
      <w:r w:rsidR="00D4654E" w:rsidRPr="002B1BB8">
        <w:rPr>
          <w:rFonts w:ascii="Times New Roman" w:hAnsi="Times New Roman"/>
          <w:sz w:val="24"/>
          <w:szCs w:val="24"/>
          <w:lang w:val="en-GB"/>
        </w:rPr>
        <w:t>October</w:t>
      </w:r>
      <w:r w:rsidRPr="002B1BB8">
        <w:rPr>
          <w:rFonts w:ascii="Times New Roman" w:hAnsi="Times New Roman"/>
          <w:sz w:val="24"/>
          <w:szCs w:val="24"/>
          <w:lang w:val="en-GB"/>
        </w:rPr>
        <w:t xml:space="preserve"> 2021].</w:t>
      </w:r>
    </w:p>
    <w:p w14:paraId="18F24A08"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Cornock, M. 2021. </w:t>
      </w:r>
      <w:r w:rsidRPr="00694FEC">
        <w:rPr>
          <w:rFonts w:ascii="Times New Roman" w:eastAsia="Calibri" w:hAnsi="Times New Roman"/>
          <w:i/>
          <w:iCs/>
          <w:sz w:val="24"/>
          <w:szCs w:val="24"/>
          <w:lang w:val="en-GB" w:eastAsia="en-US" w:bidi="hi-IN"/>
        </w:rPr>
        <w:t>Key Questions in Healthcare Law and Ethics</w:t>
      </w:r>
      <w:r w:rsidRPr="00694FEC">
        <w:rPr>
          <w:rFonts w:ascii="Times New Roman" w:eastAsia="Calibri" w:hAnsi="Times New Roman"/>
          <w:sz w:val="24"/>
          <w:szCs w:val="24"/>
          <w:lang w:val="en-GB" w:eastAsia="en-US" w:bidi="hi-IN"/>
        </w:rPr>
        <w:t>. Sage: California.</w:t>
      </w:r>
    </w:p>
    <w:p w14:paraId="220EDAF7" w14:textId="77777777" w:rsidR="002B1BB8" w:rsidRPr="002B1BB8" w:rsidRDefault="002B1BB8" w:rsidP="002B1BB8">
      <w:pPr>
        <w:spacing w:after="0" w:line="480" w:lineRule="auto"/>
        <w:ind w:left="720" w:hanging="720"/>
        <w:rPr>
          <w:rFonts w:ascii="Times New Roman" w:hAnsi="Times New Roman"/>
          <w:color w:val="222222"/>
          <w:sz w:val="24"/>
          <w:szCs w:val="24"/>
          <w:shd w:val="clear" w:color="auto" w:fill="FFFFFF"/>
          <w:lang w:val="en-GB"/>
        </w:rPr>
      </w:pPr>
      <w:r w:rsidRPr="002B1BB8">
        <w:rPr>
          <w:rFonts w:ascii="Times New Roman" w:hAnsi="Times New Roman"/>
          <w:color w:val="222222"/>
          <w:sz w:val="24"/>
          <w:szCs w:val="24"/>
          <w:shd w:val="clear" w:color="auto" w:fill="FFFFFF"/>
          <w:lang w:val="en-GB"/>
        </w:rPr>
        <w:t>Dowie, I. 2020. Understanding the standard of care required by nurses. </w:t>
      </w:r>
      <w:r w:rsidRPr="002B1BB8">
        <w:rPr>
          <w:rFonts w:ascii="Times New Roman" w:hAnsi="Times New Roman"/>
          <w:i/>
          <w:iCs/>
          <w:color w:val="222222"/>
          <w:sz w:val="24"/>
          <w:szCs w:val="24"/>
          <w:shd w:val="clear" w:color="auto" w:fill="FFFFFF"/>
          <w:lang w:val="en-GB"/>
        </w:rPr>
        <w:t>Nursing standard (Royal College of Nursing (Great Britain): 1987)</w:t>
      </w:r>
      <w:r w:rsidRPr="002B1BB8">
        <w:rPr>
          <w:rFonts w:ascii="Times New Roman" w:hAnsi="Times New Roman"/>
          <w:color w:val="222222"/>
          <w:sz w:val="24"/>
          <w:szCs w:val="24"/>
          <w:shd w:val="clear" w:color="auto" w:fill="FFFFFF"/>
          <w:lang w:val="en-GB"/>
        </w:rPr>
        <w:t xml:space="preserve"> </w:t>
      </w:r>
      <w:r w:rsidRPr="002B1BB8">
        <w:rPr>
          <w:rFonts w:ascii="Times New Roman" w:hAnsi="Times New Roman"/>
          <w:iCs/>
          <w:color w:val="222222"/>
          <w:sz w:val="24"/>
          <w:szCs w:val="24"/>
          <w:shd w:val="clear" w:color="auto" w:fill="FFFFFF"/>
          <w:lang w:val="en-GB"/>
        </w:rPr>
        <w:t>35</w:t>
      </w:r>
      <w:r w:rsidRPr="002B1BB8">
        <w:rPr>
          <w:rFonts w:ascii="Times New Roman" w:hAnsi="Times New Roman"/>
          <w:color w:val="222222"/>
          <w:sz w:val="24"/>
          <w:szCs w:val="24"/>
          <w:shd w:val="clear" w:color="auto" w:fill="FFFFFF"/>
          <w:lang w:val="en-GB"/>
        </w:rPr>
        <w:t>(4), pp. 29-34.</w:t>
      </w:r>
    </w:p>
    <w:p w14:paraId="2EF30934" w14:textId="77777777" w:rsidR="002B1BB8" w:rsidRPr="002B1BB8" w:rsidRDefault="002B1BB8" w:rsidP="002B1BB8">
      <w:pPr>
        <w:spacing w:after="0" w:line="480" w:lineRule="auto"/>
        <w:ind w:left="720" w:hanging="720"/>
        <w:rPr>
          <w:rFonts w:ascii="Times New Roman" w:hAnsi="Times New Roman"/>
          <w:color w:val="222222"/>
          <w:sz w:val="24"/>
          <w:szCs w:val="24"/>
          <w:shd w:val="clear" w:color="auto" w:fill="FFFFFF"/>
          <w:lang w:val="en-GB"/>
        </w:rPr>
      </w:pPr>
      <w:r w:rsidRPr="002B1BB8">
        <w:rPr>
          <w:rFonts w:ascii="Times New Roman" w:hAnsi="Times New Roman"/>
          <w:color w:val="222222"/>
          <w:sz w:val="24"/>
          <w:szCs w:val="24"/>
          <w:shd w:val="clear" w:color="auto" w:fill="FFFFFF"/>
          <w:lang w:val="en-GB"/>
        </w:rPr>
        <w:t>Gafurova, N., Khidoyatov, B. and Sunnatov, V. 2020. Criminal responsibility of medical workers: national and foreign experience. </w:t>
      </w:r>
      <w:r w:rsidRPr="002B1BB8">
        <w:rPr>
          <w:rFonts w:ascii="Times New Roman" w:hAnsi="Times New Roman"/>
          <w:i/>
          <w:iCs/>
          <w:color w:val="222222"/>
          <w:sz w:val="24"/>
          <w:szCs w:val="24"/>
          <w:shd w:val="clear" w:color="auto" w:fill="FFFFFF"/>
          <w:lang w:val="en-GB"/>
        </w:rPr>
        <w:t>International Journal of Pharmaceutical Research</w:t>
      </w:r>
      <w:r w:rsidRPr="002B1BB8">
        <w:rPr>
          <w:rFonts w:ascii="Times New Roman" w:hAnsi="Times New Roman"/>
          <w:color w:val="222222"/>
          <w:sz w:val="24"/>
          <w:szCs w:val="24"/>
          <w:shd w:val="clear" w:color="auto" w:fill="FFFFFF"/>
          <w:lang w:val="en-GB"/>
        </w:rPr>
        <w:t> </w:t>
      </w:r>
      <w:r w:rsidRPr="002B1BB8">
        <w:rPr>
          <w:rFonts w:ascii="Times New Roman" w:hAnsi="Times New Roman"/>
          <w:iCs/>
          <w:color w:val="222222"/>
          <w:sz w:val="24"/>
          <w:szCs w:val="24"/>
          <w:shd w:val="clear" w:color="auto" w:fill="FFFFFF"/>
          <w:lang w:val="en-GB"/>
        </w:rPr>
        <w:t>12</w:t>
      </w:r>
      <w:r w:rsidRPr="002B1BB8">
        <w:rPr>
          <w:rFonts w:ascii="Times New Roman" w:hAnsi="Times New Roman"/>
          <w:color w:val="222222"/>
          <w:sz w:val="24"/>
          <w:szCs w:val="24"/>
          <w:shd w:val="clear" w:color="auto" w:fill="FFFFFF"/>
          <w:lang w:val="en-GB"/>
        </w:rPr>
        <w:t>(2), p. 157.</w:t>
      </w:r>
    </w:p>
    <w:p w14:paraId="3CB4D0B4" w14:textId="77777777" w:rsidR="002B1BB8" w:rsidRPr="002B1BB8" w:rsidRDefault="002B1BB8" w:rsidP="002B1BB8">
      <w:pPr>
        <w:spacing w:after="0" w:line="480" w:lineRule="auto"/>
        <w:ind w:left="720" w:hanging="720"/>
        <w:rPr>
          <w:rFonts w:ascii="Times New Roman" w:hAnsi="Times New Roman"/>
          <w:sz w:val="24"/>
          <w:szCs w:val="24"/>
          <w:lang w:val="en-GB"/>
        </w:rPr>
      </w:pPr>
      <w:r w:rsidRPr="002B1BB8">
        <w:rPr>
          <w:rFonts w:ascii="Times New Roman" w:hAnsi="Times New Roman"/>
          <w:color w:val="222222"/>
          <w:sz w:val="24"/>
          <w:szCs w:val="24"/>
          <w:shd w:val="clear" w:color="auto" w:fill="FFFFFF"/>
          <w:lang w:val="en-GB"/>
        </w:rPr>
        <w:t>Griffith, R. 2020. Duty, indemnity and immunity during the COVID-19 pandemic. </w:t>
      </w:r>
      <w:r w:rsidRPr="002B1BB8">
        <w:rPr>
          <w:rFonts w:ascii="Times New Roman" w:hAnsi="Times New Roman"/>
          <w:i/>
          <w:iCs/>
          <w:color w:val="222222"/>
          <w:sz w:val="24"/>
          <w:szCs w:val="24"/>
          <w:shd w:val="clear" w:color="auto" w:fill="FFFFFF"/>
          <w:lang w:val="en-GB"/>
        </w:rPr>
        <w:t>British Journal of Nursing</w:t>
      </w:r>
      <w:r w:rsidRPr="002B1BB8">
        <w:rPr>
          <w:rFonts w:ascii="Times New Roman" w:hAnsi="Times New Roman"/>
          <w:color w:val="222222"/>
          <w:sz w:val="24"/>
          <w:szCs w:val="24"/>
          <w:shd w:val="clear" w:color="auto" w:fill="FFFFFF"/>
          <w:lang w:val="en-GB"/>
        </w:rPr>
        <w:t xml:space="preserve"> </w:t>
      </w:r>
      <w:r w:rsidRPr="002B1BB8">
        <w:rPr>
          <w:rFonts w:ascii="Times New Roman" w:hAnsi="Times New Roman"/>
          <w:iCs/>
          <w:color w:val="222222"/>
          <w:sz w:val="24"/>
          <w:szCs w:val="24"/>
          <w:shd w:val="clear" w:color="auto" w:fill="FFFFFF"/>
          <w:lang w:val="en-GB"/>
        </w:rPr>
        <w:t>29</w:t>
      </w:r>
      <w:r w:rsidRPr="002B1BB8">
        <w:rPr>
          <w:rFonts w:ascii="Times New Roman" w:hAnsi="Times New Roman"/>
          <w:color w:val="222222"/>
          <w:sz w:val="24"/>
          <w:szCs w:val="24"/>
          <w:shd w:val="clear" w:color="auto" w:fill="FFFFFF"/>
          <w:lang w:val="en-GB"/>
        </w:rPr>
        <w:t>(9), pp. 537-538.</w:t>
      </w:r>
    </w:p>
    <w:p w14:paraId="7FB767CC"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 xml:space="preserve">Harlow, C. 2005. </w:t>
      </w:r>
      <w:r w:rsidRPr="00694FEC">
        <w:rPr>
          <w:rFonts w:ascii="Times New Roman" w:eastAsia="Calibri" w:hAnsi="Times New Roman"/>
          <w:i/>
          <w:iCs/>
          <w:sz w:val="24"/>
          <w:szCs w:val="24"/>
          <w:lang w:val="en-GB" w:eastAsia="en-US" w:bidi="hi-IN"/>
        </w:rPr>
        <w:t>Understanding Tort Law</w:t>
      </w:r>
      <w:r w:rsidRPr="00694FEC">
        <w:rPr>
          <w:rFonts w:ascii="Times New Roman" w:eastAsia="Calibri" w:hAnsi="Times New Roman"/>
          <w:sz w:val="24"/>
          <w:szCs w:val="24"/>
          <w:lang w:val="en-GB" w:eastAsia="en-US" w:bidi="hi-IN"/>
        </w:rPr>
        <w:t xml:space="preserve">. Mytholmroyd: Sweet &amp; Maxwell. </w:t>
      </w:r>
    </w:p>
    <w:p w14:paraId="3A15F838"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 xml:space="preserve">Harpwood, V.H. 2005. </w:t>
      </w:r>
      <w:r w:rsidRPr="00694FEC">
        <w:rPr>
          <w:rFonts w:ascii="Times New Roman" w:eastAsia="Calibri" w:hAnsi="Times New Roman"/>
          <w:i/>
          <w:iCs/>
          <w:sz w:val="24"/>
          <w:szCs w:val="24"/>
          <w:lang w:val="en-GB" w:eastAsia="en-US" w:bidi="hi-IN"/>
        </w:rPr>
        <w:t>Modern Tort Law 6/e</w:t>
      </w:r>
      <w:r w:rsidRPr="00694FEC">
        <w:rPr>
          <w:rFonts w:ascii="Times New Roman" w:eastAsia="Calibri" w:hAnsi="Times New Roman"/>
          <w:sz w:val="24"/>
          <w:szCs w:val="24"/>
          <w:lang w:val="en-GB" w:eastAsia="en-US" w:bidi="hi-IN"/>
        </w:rPr>
        <w:t>. England: Taylor &amp; Francis Group.</w:t>
      </w:r>
    </w:p>
    <w:p w14:paraId="77E0409A"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 xml:space="preserve">Horsey, K. and Rackley, E. 2021. </w:t>
      </w:r>
      <w:r w:rsidRPr="00694FEC">
        <w:rPr>
          <w:rFonts w:ascii="Times New Roman" w:eastAsia="Calibri" w:hAnsi="Times New Roman"/>
          <w:i/>
          <w:iCs/>
          <w:sz w:val="24"/>
          <w:szCs w:val="24"/>
          <w:lang w:val="en-GB" w:eastAsia="en-US" w:bidi="hi-IN"/>
        </w:rPr>
        <w:t>Tort Law</w:t>
      </w:r>
      <w:r w:rsidRPr="00694FEC">
        <w:rPr>
          <w:rFonts w:ascii="Times New Roman" w:eastAsia="Calibri" w:hAnsi="Times New Roman"/>
          <w:sz w:val="24"/>
          <w:szCs w:val="24"/>
          <w:lang w:val="en-GB" w:eastAsia="en-US" w:bidi="hi-IN"/>
        </w:rPr>
        <w:t>. Oxford: Oxford University Press.</w:t>
      </w:r>
    </w:p>
    <w:p w14:paraId="711B3FFD"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Howarth, D., Matthews, M., Morgan, J., O'Sullivan, J. and Tofaris, S. 2016. </w:t>
      </w:r>
      <w:r w:rsidRPr="00694FEC">
        <w:rPr>
          <w:rFonts w:ascii="Times New Roman" w:eastAsia="Calibri" w:hAnsi="Times New Roman"/>
          <w:i/>
          <w:iCs/>
          <w:sz w:val="24"/>
          <w:szCs w:val="24"/>
          <w:lang w:val="en-GB" w:eastAsia="en-US" w:bidi="hi-IN"/>
        </w:rPr>
        <w:t>Hepple and Matthews' Tort Law: Cases and Materials</w:t>
      </w:r>
      <w:r w:rsidRPr="00694FEC">
        <w:rPr>
          <w:rFonts w:ascii="Times New Roman" w:eastAsia="Calibri" w:hAnsi="Times New Roman"/>
          <w:sz w:val="24"/>
          <w:szCs w:val="24"/>
          <w:lang w:val="en-GB" w:eastAsia="en-US" w:bidi="hi-IN"/>
        </w:rPr>
        <w:t>. Bloomsbury Publishing.</w:t>
      </w:r>
    </w:p>
    <w:p w14:paraId="3D72CA6A"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 xml:space="preserve">Kelly, D., Hammer, R. and Hendy, J. 2017. </w:t>
      </w:r>
      <w:r w:rsidRPr="00694FEC">
        <w:rPr>
          <w:rFonts w:ascii="Times New Roman" w:eastAsia="Calibri" w:hAnsi="Times New Roman"/>
          <w:i/>
          <w:iCs/>
          <w:sz w:val="24"/>
          <w:szCs w:val="24"/>
          <w:lang w:val="en-GB" w:eastAsia="en-US" w:bidi="hi-IN"/>
        </w:rPr>
        <w:t>Business Law</w:t>
      </w:r>
      <w:r w:rsidRPr="00694FEC">
        <w:rPr>
          <w:rFonts w:ascii="Times New Roman" w:eastAsia="Calibri" w:hAnsi="Times New Roman"/>
          <w:sz w:val="24"/>
          <w:szCs w:val="24"/>
          <w:lang w:val="en-GB" w:eastAsia="en-US" w:bidi="hi-IN"/>
        </w:rPr>
        <w:t>. Engand: Taylor &amp; Francis.</w:t>
      </w:r>
    </w:p>
    <w:p w14:paraId="77CC27EF" w14:textId="2E6F860E" w:rsidR="002B1BB8" w:rsidRPr="002B1BB8" w:rsidRDefault="002B1BB8" w:rsidP="002B1BB8">
      <w:pPr>
        <w:spacing w:after="0" w:line="480" w:lineRule="auto"/>
        <w:ind w:left="720" w:hanging="720"/>
        <w:rPr>
          <w:rFonts w:ascii="Times New Roman" w:hAnsi="Times New Roman"/>
          <w:sz w:val="24"/>
          <w:szCs w:val="24"/>
          <w:lang w:val="en-GB"/>
        </w:rPr>
      </w:pPr>
      <w:r w:rsidRPr="002B1BB8">
        <w:rPr>
          <w:rFonts w:ascii="Times New Roman" w:hAnsi="Times New Roman"/>
          <w:color w:val="222222"/>
          <w:sz w:val="24"/>
          <w:szCs w:val="24"/>
          <w:shd w:val="clear" w:color="auto" w:fill="FFFFFF"/>
          <w:lang w:val="en-GB"/>
        </w:rPr>
        <w:t xml:space="preserve">Legislation.gov.uk. 2021. Social Action, Responsibility and Heroism Act 2015. </w:t>
      </w:r>
      <w:r w:rsidRPr="002B1BB8">
        <w:rPr>
          <w:rFonts w:ascii="Times New Roman" w:hAnsi="Times New Roman"/>
          <w:sz w:val="24"/>
          <w:szCs w:val="24"/>
          <w:lang w:val="en-GB"/>
        </w:rPr>
        <w:t xml:space="preserve">). [Online]. Available at: </w:t>
      </w:r>
      <w:hyperlink r:id="rId8" w:history="1">
        <w:r w:rsidRPr="002B1BB8">
          <w:rPr>
            <w:rStyle w:val="Hyperlink"/>
            <w:rFonts w:ascii="Times New Roman" w:hAnsi="Times New Roman"/>
            <w:sz w:val="24"/>
            <w:szCs w:val="24"/>
            <w:lang w:val="en-GB"/>
          </w:rPr>
          <w:t>https://www.legislation.gov.uk/ukpga/2015/3/contents/enacted</w:t>
        </w:r>
      </w:hyperlink>
      <w:r w:rsidRPr="002B1BB8">
        <w:rPr>
          <w:rFonts w:ascii="Times New Roman" w:hAnsi="Times New Roman"/>
          <w:sz w:val="24"/>
          <w:szCs w:val="24"/>
          <w:lang w:val="en-GB"/>
        </w:rPr>
        <w:t xml:space="preserve"> [Accessed on: </w:t>
      </w:r>
      <w:r w:rsidR="008945D2">
        <w:rPr>
          <w:rFonts w:ascii="Times New Roman" w:hAnsi="Times New Roman"/>
          <w:sz w:val="24"/>
          <w:szCs w:val="24"/>
          <w:lang w:val="en-GB"/>
        </w:rPr>
        <w:t>18</w:t>
      </w:r>
      <w:r w:rsidRPr="002B1BB8">
        <w:rPr>
          <w:rFonts w:ascii="Times New Roman" w:hAnsi="Times New Roman"/>
          <w:sz w:val="24"/>
          <w:szCs w:val="24"/>
          <w:lang w:val="en-GB"/>
        </w:rPr>
        <w:t xml:space="preserve"> October 2021].</w:t>
      </w:r>
    </w:p>
    <w:p w14:paraId="6E24FD73" w14:textId="6DA3AEC9" w:rsidR="002B1BB8" w:rsidRPr="002B1BB8" w:rsidRDefault="002B1BB8" w:rsidP="002B1BB8">
      <w:pPr>
        <w:spacing w:after="0" w:line="480" w:lineRule="auto"/>
        <w:ind w:left="720" w:hanging="720"/>
        <w:rPr>
          <w:rFonts w:ascii="Times New Roman" w:hAnsi="Times New Roman"/>
          <w:sz w:val="24"/>
          <w:szCs w:val="24"/>
          <w:lang w:val="en-GB"/>
        </w:rPr>
      </w:pPr>
      <w:r w:rsidRPr="002B1BB8">
        <w:rPr>
          <w:rFonts w:ascii="Times New Roman" w:hAnsi="Times New Roman"/>
          <w:sz w:val="24"/>
          <w:szCs w:val="24"/>
          <w:lang w:val="en-GB"/>
        </w:rPr>
        <w:lastRenderedPageBreak/>
        <w:t xml:space="preserve">LexisNexis. 2021. Helling v. Carey - 83 Wash. 2d 514, 519 P.2d 981 (1974). [Online]. Available at: </w:t>
      </w:r>
      <w:hyperlink r:id="rId9" w:history="1">
        <w:r w:rsidRPr="002B1BB8">
          <w:rPr>
            <w:rStyle w:val="Hyperlink"/>
            <w:rFonts w:ascii="Times New Roman" w:hAnsi="Times New Roman"/>
            <w:sz w:val="24"/>
            <w:szCs w:val="24"/>
            <w:lang w:val="en-GB"/>
          </w:rPr>
          <w:t>https://www.lexisnexis.com/community/casebrief/p/casebrief-helling-v-carey</w:t>
        </w:r>
      </w:hyperlink>
      <w:r w:rsidRPr="002B1BB8">
        <w:rPr>
          <w:rFonts w:ascii="Times New Roman" w:hAnsi="Times New Roman"/>
          <w:sz w:val="24"/>
          <w:szCs w:val="24"/>
          <w:lang w:val="en-GB"/>
        </w:rPr>
        <w:t xml:space="preserve"> [Accessed on: 2</w:t>
      </w:r>
      <w:r w:rsidR="008945D2">
        <w:rPr>
          <w:rFonts w:ascii="Times New Roman" w:hAnsi="Times New Roman"/>
          <w:sz w:val="24"/>
          <w:szCs w:val="24"/>
          <w:lang w:val="en-GB"/>
        </w:rPr>
        <w:t>0</w:t>
      </w:r>
      <w:r w:rsidRPr="002B1BB8">
        <w:rPr>
          <w:rFonts w:ascii="Times New Roman" w:hAnsi="Times New Roman"/>
          <w:sz w:val="24"/>
          <w:szCs w:val="24"/>
          <w:lang w:val="en-GB"/>
        </w:rPr>
        <w:t xml:space="preserve"> October 2021].</w:t>
      </w:r>
    </w:p>
    <w:p w14:paraId="1C1C07E9" w14:textId="77777777" w:rsidR="002B1BB8" w:rsidRPr="002B1BB8" w:rsidRDefault="002B1BB8" w:rsidP="002B1BB8">
      <w:pPr>
        <w:spacing w:after="0" w:line="480" w:lineRule="auto"/>
        <w:ind w:left="720" w:hanging="720"/>
        <w:rPr>
          <w:rFonts w:ascii="Times New Roman" w:hAnsi="Times New Roman"/>
          <w:sz w:val="24"/>
          <w:szCs w:val="24"/>
          <w:lang w:val="en-GB"/>
        </w:rPr>
      </w:pPr>
      <w:r w:rsidRPr="002B1BB8">
        <w:rPr>
          <w:rFonts w:ascii="Times New Roman" w:hAnsi="Times New Roman"/>
          <w:sz w:val="24"/>
          <w:szCs w:val="24"/>
          <w:lang w:val="en-GB"/>
        </w:rPr>
        <w:t xml:space="preserve">LexisNexis. 2021a. Cordas v. Peerless Transp. Co. - 27 N.Y.S.2d 198 (City Ct. 1941) . [Online]. Available at: </w:t>
      </w:r>
      <w:hyperlink r:id="rId10" w:history="1">
        <w:r w:rsidRPr="002B1BB8">
          <w:rPr>
            <w:rStyle w:val="Hyperlink"/>
            <w:rFonts w:ascii="Times New Roman" w:hAnsi="Times New Roman"/>
            <w:sz w:val="24"/>
            <w:szCs w:val="24"/>
            <w:lang w:val="en-GB"/>
          </w:rPr>
          <w:t>https://www.lexisnexis.com/community/casebrief/p/casebrief-cordas-v-peerless-transp-co</w:t>
        </w:r>
      </w:hyperlink>
      <w:r w:rsidRPr="002B1BB8">
        <w:rPr>
          <w:rFonts w:ascii="Times New Roman" w:hAnsi="Times New Roman"/>
          <w:sz w:val="24"/>
          <w:szCs w:val="24"/>
          <w:lang w:val="en-GB"/>
        </w:rPr>
        <w:t xml:space="preserve"> [Accessed on: 22 October 2021].</w:t>
      </w:r>
    </w:p>
    <w:p w14:paraId="7A68351B"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 xml:space="preserve">Lunney, M. and Oliphant, K. 2013. </w:t>
      </w:r>
      <w:r w:rsidRPr="00694FEC">
        <w:rPr>
          <w:rFonts w:ascii="Times New Roman" w:eastAsia="Calibri" w:hAnsi="Times New Roman"/>
          <w:i/>
          <w:iCs/>
          <w:sz w:val="24"/>
          <w:szCs w:val="24"/>
          <w:lang w:val="en-GB" w:eastAsia="en-US" w:bidi="hi-IN"/>
        </w:rPr>
        <w:t>Tort Law: Text and Materials</w:t>
      </w:r>
      <w:r w:rsidRPr="00694FEC">
        <w:rPr>
          <w:rFonts w:ascii="Times New Roman" w:eastAsia="Calibri" w:hAnsi="Times New Roman"/>
          <w:sz w:val="24"/>
          <w:szCs w:val="24"/>
          <w:lang w:val="en-GB" w:eastAsia="en-US" w:bidi="hi-IN"/>
        </w:rPr>
        <w:t>. Oxford: Oxford University Press.</w:t>
      </w:r>
    </w:p>
    <w:p w14:paraId="0ACA473F"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 xml:space="preserve">McBride, N.J. and Bagshaw, R. 2018. </w:t>
      </w:r>
      <w:r w:rsidRPr="00694FEC">
        <w:rPr>
          <w:rFonts w:ascii="Times New Roman" w:eastAsia="Calibri" w:hAnsi="Times New Roman"/>
          <w:i/>
          <w:iCs/>
          <w:sz w:val="24"/>
          <w:szCs w:val="24"/>
          <w:lang w:val="en-GB" w:eastAsia="en-US" w:bidi="hi-IN"/>
        </w:rPr>
        <w:t>Tort Law</w:t>
      </w:r>
      <w:r w:rsidRPr="00694FEC">
        <w:rPr>
          <w:rFonts w:ascii="Times New Roman" w:eastAsia="Calibri" w:hAnsi="Times New Roman"/>
          <w:sz w:val="24"/>
          <w:szCs w:val="24"/>
          <w:lang w:val="en-GB" w:eastAsia="en-US" w:bidi="hi-IN"/>
        </w:rPr>
        <w:t>. London: Pearson Education Limited.</w:t>
      </w:r>
    </w:p>
    <w:p w14:paraId="0D1BE7E0" w14:textId="77777777" w:rsidR="002B1BB8" w:rsidRPr="002B1BB8" w:rsidRDefault="002B1BB8" w:rsidP="002B1BB8">
      <w:pPr>
        <w:spacing w:after="0" w:line="480" w:lineRule="auto"/>
        <w:ind w:left="720" w:hanging="720"/>
        <w:rPr>
          <w:rFonts w:ascii="Times New Roman" w:hAnsi="Times New Roman"/>
          <w:bCs/>
          <w:sz w:val="24"/>
          <w:szCs w:val="24"/>
          <w:lang w:val="en-GB"/>
        </w:rPr>
      </w:pPr>
      <w:r w:rsidRPr="002B1BB8">
        <w:rPr>
          <w:rFonts w:ascii="Times New Roman" w:hAnsi="Times New Roman"/>
          <w:color w:val="222222"/>
          <w:sz w:val="24"/>
          <w:szCs w:val="24"/>
          <w:shd w:val="clear" w:color="auto" w:fill="FFFFFF"/>
          <w:lang w:val="en-GB"/>
        </w:rPr>
        <w:t>Moffett, P. and Moore, G. 2011. The standard of care: legal history and definitions: the bad and good news. </w:t>
      </w:r>
      <w:r w:rsidRPr="002B1BB8">
        <w:rPr>
          <w:rFonts w:ascii="Times New Roman" w:hAnsi="Times New Roman"/>
          <w:i/>
          <w:iCs/>
          <w:color w:val="222222"/>
          <w:sz w:val="24"/>
          <w:szCs w:val="24"/>
          <w:shd w:val="clear" w:color="auto" w:fill="FFFFFF"/>
          <w:lang w:val="en-GB"/>
        </w:rPr>
        <w:t>Western Journal of Emergency Medicine</w:t>
      </w:r>
      <w:r w:rsidRPr="002B1BB8">
        <w:rPr>
          <w:rFonts w:ascii="Times New Roman" w:hAnsi="Times New Roman"/>
          <w:color w:val="222222"/>
          <w:sz w:val="24"/>
          <w:szCs w:val="24"/>
          <w:shd w:val="clear" w:color="auto" w:fill="FFFFFF"/>
          <w:lang w:val="en-GB"/>
        </w:rPr>
        <w:t xml:space="preserve"> </w:t>
      </w:r>
      <w:r w:rsidRPr="002B1BB8">
        <w:rPr>
          <w:rFonts w:ascii="Times New Roman" w:hAnsi="Times New Roman"/>
          <w:iCs/>
          <w:color w:val="222222"/>
          <w:sz w:val="24"/>
          <w:szCs w:val="24"/>
          <w:shd w:val="clear" w:color="auto" w:fill="FFFFFF"/>
          <w:lang w:val="en-GB"/>
        </w:rPr>
        <w:t>12</w:t>
      </w:r>
      <w:r w:rsidRPr="002B1BB8">
        <w:rPr>
          <w:rFonts w:ascii="Times New Roman" w:hAnsi="Times New Roman"/>
          <w:color w:val="222222"/>
          <w:sz w:val="24"/>
          <w:szCs w:val="24"/>
          <w:shd w:val="clear" w:color="auto" w:fill="FFFFFF"/>
          <w:lang w:val="en-GB"/>
        </w:rPr>
        <w:t>(1), p. 109.</w:t>
      </w:r>
    </w:p>
    <w:p w14:paraId="029B2165" w14:textId="77777777" w:rsidR="002B1BB8" w:rsidRPr="002B1BB8" w:rsidRDefault="002B1BB8" w:rsidP="002B1BB8">
      <w:pPr>
        <w:spacing w:after="0" w:line="480" w:lineRule="auto"/>
        <w:ind w:left="720" w:hanging="720"/>
        <w:rPr>
          <w:rFonts w:ascii="Times New Roman" w:hAnsi="Times New Roman"/>
          <w:color w:val="222222"/>
          <w:sz w:val="24"/>
          <w:szCs w:val="24"/>
          <w:shd w:val="clear" w:color="auto" w:fill="FFFFFF"/>
          <w:lang w:val="en-GB"/>
        </w:rPr>
      </w:pPr>
      <w:r w:rsidRPr="002B1BB8">
        <w:rPr>
          <w:rFonts w:ascii="Times New Roman" w:hAnsi="Times New Roman"/>
          <w:color w:val="222222"/>
          <w:sz w:val="24"/>
          <w:szCs w:val="24"/>
          <w:shd w:val="clear" w:color="auto" w:fill="FFFFFF"/>
          <w:lang w:val="en-GB"/>
        </w:rPr>
        <w:t>Peters, R.M., Hiemstra, J.T., Zijlstra, W.P., Bulstra, S.K. and Stevens, M. 2020. To mix or not to mix? Medicolegal implications of mixed components in total hip arthroplasty. </w:t>
      </w:r>
      <w:r w:rsidRPr="002B1BB8">
        <w:rPr>
          <w:rFonts w:ascii="Times New Roman" w:hAnsi="Times New Roman"/>
          <w:i/>
          <w:iCs/>
          <w:color w:val="222222"/>
          <w:sz w:val="24"/>
          <w:szCs w:val="24"/>
          <w:shd w:val="clear" w:color="auto" w:fill="FFFFFF"/>
          <w:lang w:val="en-GB"/>
        </w:rPr>
        <w:t>Acta Orthopaedica</w:t>
      </w:r>
      <w:r w:rsidRPr="002B1BB8">
        <w:rPr>
          <w:rFonts w:ascii="Times New Roman" w:hAnsi="Times New Roman"/>
          <w:color w:val="222222"/>
          <w:sz w:val="24"/>
          <w:szCs w:val="24"/>
          <w:shd w:val="clear" w:color="auto" w:fill="FFFFFF"/>
          <w:lang w:val="en-GB"/>
        </w:rPr>
        <w:t> </w:t>
      </w:r>
      <w:r w:rsidRPr="002B1BB8">
        <w:rPr>
          <w:rFonts w:ascii="Times New Roman" w:hAnsi="Times New Roman"/>
          <w:iCs/>
          <w:color w:val="222222"/>
          <w:sz w:val="24"/>
          <w:szCs w:val="24"/>
          <w:shd w:val="clear" w:color="auto" w:fill="FFFFFF"/>
          <w:lang w:val="en-GB"/>
        </w:rPr>
        <w:t>91</w:t>
      </w:r>
      <w:r w:rsidRPr="002B1BB8">
        <w:rPr>
          <w:rFonts w:ascii="Times New Roman" w:hAnsi="Times New Roman"/>
          <w:color w:val="222222"/>
          <w:sz w:val="24"/>
          <w:szCs w:val="24"/>
          <w:shd w:val="clear" w:color="auto" w:fill="FFFFFF"/>
          <w:lang w:val="en-GB"/>
        </w:rPr>
        <w:t>(6), pp. 624-626.</w:t>
      </w:r>
    </w:p>
    <w:p w14:paraId="145CC8D4"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 xml:space="preserve">Pritchard, E. and Reeves, R. 2013. </w:t>
      </w:r>
      <w:r w:rsidRPr="00694FEC">
        <w:rPr>
          <w:rFonts w:ascii="Times New Roman" w:eastAsia="Calibri" w:hAnsi="Times New Roman"/>
          <w:i/>
          <w:iCs/>
          <w:sz w:val="24"/>
          <w:szCs w:val="24"/>
          <w:lang w:val="en-GB" w:eastAsia="en-US" w:bidi="hi-IN"/>
        </w:rPr>
        <w:t>Quality Assurance and the Law</w:t>
      </w:r>
      <w:r w:rsidRPr="00694FEC">
        <w:rPr>
          <w:rFonts w:ascii="Times New Roman" w:eastAsia="Calibri" w:hAnsi="Times New Roman"/>
          <w:sz w:val="24"/>
          <w:szCs w:val="24"/>
          <w:lang w:val="en-GB" w:eastAsia="en-US" w:bidi="hi-IN"/>
        </w:rPr>
        <w:t>. England: Taylor &amp; Francis Group.</w:t>
      </w:r>
    </w:p>
    <w:p w14:paraId="46913C24" w14:textId="77777777" w:rsidR="002B1BB8" w:rsidRPr="002B1BB8" w:rsidRDefault="002B1BB8" w:rsidP="002B1BB8">
      <w:pPr>
        <w:spacing w:after="0" w:line="480" w:lineRule="auto"/>
        <w:ind w:left="720" w:hanging="720"/>
        <w:rPr>
          <w:rFonts w:ascii="Times New Roman" w:hAnsi="Times New Roman"/>
          <w:color w:val="222222"/>
          <w:sz w:val="24"/>
          <w:szCs w:val="24"/>
          <w:shd w:val="clear" w:color="auto" w:fill="FFFFFF"/>
          <w:lang w:val="en-GB"/>
        </w:rPr>
      </w:pPr>
      <w:r w:rsidRPr="002B1BB8">
        <w:rPr>
          <w:rFonts w:ascii="Times New Roman" w:hAnsi="Times New Roman"/>
          <w:color w:val="222222"/>
          <w:sz w:val="24"/>
          <w:szCs w:val="24"/>
          <w:shd w:val="clear" w:color="auto" w:fill="FFFFFF"/>
          <w:lang w:val="en-GB"/>
        </w:rPr>
        <w:t>Reekie, A. 2017. The Liability of Employers for The Acts of Their Employees: A Comparative Analysis of Section 425 Of The Thai Civil and Commercial Code and Vicarious Liability in English Tort Law. </w:t>
      </w:r>
      <w:r w:rsidRPr="002B1BB8">
        <w:rPr>
          <w:rFonts w:ascii="Times New Roman" w:hAnsi="Times New Roman"/>
          <w:i/>
          <w:iCs/>
          <w:color w:val="222222"/>
          <w:sz w:val="24"/>
          <w:szCs w:val="24"/>
          <w:shd w:val="clear" w:color="auto" w:fill="FFFFFF"/>
          <w:lang w:val="en-GB"/>
        </w:rPr>
        <w:t>Thammasat Business Law Journal</w:t>
      </w:r>
      <w:r w:rsidRPr="002B1BB8">
        <w:rPr>
          <w:rFonts w:ascii="Times New Roman" w:hAnsi="Times New Roman"/>
          <w:color w:val="222222"/>
          <w:sz w:val="24"/>
          <w:szCs w:val="24"/>
          <w:shd w:val="clear" w:color="auto" w:fill="FFFFFF"/>
          <w:lang w:val="en-GB"/>
        </w:rPr>
        <w:t> </w:t>
      </w:r>
      <w:r w:rsidRPr="002B1BB8">
        <w:rPr>
          <w:rFonts w:ascii="Times New Roman" w:hAnsi="Times New Roman"/>
          <w:iCs/>
          <w:color w:val="222222"/>
          <w:sz w:val="24"/>
          <w:szCs w:val="24"/>
          <w:shd w:val="clear" w:color="auto" w:fill="FFFFFF"/>
          <w:lang w:val="en-GB"/>
        </w:rPr>
        <w:t>7</w:t>
      </w:r>
      <w:r w:rsidRPr="002B1BB8">
        <w:rPr>
          <w:rFonts w:ascii="Times New Roman" w:hAnsi="Times New Roman"/>
          <w:color w:val="222222"/>
          <w:sz w:val="24"/>
          <w:szCs w:val="24"/>
          <w:shd w:val="clear" w:color="auto" w:fill="FFFFFF"/>
          <w:lang w:val="en-GB"/>
        </w:rPr>
        <w:t>.</w:t>
      </w:r>
    </w:p>
    <w:p w14:paraId="4CBD1ABA" w14:textId="77777777" w:rsidR="002B1BB8" w:rsidRPr="002B1BB8" w:rsidRDefault="002B1BB8" w:rsidP="002B1BB8">
      <w:pPr>
        <w:spacing w:after="0" w:line="480" w:lineRule="auto"/>
        <w:ind w:left="720" w:hanging="720"/>
        <w:rPr>
          <w:rFonts w:ascii="Times New Roman" w:hAnsi="Times New Roman"/>
          <w:sz w:val="24"/>
          <w:szCs w:val="24"/>
          <w:lang w:val="en-GB"/>
        </w:rPr>
      </w:pPr>
      <w:r w:rsidRPr="002B1BB8">
        <w:rPr>
          <w:rFonts w:ascii="Times New Roman" w:hAnsi="Times New Roman"/>
          <w:sz w:val="24"/>
          <w:szCs w:val="24"/>
          <w:lang w:val="en-GB"/>
        </w:rPr>
        <w:t xml:space="preserve">Riley-Smith Qc, T., Heppinstall, A. and Foster, F. 2020. Is Covid-19 sowing the seeds for future litigation?. </w:t>
      </w:r>
      <w:r w:rsidRPr="002B1BB8">
        <w:rPr>
          <w:rFonts w:ascii="Times New Roman" w:hAnsi="Times New Roman"/>
          <w:i/>
          <w:sz w:val="24"/>
          <w:szCs w:val="24"/>
          <w:lang w:val="en-GB"/>
        </w:rPr>
        <w:t>Medico-Legal Journal</w:t>
      </w:r>
      <w:r w:rsidRPr="002B1BB8">
        <w:rPr>
          <w:rFonts w:ascii="Times New Roman" w:hAnsi="Times New Roman"/>
          <w:sz w:val="24"/>
          <w:szCs w:val="24"/>
          <w:lang w:val="en-GB"/>
        </w:rPr>
        <w:t xml:space="preserve"> 88(2), pp. 90-97.</w:t>
      </w:r>
    </w:p>
    <w:p w14:paraId="0DB72FC2"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Steele, J. 2007. Tort Law: Text, Cases, and Materials. Oxford: Oxford University Press.</w:t>
      </w:r>
    </w:p>
    <w:p w14:paraId="47AFE551"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Steele, J. 2010. Tort Law: Text, Cases, and Materials. Oxford: Oxford University Press.</w:t>
      </w:r>
    </w:p>
    <w:p w14:paraId="41FD24F9"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lastRenderedPageBreak/>
        <w:t xml:space="preserve">Turner, C. 2013. </w:t>
      </w:r>
      <w:r w:rsidRPr="00694FEC">
        <w:rPr>
          <w:rFonts w:ascii="Times New Roman" w:eastAsia="Calibri" w:hAnsi="Times New Roman"/>
          <w:i/>
          <w:iCs/>
          <w:sz w:val="24"/>
          <w:szCs w:val="24"/>
          <w:lang w:val="en-GB" w:eastAsia="en-US" w:bidi="hi-IN"/>
        </w:rPr>
        <w:t>Tort Law</w:t>
      </w:r>
      <w:r w:rsidRPr="00694FEC">
        <w:rPr>
          <w:rFonts w:ascii="Times New Roman" w:eastAsia="Calibri" w:hAnsi="Times New Roman"/>
          <w:sz w:val="24"/>
          <w:szCs w:val="24"/>
          <w:lang w:val="en-GB" w:eastAsia="en-US" w:bidi="hi-IN"/>
        </w:rPr>
        <w:t>. England: Taylor &amp; Francis.</w:t>
      </w:r>
    </w:p>
    <w:p w14:paraId="2780486A" w14:textId="77777777" w:rsidR="002B1BB8" w:rsidRPr="00694FEC" w:rsidRDefault="002B1BB8" w:rsidP="002B1BB8">
      <w:pPr>
        <w:spacing w:after="0" w:line="480" w:lineRule="auto"/>
        <w:ind w:left="720" w:hanging="720"/>
        <w:rPr>
          <w:rFonts w:ascii="Times New Roman" w:eastAsia="Calibri" w:hAnsi="Times New Roman"/>
          <w:sz w:val="24"/>
          <w:szCs w:val="24"/>
          <w:lang w:val="en-GB" w:eastAsia="en-US" w:bidi="hi-IN"/>
        </w:rPr>
      </w:pPr>
      <w:r w:rsidRPr="00694FEC">
        <w:rPr>
          <w:rFonts w:ascii="Times New Roman" w:eastAsia="Calibri" w:hAnsi="Times New Roman"/>
          <w:sz w:val="24"/>
          <w:szCs w:val="24"/>
          <w:lang w:val="en-GB" w:eastAsia="en-US" w:bidi="hi-IN"/>
        </w:rPr>
        <w:t>Williams, K. 2006. Politics, the media and refining the notion of fault: section 1 of the Compensation Act 2006. </w:t>
      </w:r>
      <w:r w:rsidRPr="00694FEC">
        <w:rPr>
          <w:rFonts w:ascii="Times New Roman" w:eastAsia="Calibri" w:hAnsi="Times New Roman"/>
          <w:i/>
          <w:iCs/>
          <w:sz w:val="24"/>
          <w:szCs w:val="24"/>
          <w:lang w:val="en-GB" w:eastAsia="en-US" w:bidi="hi-IN"/>
        </w:rPr>
        <w:t>Journal of personal injury law</w:t>
      </w:r>
      <w:r w:rsidRPr="00694FEC">
        <w:rPr>
          <w:rFonts w:ascii="Times New Roman" w:eastAsia="Calibri" w:hAnsi="Times New Roman"/>
          <w:sz w:val="24"/>
          <w:szCs w:val="24"/>
          <w:lang w:val="en-GB" w:eastAsia="en-US" w:bidi="hi-IN"/>
        </w:rPr>
        <w:t>, pp.347-354.</w:t>
      </w:r>
    </w:p>
    <w:p w14:paraId="7F66C9D2" w14:textId="77777777" w:rsidR="002B1BB8" w:rsidRPr="002B1BB8" w:rsidRDefault="002B1BB8" w:rsidP="002B1BB8">
      <w:pPr>
        <w:spacing w:after="0" w:line="480" w:lineRule="auto"/>
        <w:ind w:left="720" w:hanging="720"/>
        <w:rPr>
          <w:rFonts w:ascii="Times New Roman" w:hAnsi="Times New Roman"/>
          <w:sz w:val="24"/>
          <w:szCs w:val="24"/>
          <w:lang w:val="en-GB"/>
        </w:rPr>
      </w:pPr>
    </w:p>
    <w:sectPr w:rsidR="002B1BB8" w:rsidRPr="002B1BB8" w:rsidSect="00C21DD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B8422" w14:textId="77777777" w:rsidR="00F659C3" w:rsidRDefault="00F659C3" w:rsidP="007D6E88">
      <w:pPr>
        <w:spacing w:after="0" w:line="240" w:lineRule="auto"/>
      </w:pPr>
      <w:r>
        <w:separator/>
      </w:r>
    </w:p>
  </w:endnote>
  <w:endnote w:type="continuationSeparator" w:id="0">
    <w:p w14:paraId="5C7882B5" w14:textId="77777777" w:rsidR="00F659C3" w:rsidRDefault="00F659C3" w:rsidP="007D6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SimSun"/>
    <w:panose1 w:val="00000000000000000000"/>
    <w:charset w:val="86"/>
    <w:family w:val="roman"/>
    <w:notTrueType/>
    <w:pitch w:val="default"/>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DD1CC" w14:textId="77777777" w:rsidR="007D6E88" w:rsidRPr="002B1BB8" w:rsidRDefault="007D6E88">
    <w:pPr>
      <w:pStyle w:val="Footer"/>
      <w:jc w:val="right"/>
      <w:rPr>
        <w:rFonts w:ascii="Times New Roman" w:hAnsi="Times New Roman"/>
        <w:sz w:val="24"/>
        <w:szCs w:val="24"/>
      </w:rPr>
    </w:pPr>
    <w:r w:rsidRPr="002B1BB8">
      <w:rPr>
        <w:rFonts w:ascii="Times New Roman" w:hAnsi="Times New Roman"/>
        <w:sz w:val="24"/>
        <w:szCs w:val="24"/>
      </w:rPr>
      <w:fldChar w:fldCharType="begin"/>
    </w:r>
    <w:r w:rsidRPr="002B1BB8">
      <w:rPr>
        <w:rFonts w:ascii="Times New Roman" w:hAnsi="Times New Roman"/>
        <w:sz w:val="24"/>
        <w:szCs w:val="24"/>
      </w:rPr>
      <w:instrText xml:space="preserve"> PAGE   \* MERGEFORMAT </w:instrText>
    </w:r>
    <w:r w:rsidRPr="002B1BB8">
      <w:rPr>
        <w:rFonts w:ascii="Times New Roman" w:hAnsi="Times New Roman"/>
        <w:sz w:val="24"/>
        <w:szCs w:val="24"/>
      </w:rPr>
      <w:fldChar w:fldCharType="separate"/>
    </w:r>
    <w:r w:rsidR="00731875">
      <w:rPr>
        <w:rFonts w:ascii="Times New Roman" w:hAnsi="Times New Roman"/>
        <w:noProof/>
        <w:sz w:val="24"/>
        <w:szCs w:val="24"/>
      </w:rPr>
      <w:t>1</w:t>
    </w:r>
    <w:r w:rsidRPr="002B1BB8">
      <w:rPr>
        <w:rFonts w:ascii="Times New Roman" w:hAnsi="Times New Roman"/>
        <w:sz w:val="24"/>
        <w:szCs w:val="24"/>
      </w:rPr>
      <w:fldChar w:fldCharType="end"/>
    </w:r>
  </w:p>
  <w:p w14:paraId="27665CFF" w14:textId="77777777" w:rsidR="007D6E88" w:rsidRDefault="007D6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1AD77" w14:textId="77777777" w:rsidR="00F659C3" w:rsidRDefault="00F659C3" w:rsidP="007D6E88">
      <w:pPr>
        <w:spacing w:after="0" w:line="240" w:lineRule="auto"/>
      </w:pPr>
      <w:r>
        <w:separator/>
      </w:r>
    </w:p>
  </w:footnote>
  <w:footnote w:type="continuationSeparator" w:id="0">
    <w:p w14:paraId="0EA8B64D" w14:textId="77777777" w:rsidR="00F659C3" w:rsidRDefault="00F659C3" w:rsidP="007D6E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Moves/>
  <w:defaultTabStop w:val="720"/>
  <w:characterSpacingControl w:val="doNotCompres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255E7"/>
    <w:rsid w:val="000E7764"/>
    <w:rsid w:val="00137073"/>
    <w:rsid w:val="001417E6"/>
    <w:rsid w:val="0017331C"/>
    <w:rsid w:val="001F2D90"/>
    <w:rsid w:val="00231DB7"/>
    <w:rsid w:val="002635A2"/>
    <w:rsid w:val="002B1BB8"/>
    <w:rsid w:val="002B21D9"/>
    <w:rsid w:val="00361022"/>
    <w:rsid w:val="00372182"/>
    <w:rsid w:val="00391155"/>
    <w:rsid w:val="004036CA"/>
    <w:rsid w:val="004D5B2F"/>
    <w:rsid w:val="00596DA8"/>
    <w:rsid w:val="005D3820"/>
    <w:rsid w:val="00694FEC"/>
    <w:rsid w:val="006D55CD"/>
    <w:rsid w:val="00731875"/>
    <w:rsid w:val="00744D17"/>
    <w:rsid w:val="007710C3"/>
    <w:rsid w:val="007B2CAF"/>
    <w:rsid w:val="007D6E88"/>
    <w:rsid w:val="007F6516"/>
    <w:rsid w:val="00836E7A"/>
    <w:rsid w:val="0088773A"/>
    <w:rsid w:val="008945D2"/>
    <w:rsid w:val="008A12BE"/>
    <w:rsid w:val="008C6F62"/>
    <w:rsid w:val="00925505"/>
    <w:rsid w:val="009D1A1F"/>
    <w:rsid w:val="00A30C04"/>
    <w:rsid w:val="00A337F7"/>
    <w:rsid w:val="00A5044E"/>
    <w:rsid w:val="00A5202F"/>
    <w:rsid w:val="00AB0038"/>
    <w:rsid w:val="00B23F22"/>
    <w:rsid w:val="00B255E7"/>
    <w:rsid w:val="00BC11AA"/>
    <w:rsid w:val="00BE6E61"/>
    <w:rsid w:val="00C21DD5"/>
    <w:rsid w:val="00C23CBB"/>
    <w:rsid w:val="00C36506"/>
    <w:rsid w:val="00C45693"/>
    <w:rsid w:val="00D24B1E"/>
    <w:rsid w:val="00D4654E"/>
    <w:rsid w:val="00DD56FD"/>
    <w:rsid w:val="00E511C9"/>
    <w:rsid w:val="00EE6270"/>
    <w:rsid w:val="00EF0D7B"/>
    <w:rsid w:val="00EF10BE"/>
    <w:rsid w:val="00F659C3"/>
    <w:rsid w:val="00F672AC"/>
    <w:rsid w:val="00F859F1"/>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E7A2003"/>
  <w15:docId w15:val="{CE8D3942-840D-4E04-8AE8-D3A8D4A6F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DD5"/>
    <w:pPr>
      <w:spacing w:after="160" w:line="259" w:lineRule="auto"/>
    </w:pPr>
    <w:rPr>
      <w:sz w:val="22"/>
      <w:szCs w:val="22"/>
      <w:lang w:val="en-US" w:eastAsia="zh-CN"/>
    </w:rPr>
  </w:style>
  <w:style w:type="paragraph" w:styleId="Heading1">
    <w:name w:val="heading 1"/>
    <w:basedOn w:val="Normal"/>
    <w:next w:val="Normal"/>
    <w:link w:val="Heading1Char"/>
    <w:uiPriority w:val="9"/>
    <w:qFormat/>
    <w:rsid w:val="007D6E88"/>
    <w:pPr>
      <w:keepNext/>
      <w:spacing w:before="240" w:after="60"/>
      <w:outlineLvl w:val="0"/>
    </w:pPr>
    <w:rPr>
      <w:rFonts w:ascii="Calibri Light" w:eastAsia="DengXian Light"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137073"/>
    <w:rPr>
      <w:i/>
      <w:iCs/>
    </w:rPr>
  </w:style>
  <w:style w:type="character" w:styleId="Hyperlink">
    <w:name w:val="Hyperlink"/>
    <w:uiPriority w:val="99"/>
    <w:unhideWhenUsed/>
    <w:rsid w:val="00596DA8"/>
    <w:rPr>
      <w:color w:val="0563C1"/>
      <w:u w:val="single"/>
    </w:rPr>
  </w:style>
  <w:style w:type="character" w:customStyle="1" w:styleId="Heading1Char">
    <w:name w:val="Heading 1 Char"/>
    <w:link w:val="Heading1"/>
    <w:uiPriority w:val="9"/>
    <w:rsid w:val="007D6E88"/>
    <w:rPr>
      <w:rFonts w:ascii="Calibri Light" w:eastAsia="DengXian Light" w:hAnsi="Calibri Light" w:cs="Times New Roman"/>
      <w:b/>
      <w:bCs/>
      <w:kern w:val="32"/>
      <w:sz w:val="32"/>
      <w:szCs w:val="32"/>
    </w:rPr>
  </w:style>
  <w:style w:type="paragraph" w:styleId="Header">
    <w:name w:val="header"/>
    <w:basedOn w:val="Normal"/>
    <w:link w:val="HeaderChar"/>
    <w:uiPriority w:val="99"/>
    <w:semiHidden/>
    <w:unhideWhenUsed/>
    <w:rsid w:val="007D6E88"/>
    <w:pPr>
      <w:tabs>
        <w:tab w:val="center" w:pos="4680"/>
        <w:tab w:val="right" w:pos="9360"/>
      </w:tabs>
    </w:pPr>
  </w:style>
  <w:style w:type="character" w:customStyle="1" w:styleId="HeaderChar">
    <w:name w:val="Header Char"/>
    <w:link w:val="Header"/>
    <w:uiPriority w:val="99"/>
    <w:semiHidden/>
    <w:rsid w:val="007D6E88"/>
    <w:rPr>
      <w:sz w:val="22"/>
      <w:szCs w:val="22"/>
    </w:rPr>
  </w:style>
  <w:style w:type="paragraph" w:styleId="Footer">
    <w:name w:val="footer"/>
    <w:basedOn w:val="Normal"/>
    <w:link w:val="FooterChar"/>
    <w:uiPriority w:val="99"/>
    <w:unhideWhenUsed/>
    <w:rsid w:val="007D6E88"/>
    <w:pPr>
      <w:tabs>
        <w:tab w:val="center" w:pos="4680"/>
        <w:tab w:val="right" w:pos="9360"/>
      </w:tabs>
    </w:pPr>
  </w:style>
  <w:style w:type="character" w:customStyle="1" w:styleId="FooterChar">
    <w:name w:val="Footer Char"/>
    <w:link w:val="Footer"/>
    <w:uiPriority w:val="99"/>
    <w:rsid w:val="007D6E88"/>
    <w:rPr>
      <w:sz w:val="22"/>
      <w:szCs w:val="22"/>
    </w:rPr>
  </w:style>
  <w:style w:type="paragraph" w:styleId="TOCHeading">
    <w:name w:val="TOC Heading"/>
    <w:basedOn w:val="Heading1"/>
    <w:next w:val="Normal"/>
    <w:uiPriority w:val="39"/>
    <w:qFormat/>
    <w:rsid w:val="007D6E88"/>
    <w:pPr>
      <w:keepLines/>
      <w:spacing w:before="480" w:after="0" w:line="276" w:lineRule="auto"/>
      <w:outlineLvl w:val="9"/>
    </w:pPr>
    <w:rPr>
      <w:color w:val="2F5496"/>
      <w:kern w:val="0"/>
      <w:sz w:val="28"/>
      <w:szCs w:val="28"/>
      <w:lang w:eastAsia="en-US"/>
    </w:rPr>
  </w:style>
  <w:style w:type="paragraph" w:styleId="TOC1">
    <w:name w:val="toc 1"/>
    <w:basedOn w:val="Normal"/>
    <w:next w:val="Normal"/>
    <w:autoRedefine/>
    <w:uiPriority w:val="39"/>
    <w:unhideWhenUsed/>
    <w:rsid w:val="007D6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389412">
      <w:bodyDiv w:val="1"/>
      <w:marLeft w:val="0"/>
      <w:marRight w:val="0"/>
      <w:marTop w:val="0"/>
      <w:marBottom w:val="0"/>
      <w:divBdr>
        <w:top w:val="none" w:sz="0" w:space="0" w:color="auto"/>
        <w:left w:val="none" w:sz="0" w:space="0" w:color="auto"/>
        <w:bottom w:val="none" w:sz="0" w:space="0" w:color="auto"/>
        <w:right w:val="none" w:sz="0" w:space="0" w:color="auto"/>
      </w:divBdr>
    </w:div>
    <w:div w:id="989945518">
      <w:bodyDiv w:val="1"/>
      <w:marLeft w:val="0"/>
      <w:marRight w:val="0"/>
      <w:marTop w:val="0"/>
      <w:marBottom w:val="0"/>
      <w:divBdr>
        <w:top w:val="none" w:sz="0" w:space="0" w:color="auto"/>
        <w:left w:val="none" w:sz="0" w:space="0" w:color="auto"/>
        <w:bottom w:val="none" w:sz="0" w:space="0" w:color="auto"/>
        <w:right w:val="none" w:sz="0" w:space="0" w:color="auto"/>
      </w:divBdr>
    </w:div>
    <w:div w:id="1809978526">
      <w:bodyDiv w:val="1"/>
      <w:marLeft w:val="0"/>
      <w:marRight w:val="0"/>
      <w:marTop w:val="0"/>
      <w:marBottom w:val="0"/>
      <w:divBdr>
        <w:top w:val="none" w:sz="0" w:space="0" w:color="auto"/>
        <w:left w:val="none" w:sz="0" w:space="0" w:color="auto"/>
        <w:bottom w:val="none" w:sz="0" w:space="0" w:color="auto"/>
        <w:right w:val="none" w:sz="0" w:space="0" w:color="auto"/>
      </w:divBdr>
    </w:div>
    <w:div w:id="19340510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5/3/contents/enact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xpertinstitute.com/resources/insights/standard-care-medical-malpractice-need-kno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xisnexis.com/community/casebrief/p/casebrief-cordas-v-peerless-transp-co" TargetMode="External"/><Relationship Id="rId4" Type="http://schemas.openxmlformats.org/officeDocument/2006/relationships/webSettings" Target="webSettings.xml"/><Relationship Id="rId9" Type="http://schemas.openxmlformats.org/officeDocument/2006/relationships/hyperlink" Target="https://www.lexisnexis.com/community/casebrief/p/casebrief-helling-v-car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F33DB6-311B-4D98-91D7-8109ED1AF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2689</Words>
  <Characters>15331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Tort Law Assignment</vt:lpstr>
    </vt:vector>
  </TitlesOfParts>
  <Company/>
  <LinksUpToDate>false</LinksUpToDate>
  <CharactersWithSpaces>17985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Tort Law Assignment</dc:title>
  <dc:creator>MD Roshid Ahmed</dc:creator>
  <cp:lastModifiedBy>Roshid Ahmed</cp:lastModifiedBy>
  <cp:revision>13</cp:revision>
  <cp:lastPrinted>1900-01-01T00:00:00Z</cp:lastPrinted>
  <dcterms:created xsi:type="dcterms:W3CDTF">2021-10-22T10:55:00Z</dcterms:created>
  <dcterms:modified xsi:type="dcterms:W3CDTF">2021-10-25T15:46:00Z</dcterms:modified>
</cp:coreProperties>
</file>