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body>
    <w:p w:rsidR="00530E16" w:rsidRDefault="004468F8" w14:paraId="128D4263" w14:textId="77777777">
      <w:pPr>
        <w:pBdr>
          <w:top w:val="nil"/>
          <w:left w:val="nil"/>
          <w:bottom w:val="nil"/>
          <w:right w:val="nil"/>
          <w:between w:val="nil"/>
        </w:pBdr>
        <w:spacing w:after="0" w:line="240" w:lineRule="auto"/>
        <w:rPr>
          <w:rFonts w:ascii="Arial" w:hAnsi="Arial" w:eastAsia="Arial" w:cs="Arial"/>
          <w:color w:val="000000"/>
          <w:sz w:val="22"/>
          <w:szCs w:val="22"/>
        </w:rPr>
      </w:pPr>
      <w:r>
        <w:rPr>
          <w:rFonts w:ascii="Arial" w:hAnsi="Arial" w:eastAsia="Arial" w:cs="Arial"/>
          <w:noProof/>
          <w:color w:val="000000"/>
          <w:sz w:val="22"/>
          <w:szCs w:val="22"/>
        </w:rPr>
        <mc:AlternateContent>
          <mc:Choice Requires="wpg">
            <w:drawing>
              <wp:anchor distT="0" distB="0" distL="114300" distR="114300" simplePos="0" relativeHeight="251658240" behindDoc="1" locked="0" layoutInCell="1" allowOverlap="1" wp14:anchorId="79304E5C" wp14:editId="07777777">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rsidR="00530E16" w:rsidRDefault="00530E16" w14:paraId="672A6659" w14:textId="77777777">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rsidR="00530E16" w:rsidRDefault="00530E16" w14:paraId="0A37501D" w14:textId="77777777">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xmlns:a="http://schemas.openxmlformats.org/drawingml/2006/main" xmlns:wp14="http://schemas.microsoft.com/office/word/2010/wordml">
            <w:pict w14:anchorId="02211583">
              <v:group id="Group 1" style="position:absolute;margin-left:-48pt;margin-top:-123.75pt;width:172.5pt;height:590.35pt;z-index:-251658240" coordsize="21945,91257" o:spid="_x0000_s10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">
                <v:rect id="Rectangle 2" style="position:absolute;width:21945;height:91257;visibility:visible;mso-wrap-style:square;v-text-anchor:middle" o:spid="_x0000_s1027" filled="f" stroked="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IOUdcEA&#10;AADaAAAADwAAAGRycy9kb3ducmV2LnhtbESP0WrCQBRE3wv+w3IF3+rGIFKjq6gotD7V6Adcs9ds&#10;MHs3ZldN/74rFPo4zMwZZr7sbC0e1PrKsYLRMAFBXDhdcangdNy9f4DwAVlj7ZgU/JCH5aL3NsdM&#10;uycf6JGHUkQI+wwVmBCaTEpfGLLoh64hjt7FtRZDlG0pdYvPCLe1TJNkIi1WHBcMNrQxVFzzu1Xw&#10;PXaUblO/zks7Nd35uP+64USpQb9bzUAE6sJ/+K/9qRWk8LoSb4Bc/A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SDlHXBAAAA2gAAAA8AAAAAAAAAAAAAAAAAmAIAAGRycy9kb3du&#10;cmV2LnhtbFBLBQYAAAAABAAEAPUAAACGAwAAAAA=&#10;">
                  <v:textbox inset="2.53958mm,2.53958mm,2.53958mm,2.53958mm">
                    <w:txbxContent>
                      <w:p w:rsidR="00530E16" w:rsidRDefault="00530E16" w14:paraId="5DAB6C7B" wp14:textId="77777777">
                        <w:pPr>
                          <w:spacing w:after="0" w:line="240" w:lineRule="auto"/>
                          <w:textDirection w:val="btLr"/>
                        </w:pPr>
                      </w:p>
                    </w:txbxContent>
                  </v:textbox>
                </v:rect>
                <v:rect id="Rectangle 3" style="position:absolute;width:1945;height:91257;visibility:visible;mso-wrap-style:square;v-text-anchor:middle" o:spid="_x0000_s1028" fillcolor="#0e2841 [3202]" stroked="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vmxLsIA&#10;AADaAAAADwAAAGRycy9kb3ducmV2LnhtbESPT2sCMRTE70K/Q3iF3jRbqyKrUUppwVPFVfT62Lz9&#10;QzcvSxLX3W/fCILHYWZ+w6y3vWlER87XlhW8TxIQxLnVNZcKTsef8RKED8gaG8ukYCAP283LaI2p&#10;tjc+UJeFUkQI+xQVVCG0qZQ+r8ign9iWOHqFdQZDlK6U2uEtwk0jp0mykAZrjgsVtvRVUf6XXY2C&#10;/e/Mza/NQHReTIdi2O0vxXen1Ntr/7kCEagPz/CjvdMKPuB+Jd4Aufk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q+bEuwgAAANoAAAAPAAAAAAAAAAAAAAAAAJgCAABkcnMvZG93&#10;bnJldi54bWxQSwUGAAAAAAQABAD1AAAAhwMAAAAA&#10;">
                  <v:textbox inset="2.53958mm,2.53958mm,2.53958mm,2.53958mm">
                    <w:txbxContent>
                      <w:p w:rsidR="00530E16" w:rsidRDefault="00530E16" w14:paraId="02EB378F" wp14:textId="77777777">
                        <w:pPr>
                          <w:spacing w:after="0" w:line="240" w:lineRule="auto"/>
                          <w:textDirection w:val="btLr"/>
                        </w:pPr>
                      </w:p>
                    </w:txbxContent>
                  </v:textbox>
                </v:rect>
                <v:group id="Group 5" style="position:absolute;left:762;top:42100;width:20574;height:49103" coordsize="13062,31210" coordorigin="806,42118" o:spid="_x0000_s102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style="position:absolute;left:1410;top:42118;width:10478;height:31210" coordsize="10477,31210" coordorigin="1410,42118" o:spid="_x0000_s103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v:shape id="Freeform 7" style="position:absolute;left:3696;top:62168;width:1937;height:6985;visibility:visible;mso-wrap-style:square;v-text-anchor:middle" coordsize="122,440" o:spid="_x0000_s1031" fillcolor="#0e2841 [3202]" strokecolor="#0e2841 [3202]" path="m,l39,152,84,304r38,113l122,440,76,306,39,180,6,53,,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R0epsUA&#10;AADaAAAADwAAAGRycy9kb3ducmV2LnhtbESPT2vCQBTE74V+h+UVeim6UUQldZUiCq168V9Jb4/s&#10;azY0+zZktyZ+e1co9DjMzG+Y2aKzlbhQ40vHCgb9BARx7nTJhYLTcd2bgvABWWPlmBRcycNi/vgw&#10;w1S7lvd0OYRCRAj7FBWYEOpUSp8bsuj7riaO3rdrLIYom0LqBtsIt5UcJslYWiw5LhisaWko/zn8&#10;WgWf2cuwG+0+si+9ona6TTKzOY+Uen7q3l5BBOrCf/iv/a4VTOB+Jd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JHR6mxQAAANoAAAAPAAAAAAAAAAAAAAAAAJgCAABkcnMv&#10;ZG93bnJldi54bWxQSwUGAAAAAAQABAD1AAAAigMAAAAA&#10;">
                      <v:stroke startarrowwidth="narrow" startarrowlength="short" endarrowwidth="narrow" endarrowlength="short"/>
                      <v:path arrowok="t" o:extrusionok="f"/>
                    </v:shape>
                    <v:shape id="Freeform 8" style="position:absolute;left:5728;top:69058;width:1842;height:4270;visibility:visible;mso-wrap-style:square;v-text-anchor:middle" coordsize="116,269" o:spid="_x0000_s1032" fillcolor="#0e2841 [3202]" strokecolor="#0e2841 [3202]" path="m,l8,19,37,93r30,74l116,269r-8,l60,169,30,98,1,25,,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Mk02cAA&#10;AADaAAAADwAAAGRycy9kb3ducmV2LnhtbERPz2vCMBS+C/4P4QneNHXgkNoom8yxnuac3fmRvLWl&#10;zUtpMtv+98thsOPH9zs7jrYVd+p97VjBZp2AINbO1FwquH2eVzsQPiAbbB2Tgok8HA/zWYapcQN/&#10;0P0aShFD2KeooAqhS6X0uiKLfu064sh9u95iiLAvpelxiOG2lQ9J8igt1hwbKuzoVJFurj9Wwfv2&#10;8joNXy+5fi5c3jR41sEXSi0X49MeRKAx/Iv/3G9GQdwar8QbIA+/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xMk02cAAAADaAAAADwAAAAAAAAAAAAAAAACYAgAAZHJzL2Rvd25y&#10;ZXYueG1sUEsFBgAAAAAEAAQA9QAAAIUDAAAAAA==&#10;">
                      <v:stroke startarrowwidth="narrow" startarrowlength="short" endarrowwidth="narrow" endarrowlength="short"/>
                      <v:path arrowok="t" o:extrusionok="f"/>
                    </v:shape>
                    <v:shape id="Freeform 9" style="position:absolute;left:1410;top:42118;width:2223;height:20193;visibility:visible;mso-wrap-style:square;v-text-anchor:middle" coordsize="140,1272" o:spid="_x0000_s1033" fillcolor="#0e2841 [3202]" strokecolor="#0e2841 [3202]" path="m,l,,1,79r2,80l12,317,23,476,39,634,58,792,83,948r24,138l135,1223r5,49l138,1262,105,1106,77,949,53,792,35,634,20,476,9,317,2,159,,79,,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dczHL8A&#10;AADaAAAADwAAAGRycy9kb3ducmV2LnhtbESPT4vCMBTE7wt+h/AEb2tqD+5ajSKC6EXx7/3RPJti&#10;81KaWOu3NwvCHoeZ+Q0zW3S2Ei01vnSsYDRMQBDnTpdcKLic19+/IHxA1lg5JgUv8rCY975mmGn3&#10;5CO1p1CICGGfoQITQp1J6XNDFv3Q1cTRu7nGYoiyKaRu8BnhtpJpkoylxZLjgsGaVoby++lhFaQH&#10;Rt3u9+lu8zK8Pq5GCf5clRr0u+UURKAu/Ic/7a1WMIG/K/EGyPk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F1zMcvwAAANoAAAAPAAAAAAAAAAAAAAAAAJgCAABkcnMvZG93bnJl&#10;di54bWxQSwUGAAAAAAQABAD1AAAAhAMAAAAA&#10;">
                      <v:stroke startarrowwidth="narrow" startarrowlength="short" endarrowwidth="narrow" endarrowlength="short"/>
                      <v:path arrowok="t" o:extrusionok="f"/>
                    </v:shape>
                    <v:shape id="Freeform 10" style="position:absolute;left:3410;top:48611;width:715;height:13557;visibility:visible;mso-wrap-style:square;v-text-anchor:middle" coordsize="45,854" o:spid="_x0000_s1034" fillcolor="#0e2841 [3202]" strokecolor="#0e2841 [3202]" path="m45,r,l35,66r-9,67l14,267,6,401,3,534,6,669r8,134l18,854r,-3l9,814,8,803,1,669,,534,3,401,12,267,25,132,34,66,45,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X/kM8QA&#10;AADbAAAADwAAAGRycy9kb3ducmV2LnhtbESPQWsCMRCF70L/Q5hCb5qtwiJboxSh0sWLWn/AsBl3&#10;l24mIYm67a/vHAreZnhv3vtmtRndoG4UU+/ZwOusAEXceNtza+D89TFdgkoZ2eLgmQz8UILN+mmy&#10;wsr6Ox/pdsqtkhBOFRrocg6V1qnpyGGa+UAs2sVHh1nW2Gob8S7hbtDzoii1w56locNA246a79PV&#10;GQi+/V3U51juaneZ14fFfhvKvTEvz+P7G6hMY36Y/68/reALvfwiA+j1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l/5DPEAAAA2wAAAA8AAAAAAAAAAAAAAAAAmAIAAGRycy9k&#10;b3ducmV2LnhtbFBLBQYAAAAABAAEAPUAAACJAwAAAAA=&#10;">
                      <v:stroke startarrowwidth="narrow" startarrowlength="short" endarrowwidth="narrow" endarrowlength="short"/>
                      <v:path arrowok="t" o:extrusionok="f"/>
                    </v:shape>
                    <v:shape id="Freeform 11" style="position:absolute;left:3633;top:62311;width:2444;height:9985;visibility:visible;mso-wrap-style:square;v-text-anchor:middle" coordsize="154,629" o:spid="_x0000_s1035" fillcolor="#0e2841 [3202]" strokecolor="#0e2841 [3202]" path="m,l10,44r11,82l34,207r19,86l75,380r25,86l120,521r21,55l152,618r2,11l140,595,115,532,93,468,67,383,47,295,28,207,12,104,,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Ask18IA&#10;AADbAAAADwAAAGRycy9kb3ducmV2LnhtbESPQYvCMBCF74L/IYzgTVNFRKpRRFFEWEHdwx7HZmyL&#10;zaQk0dZ/vxEW9jbDe/O+N4tVayrxIudLywpGwwQEcWZ1ybmC7+tuMAPhA7LGyjIpeJOH1bLbWWCq&#10;bcNnel1CLmII+xQVFCHUqZQ+K8igH9qaOGp36wyGuLpcaodNDDeVHCfJVBosORIKrGlTUPa4PE2E&#10;nJ5fbrqd3JL9W09+/LXZHU2jVL/XrucgArXh3/x3fdCx/gg+v8QB5PI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sCyTXwgAAANsAAAAPAAAAAAAAAAAAAAAAAJgCAABkcnMvZG93&#10;bnJldi54bWxQSwUGAAAAAAQABAD1AAAAhwMAAAAA&#10;">
                      <v:stroke startarrowwidth="narrow" startarrowlength="short" endarrowwidth="narrow" endarrowlength="short"/>
                      <v:path arrowok="t" o:extrusionok="f"/>
                    </v:shape>
                    <v:shape id="Freeform 12" style="position:absolute;left:6204;top:72233;width:524;height:1095;visibility:visible;mso-wrap-style:square;v-text-anchor:middle" coordsize="33,69" o:spid="_x0000_s1036" fillcolor="#0e2841 [3202]" strokecolor="#0e2841 [3202]" path="m,l33,69r-9,l12,35,,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RndxMIA&#10;AADbAAAADwAAAGRycy9kb3ducmV2LnhtbERPTWvCQBC9C/0PyxS8mU2FFo2uEkpb2noyrQdvQ3ZM&#10;oruzIbvG+O+7BcHbPN7nLNeDNaKnzjeOFTwlKQji0umGKwW/P++TGQgfkDUax6TgSh7Wq4fREjPt&#10;LrylvgiViCHsM1RQh9BmUvqyJos+cS1x5A6usxgi7CqpO7zEcGvkNE1fpMWGY0ONLb3WVJ6Ks1Xw&#10;9ZGbdt8Pu+J4nZv8LTTfz5tCqfHjkC9ABBrCXXxzf+o4fwr/v8QD5Oo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Gd3EwgAAANsAAAAPAAAAAAAAAAAAAAAAAJgCAABkcnMvZG93&#10;bnJldi54bWxQSwUGAAAAAAQABAD1AAAAhwMAAAAA&#10;">
                      <v:stroke startarrowwidth="narrow" startarrowlength="short" endarrowwidth="narrow" endarrowlength="short"/>
                      <v:path arrowok="t" o:extrusionok="f"/>
                    </v:shape>
                    <v:shape id="Freeform 13" style="position:absolute;left:3553;top:61533;width:238;height:1476;visibility:visible;mso-wrap-style:square;v-text-anchor:middle" coordsize="15,93" o:spid="_x0000_s1037" fillcolor="#0e2841 [3202]" strokecolor="#0e2841 [3202]" path="m,l9,37r,3l15,93,5,49,,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G7Mt8IA&#10;AADbAAAADwAAAGRycy9kb3ducmV2LnhtbERPS4vCMBC+L/gfwix4WTRVwUc1SlEW9iDK+sDr0Ixt&#10;12ZSmqj13xtB2Nt8fM+ZLRpTihvVrrCsoNeNQBCnVhecKTjsvztjEM4jaywtk4IHOVjMWx8zjLW9&#10;8y/ddj4TIYRdjApy76tYSpfmZNB1bUUcuLOtDfoA60zqGu8h3JSyH0VDabDg0JBjRcuc0svuahRQ&#10;sh7R9TS5HPujpHL71ddq+7dRqv3ZJFMQnhr/L367f3SYP4DXL+EAOX8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Absy3wgAAANsAAAAPAAAAAAAAAAAAAAAAAJgCAABkcnMvZG93&#10;bnJldi54bWxQSwUGAAAAAAQABAD1AAAAhwMAAAAA&#10;">
                      <v:stroke startarrowwidth="narrow" startarrowlength="short" endarrowwidth="narrow" endarrowlength="short"/>
                      <v:path arrowok="t" o:extrusionok="f"/>
                    </v:shape>
                    <v:shape id="Freeform 14" style="position:absolute;left:5633;top:56897;width:6255;height:12161;visibility:visible;mso-wrap-style:square;v-text-anchor:middle" coordsize="394,766" o:spid="_x0000_s1038" fillcolor="#0e2841 [3202]" strokecolor="#0e2841 [3202]" path="m394,r,l356,38,319,77r-35,40l249,160r-42,58l168,276r-37,63l98,402,69,467,45,535,26,604,14,673,7,746,6,766,,749r1,-5l7,673,21,603,40,533,65,466,94,400r33,-64l164,275r40,-60l248,158r34,-42l318,76,354,37,394,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6heOMIA&#10;AADbAAAADwAAAGRycy9kb3ducmV2LnhtbERPzWrCQBC+C32HZYTezMYqUmM2YguF9lChaR9gzI5J&#10;NDsbdrea+vRdQfA2H9/v5OvBdOJEzreWFUyTFARxZXXLtYKf77fJMwgfkDV2lknBH3lYFw+jHDNt&#10;z/xFpzLUIoawz1BBE0KfSemrhgz6xPbEkdtbZzBE6GqpHZ5juOnkU5oupMGWY0ODPb02VB3LX6OA&#10;ZrvLCy/amdt/lMiHzXL7udNKPY6HzQpEoCHcxTf3u47z53D9JR4gi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qF44wgAAANsAAAAPAAAAAAAAAAAAAAAAAJgCAABkcnMvZG93&#10;bnJldi54bWxQSwUGAAAAAAQABAD1AAAAhwMAAAAA&#10;">
                      <v:stroke startarrowwidth="narrow" startarrowlength="short" endarrowwidth="narrow" endarrowlength="short"/>
                      <v:path arrowok="t" o:extrusionok="f"/>
                    </v:shape>
                    <v:shape id="Freeform 15" style="position:absolute;left:5633;top:69153;width:571;height:3080;visibility:visible;mso-wrap-style:square;v-text-anchor:middle" coordsize="36,194" o:spid="_x0000_s1039" fillcolor="#0e2841 [3202]" strokecolor="#0e2841 [3202]" path="m,l6,16r1,3l11,80r9,52l33,185r3,9l21,161,15,145,5,81,1,41,,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iyN6cIA&#10;AADbAAAADwAAAGRycy9kb3ducmV2LnhtbESP3YrCMBCF7xd8hzCCd9u0gqtU0yLCwoIXousDDM3Y&#10;VptJaWJ/3t4IC3s3wznnmzO7fDSN6KlztWUFSRSDIC6srrlUcP39/tyAcB5ZY2OZFEzkIM9mHztM&#10;tR34TP3FlyJA2KWooPK+TaV0RUUGXWRb4qDdbGfQh7Urpe5wCHDTyGUcf0mDNYcLFbZ0qKh4XJ4m&#10;UJJk3fBxeZ+S9bmdhtMtlnWv1GI+7rcgPI3+3/yX/tGh/grev4QBZPY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qLI3pwgAAANsAAAAPAAAAAAAAAAAAAAAAAJgCAABkcnMvZG93&#10;bnJldi54bWxQSwUGAAAAAAQABAD1AAAAhwMAAAAA&#10;">
                      <v:stroke startarrowwidth="narrow" startarrowlength="short" endarrowwidth="narrow" endarrowlength="short"/>
                      <v:path arrowok="t" o:extrusionok="f"/>
                    </v:shape>
                    <v:shape id="Freeform 16" style="position:absolute;left:6077;top:72296;width:493;height:1032;visibility:visible;mso-wrap-style:square;v-text-anchor:middle" coordsize="31,65" o:spid="_x0000_s1040" fillcolor="#0e2841 [3202]" strokecolor="#0e2841 [3202]" path="m,l31,65r-8,l,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lMk5MQA&#10;AADbAAAADwAAAGRycy9kb3ducmV2LnhtbERP22rCQBB9L/QflhF8qxsthBJdpShWxSI1XqBvQ3Zy&#10;odnZkN1q6td3C0Lf5nCuM5l1phYXal1lWcFwEIEgzqyuuFBwPCyfXkA4j6yxtkwKfsjBbPr4MMFE&#10;2yvv6ZL6QoQQdgkqKL1vEildVpJBN7ANceBy2xr0AbaF1C1eQ7ip5SiKYmmw4tBQYkPzkrKv9Nso&#10;2G0Xo3P0Fq8+brf5avNe5c+nz1ypfq97HYPw1Pl/8d291mF+DH+/hAPk9B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JTJOTEAAAA2wAAAA8AAAAAAAAAAAAAAAAAmAIAAGRycy9k&#10;b3ducmV2LnhtbFBLBQYAAAAABAAEAPUAAACJAwAAAAA=&#10;">
                      <v:stroke startarrowwidth="narrow" startarrowlength="short" endarrowwidth="narrow" endarrowlength="short"/>
                      <v:path arrowok="t" o:extrusionok="f"/>
                    </v:shape>
                    <v:shape id="Freeform 17" style="position:absolute;left:5633;top:68788;width:111;height:666;visibility:visible;mso-wrap-style:square;v-text-anchor:middle" coordsize="7,42" o:spid="_x0000_s1041" fillcolor="#0e2841 [3202]" strokecolor="#0e2841 [3202]" path="m,l6,17,7,42,6,39,,23,,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tQBgcMA&#10;AADbAAAADwAAAGRycy9kb3ducmV2LnhtbERPTWsCMRC9C/0PYQq9FM3ag8pqlKKUtuClVtTjuBk3&#10;SzeTJUnXtb/eCAVv83ifM1t0thYt+VA5VjAcZCCIC6crLhVsv9/6ExAhImusHZOCCwVYzB96M8y1&#10;O/MXtZtYihTCIUcFJsYmlzIUhiyGgWuIE3dy3mJM0JdSezyncFvLlywbSYsVpwaDDS0NFT+bX6tg&#10;vf97fi+cN5fP3YFP7XG1Ho1XSj09dq9TEJG6eBf/uz90mj+G2y/pADm/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tQBgcMAAADbAAAADwAAAAAAAAAAAAAAAACYAgAAZHJzL2Rv&#10;d25yZXYueG1sUEsFBgAAAAAEAAQA9QAAAIgDAAAAAA==&#10;">
                      <v:stroke startarrowwidth="narrow" startarrowlength="short" endarrowwidth="narrow" endarrowlength="short"/>
                      <v:path arrowok="t" o:extrusionok="f"/>
                    </v:shape>
                    <v:shape id="Freeform 18" style="position:absolute;left:5871;top:71455;width:714;height:1873;visibility:visible;mso-wrap-style:square;v-text-anchor:middle" coordsize="45,118" o:spid="_x0000_s1042" fillcolor="#0e2841 [3202]" strokecolor="#0e2841 [3202]" path="m,l6,16,21,49,33,84r12,34l44,118,13,53,11,42,,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zEsQA&#10;AADbAAAADwAAAGRycy9kb3ducmV2LnhtbESPQU/DMAyF75P4D5GRuG0pOwwoSyuENG0ckNiGOFuN&#10;aQqN0yXZWv49PiBxs/We3/u8riffqwvF1AU2cLsoQBE3wXbcGng/bub3oFJGttgHJgM/lKCurmZr&#10;LG0YeU+XQ26VhHAq0YDLeSi1To0jj2kRBmLRPkP0mGWNrbYRRwn3vV4WxUp77FgaHA707Kj5Ppy9&#10;gZDj9m35sf8aXwfvCv9wuju9rIy5uZ6eHkFlmvK/+e96ZwVfYOUXGUB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5v8xLEAAAA2wAAAA8AAAAAAAAAAAAAAAAAmAIAAGRycy9k&#10;b3ducmV2LnhtbFBLBQYAAAAABAAEAPUAAACJAwAAAAA=&#10;">
                      <v:stroke startarrowwidth="narrow" startarrowlength="short" endarrowwidth="narrow" endarrowlength="short"/>
                      <v:path arrowok="t" o:extrusionok="f"/>
                    </v:shape>
                  </v:group>
                  <v:group id="Group 19" style="position:absolute;left:806;top:48269;width:13063;height:25059" coordsize="8747,16779" coordorigin="806,46499" o:spid="_x0000_s104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fAdrh8EAAADbAAAADwAA&#10;AAAAAAAAAAAAAACqAgAAZHJzL2Rvd25yZXYueG1sUEsFBgAAAAAEAAQA+gAAAJgDAAAAAA==&#10;">
                    <v:shape id="Freeform 20" style="position:absolute;left:1187;top:51897;width:1984;height:7143;visibility:visible;mso-wrap-style:square;v-text-anchor:middle" coordsize="125,450" o:spid="_x0000_s1044" fillcolor="#0e2841 [3202]" strokecolor="#0e2841 [3202]" path="m,l41,155,86,309r39,116l125,450,79,311,41,183,7,54,,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GI55sIA&#10;AADbAAAADwAAAGRycy9kb3ducmV2LnhtbERPu2rDMBTdA/0HcQvdEjmBlOBGNqUQKPXQxumS7WLd&#10;2q6tKyMpfvx9NRQyHs77mM+mFyM531pWsN0kIIgrq1uuFXxfTusDCB+QNfaWScFCHvLsYXXEVNuJ&#10;zzSWoRYxhH2KCpoQhlRKXzVk0G/sQBy5H+sMhghdLbXDKYabXu6S5FkabDk2NDjQW0NVV96MAv1x&#10;Pf+6076jYvtZFtfua7/caqWeHufXFxCB5nAX/7vftYJdXB+/xB8gs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YjnmwgAAANsAAAAPAAAAAAAAAAAAAAAAAJgCAABkcnMvZG93&#10;bnJldi54bWxQSwUGAAAAAAQABAD1AAAAhwMAAAAA&#10;">
                      <v:fill opacity="13107f"/>
                      <v:stroke opacity="13107f" startarrowwidth="narrow" startarrowlength="short" endarrowwidth="narrow" endarrowlength="short"/>
                      <v:path arrowok="t" o:extrusionok="f"/>
                    </v:shape>
                    <v:shape id="Freeform 21" style="position:absolute;left:3282;top:58913;width:1874;height:4366;visibility:visible;mso-wrap-style:square;v-text-anchor:middle" coordsize="118,275" o:spid="_x0000_s1045" fillcolor="#0e2841 [3202]" strokecolor="#0e2841 [3202]" path="m,l8,20,37,96r32,74l118,275r-9,l61,174,30,100,,26,,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qVaHsUA&#10;AADbAAAADwAAAGRycy9kb3ducmV2LnhtbESPQWvCQBSE70L/w/IKvUjdGKpIdJVSKnipaFIEb4/s&#10;MwnNvg3ZbRL/vSsIHoeZ+YZZbQZTi45aV1lWMJ1EIIhzqysuFPxm2/cFCOeRNdaWScGVHGzWL6MV&#10;Jtr2fKQu9YUIEHYJKii9bxIpXV6SQTexDXHwLrY16INsC6lb7APc1DKOork0WHFYKLGhr5Lyv/Tf&#10;KKDDIu73R/oYn7936U83u26zU6XU2+vwuQThafDP8KO90wriKdy/hB8g1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ipVoexQAAANsAAAAPAAAAAAAAAAAAAAAAAJgCAABkcnMv&#10;ZG93bnJldi54bWxQSwUGAAAAAAQABAD1AAAAigMAAAAA&#10;">
                      <v:fill opacity="13107f"/>
                      <v:stroke opacity="13107f" startarrowwidth="narrow" startarrowlength="short" endarrowwidth="narrow" endarrowlength="short"/>
                      <v:path arrowok="t" o:extrusionok="f"/>
                    </v:shape>
                    <v:shape id="Freeform 22" style="position:absolute;left:806;top:50103;width:317;height:1921;visibility:visible;mso-wrap-style:square;v-text-anchor:middle" coordsize="20,121" o:spid="_x0000_s1046" fillcolor="#0e2841 [3202]" strokecolor="#0e2841 [3202]" path="m,l16,72r4,49l18,112,,31,,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bDyEMUA&#10;AADbAAAADwAAAGRycy9kb3ducmV2LnhtbESPQWvCQBSE7wX/w/KE3urGHLSkrlKt0koP2ih4fWRf&#10;k2D2bbq7NfHfu4WCx2FmvmFmi9404kLO15YVjEcJCOLC6ppLBcfD5ukZhA/IGhvLpOBKHhbzwcMM&#10;M207/qJLHkoRIewzVFCF0GZS+qIig35kW+LofVtnMETpSqkddhFuGpkmyUQarDkuVNjSqqLinP8a&#10;BZ/TE+Xr7bV7c4d+b8Ly5303nSj1OOxfX0AE6sM9/N/+0ArSFP6+xB8g5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1sPIQxQAAANsAAAAPAAAAAAAAAAAAAAAAAJgCAABkcnMv&#10;ZG93bnJldi54bWxQSwUGAAAAAAQABAD1AAAAigMAAAAA&#10;">
                      <v:fill opacity="13107f"/>
                      <v:stroke opacity="13107f" startarrowwidth="narrow" startarrowlength="short" endarrowwidth="narrow" endarrowlength="short"/>
                      <v:path arrowok="t" o:extrusionok="f"/>
                    </v:shape>
                    <v:shape id="Freeform 23" style="position:absolute;left:1123;top:52024;width:2509;height:10207;visibility:visible;mso-wrap-style:square;v-text-anchor:middle" coordsize="158,643" o:spid="_x0000_s1047" fillcolor="#0e2841 [3202]" strokecolor="#0e2841 [3202]" path="m,l11,46r11,83l36,211r19,90l76,389r27,87l123,533r21,55l155,632r3,11l142,608,118,544,95,478,69,391,47,302,29,212,13,107,,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MtqsIA&#10;AADbAAAADwAAAGRycy9kb3ducmV2LnhtbESPUWvCQBCE3wv9D8cW+lYvplBK9BSVivWx6g9Yc2sS&#10;k91L706N/75XKPRxmJlvmOl84E5dyYfGiYHxKANFUjrbSGXgsF+/vIMKEcVi54QM3CnAfPb4MMXC&#10;upt80XUXK5UgEgo0UMfYF1qHsibGMHI9SfJOzjPGJH2lrcdbgnOn8yx704yNpIUae1rVVLa7Cxs4&#10;3vNNdmiXdvPtefWx5Z7P7daY56dhMQEVaYj/4b/2pzWQv8Lvl/QD9Ow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tcy2qwgAAANsAAAAPAAAAAAAAAAAAAAAAAJgCAABkcnMvZG93&#10;bnJldi54bWxQSwUGAAAAAAQABAD1AAAAhwMAAAAA&#10;">
                      <v:fill opacity="13107f"/>
                      <v:stroke opacity="13107f" startarrowwidth="narrow" startarrowlength="short" endarrowwidth="narrow" endarrowlength="short"/>
                      <v:path arrowok="t" o:extrusionok="f"/>
                    </v:shape>
                    <v:shape id="Freeform 24" style="position:absolute;left:3759;top:62152;width:524;height:1127;visibility:visible;mso-wrap-style:square;v-text-anchor:middle" coordsize="33,71" o:spid="_x0000_s1048" fillcolor="#0e2841 [3202]" strokecolor="#0e2841 [3202]" path="m,l33,71r-9,l11,36,,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jsml74A&#10;AADbAAAADwAAAGRycy9kb3ducmV2LnhtbESPzQrCMBCE74LvEFbwpqkiItUoohQ9+vcAS7O2xWZT&#10;mthWn94IgsdhZr5hVpvOlKKh2hWWFUzGEQji1OqCMwW3azJagHAeWWNpmRS8yMFm3e+tMNa25TM1&#10;F5+JAGEXo4Lc+yqW0qU5GXRjWxEH725rgz7IOpO6xjbATSmnUTSXBgsOCzlWtMspfVyeRkHWSH4c&#10;5/fosHdJk8zofWpve6WGg267BOGp8//wr33UCqYz+H4JP0CuP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H47Jpe+AAAA2wAAAA8AAAAAAAAAAAAAAAAAmAIAAGRycy9kb3ducmV2&#10;LnhtbFBLBQYAAAAABAAEAPUAAACDAwAAAAA=&#10;">
                      <v:fill opacity="13107f"/>
                      <v:stroke opacity="13107f" startarrowwidth="narrow" startarrowlength="short" endarrowwidth="narrow" endarrowlength="short"/>
                      <v:path arrowok="t" o:extrusionok="f"/>
                    </v:shape>
                    <v:shape id="Freeform 25" style="position:absolute;left:1060;top:51246;width:238;height:1508;visibility:visible;mso-wrap-style:square;v-text-anchor:middle" coordsize="15,95" o:spid="_x0000_s1049" fillcolor="#0e2841 [3202]" strokecolor="#0e2841 [3202]" path="m,l8,37r,4l15,95,4,49,,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qduXMIA&#10;AADbAAAADwAAAGRycy9kb3ducmV2LnhtbESPwWrDMBBE74X+g9hCL6aRY0iI3SihBAo9Nm4uuS3W&#10;1ja1Vq61tZ2/jwqBHIeZecNs97Pr1EhDaD0bWC5SUMSVty3XBk5f7y8bUEGQLXaeycCFAux3jw9b&#10;LKyf+EhjKbWKEA4FGmhE+kLrUDXkMCx8Txy9bz84lCiHWtsBpwh3nc7SdK0dthwXGuzp0FD1U/45&#10;A2vrPpNfDIm0/TnvylzS2Ykxz0/z2ysooVnu4Vv7wxrIVvD/Jf4Avbs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2p25cwgAAANsAAAAPAAAAAAAAAAAAAAAAAJgCAABkcnMvZG93&#10;bnJldi54bWxQSwUGAAAAAAQABAD1AAAAhwMAAAAA&#10;">
                      <v:fill opacity="13107f"/>
                      <v:stroke opacity="13107f" startarrowwidth="narrow" startarrowlength="short" endarrowwidth="narrow" endarrowlength="short"/>
                      <v:path arrowok="t" o:extrusionok="f"/>
                    </v:shape>
                    <v:shape id="Freeform 26" style="position:absolute;left:3171;top:46499;width:6382;height:12414;visibility:visible;mso-wrap-style:square;v-text-anchor:middle" coordsize="402,782" o:spid="_x0000_s1050" fillcolor="#0e2841 [3202]" strokecolor="#0e2841 [3202]" path="m402,r,1l363,39,325,79r-35,42l255,164r-44,58l171,284r-38,62l100,411,71,478,45,546,27,617,13,689,7,761r,21l,765r1,-4l7,688,21,616,40,545,66,475,95,409r35,-66l167,281r42,-61l253,163r34,-43l324,78,362,38,402,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EqgGMQA&#10;AADbAAAADwAAAGRycy9kb3ducmV2LnhtbESPQWvCQBSE74L/YXmCN91UrJbUVYpUkB6kRqXXR/Y1&#10;Cc2+Ddmnxn/vCgWPw8x8wyxWnavVhdpQeTbwMk5AEefeVlwYOB42ozdQQZAt1p7JwI0CrJb93gJT&#10;66+8p0smhYoQDikaKEWaVOuQl+QwjH1DHL1f3zqUKNtC2xavEe5qPUmSmXZYcVwosaF1SflfdnYG&#10;Tq/n7Gcqh+/d3H2d5rdsLZ+7ypjhoPt4ByXUyTP8395aA5MZPL7EH6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xKoBjEAAAA2wAAAA8AAAAAAAAAAAAAAAAAmAIAAGRycy9k&#10;b3ducmV2LnhtbFBLBQYAAAAABAAEAPUAAACJAwAAAAA=&#10;">
                      <v:fill opacity="13107f"/>
                      <v:stroke opacity="13107f" startarrowwidth="narrow" startarrowlength="short" endarrowwidth="narrow" endarrowlength="short"/>
                      <v:path arrowok="t" o:extrusionok="f"/>
                    </v:shape>
                    <v:shape id="Freeform 27" style="position:absolute;left:3171;top:59040;width:588;height:3112;visibility:visible;mso-wrap-style:square;v-text-anchor:middle" coordsize="37,196" o:spid="_x0000_s1051" fillcolor="#0e2841 [3202]" strokecolor="#0e2841 [3202]" path="m,l6,15r1,3l12,80r9,54l33,188r4,8l22,162,15,146,5,81,1,40,,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HmKmsUA&#10;AADbAAAADwAAAGRycy9kb3ducmV2LnhtbESPQWvCQBSE74X+h+UVvIhuKmgldZVSIrSKQqMXb4/s&#10;azaYfZtmV43/3hWEHoeZ+YaZLTpbizO1vnKs4HWYgCAunK64VLDfLQdTED4ga6wdk4IreVjMn59m&#10;mGp34R8656EUEcI+RQUmhCaV0heGLPqha4ij9+taiyHKtpS6xUuE21qOkmQiLVYcFww29GmoOOYn&#10;qyDjw7fZ/q33mVyNN0ezTPr5OFOq99J9vIMI1IX/8KP9pRWM3uD+Jf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MeYqaxQAAANsAAAAPAAAAAAAAAAAAAAAAAJgCAABkcnMv&#10;ZG93bnJldi54bWxQSwUGAAAAAAQABAD1AAAAigMAAAAA&#10;">
                      <v:fill opacity="13107f"/>
                      <v:stroke opacity="13107f" startarrowwidth="narrow" startarrowlength="short" endarrowwidth="narrow" endarrowlength="short"/>
                      <v:path arrowok="t" o:extrusionok="f"/>
                    </v:shape>
                    <v:shape id="Freeform 28" style="position:absolute;left:3632;top:62231;width:492;height:1048;visibility:visible;mso-wrap-style:square;v-text-anchor:middle" coordsize="31,66" o:spid="_x0000_s1052" fillcolor="#0e2841 [3202]" strokecolor="#0e2841 [3202]" path="m,l31,66r-7,l,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oDusr8A&#10;AADbAAAADwAAAGRycy9kb3ducmV2LnhtbERPu27CMBTdkfoP1kViQcWpB0RDDAKqSl15qPNtfEms&#10;xNdp7JLw9/WAxHh03sV2dK24UR+sZw1viwwEcemN5UrD5fz5ugIRIrLB1jNpuFOA7eZlUmBu/MBH&#10;up1iJVIIhxw11DF2uZShrMlhWPiOOHFX3zuMCfaVND0OKdy1UmXZUjq0nBpq7OhQU9mc/pyG+c+w&#10;Uur3vSlt+7FXzfHbBq+0nk3H3RpEpDE+xQ/3l9Gg0tj0Jf0AufkH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ugO6yvwAAANsAAAAPAAAAAAAAAAAAAAAAAJgCAABkcnMvZG93bnJl&#10;di54bWxQSwUGAAAAAAQABAD1AAAAhAMAAAAA&#10;">
                      <v:fill opacity="13107f"/>
                      <v:stroke opacity="13107f" startarrowwidth="narrow" startarrowlength="short" endarrowwidth="narrow" endarrowlength="short"/>
                      <v:path arrowok="t" o:extrusionok="f"/>
                    </v:shape>
                    <v:shape id="Freeform 29" style="position:absolute;left:3171;top:58644;width:111;height:682;visibility:visible;mso-wrap-style:square;v-text-anchor:middle" coordsize="7,43" o:spid="_x0000_s1053" fillcolor="#0e2841 [3202]" strokecolor="#0e2841 [3202]" path="m,l7,17r,26l6,40,,25,,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DMqX8YA&#10;AADbAAAADwAAAGRycy9kb3ducmV2LnhtbESPQWvCQBSE74X+h+UVequb5lA0ugYNltqDFaMXb4/s&#10;Mwlm34bsNqb+ercgeBxm5htmlg6mET11rras4H0UgSAurK65VHDYf76NQTiPrLGxTAr+yEE6f36a&#10;YaLthXfU574UAcIuQQWV920ipSsqMuhGtiUO3sl2Bn2QXSl1h5cAN42Mo+hDGqw5LFTYUlZRcc5/&#10;jYLTd3/82ZbxV7Ze7ZbRvlhdN/lBqdeXYTEF4Wnwj/C9vdYK4gn8fwk/QM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DMqX8YAAADbAAAADwAAAAAAAAAAAAAAAACYAgAAZHJz&#10;L2Rvd25yZXYueG1sUEsFBgAAAAAEAAQA9QAAAIsDAAAAAA==&#10;">
                      <v:fill opacity="13107f"/>
                      <v:stroke opacity="13107f" startarrowwidth="narrow" startarrowlength="short" endarrowwidth="narrow" endarrowlength="short"/>
                      <v:path arrowok="t" o:extrusionok="f"/>
                    </v:shape>
                    <v:shape id="Freeform 30" style="position:absolute;left:3409;top:61358;width:731;height:1921;visibility:visible;mso-wrap-style:square;v-text-anchor:middle" coordsize="46,121" o:spid="_x0000_s1054" fillcolor="#0e2841 [3202]" strokecolor="#0e2841 [3202]" path="m,l7,16,22,50,33,86r13,35l45,121,14,55,11,44,,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5LSoMEA&#10;AADbAAAADwAAAGRycy9kb3ducmV2LnhtbERPz2vCMBS+C/sfwht403QbylpNyyYTxJO2g13fmmcb&#10;1ryUJqv1vzeHwY4f3+9tMdlOjDR441jB0zIBQVw7bbhR8FntF68gfEDW2DkmBTfyUOQPsy1m2l35&#10;TGMZGhFD2GeooA2hz6T0dUsW/dL1xJG7uMFiiHBopB7wGsNtJ5+TZC0tGo4NLfa0a6n+KX+tgvI9&#10;PaXH9Pu2GitNH702bvdllJo/Tm8bEIGm8C/+cx+0gpe4Pn6JP0Dm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S0qDBAAAA2wAAAA8AAAAAAAAAAAAAAAAAmAIAAGRycy9kb3du&#10;cmV2LnhtbFBLBQYAAAAABAAEAPUAAACGAwAAAAA=&#10;">
                      <v:fill opacity="13107f"/>
                      <v:stroke opacity="13107f" startarrowwidth="narrow" startarrowlength="short" endarrowwidth="narrow" endarrowlength="short"/>
                      <v:path arrowok="t" o:extrusionok="f"/>
                    </v:shape>
                  </v:group>
                </v:group>
              </v:group>
            </w:pict>
          </mc:Fallback>
        </mc:AlternateContent>
      </w:r>
      <w:r>
        <w:rPr>
          <w:rFonts w:ascii="Arial" w:hAnsi="Arial" w:eastAsia="Arial" w:cs="Arial"/>
          <w:noProof/>
          <w:color w:val="000000"/>
          <w:sz w:val="22"/>
          <w:szCs w:val="22"/>
        </w:rPr>
        <mc:AlternateContent>
          <mc:Choice Requires="wps">
            <w:drawing>
              <wp:anchor distT="0" distB="0" distL="114300" distR="114300" simplePos="0" relativeHeight="251659264" behindDoc="0" locked="0" layoutInCell="1" hidden="0" allowOverlap="1" wp14:anchorId="44B56D7B" wp14:editId="07777777">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rsidR="00530E16" w:rsidRDefault="004468F8" w14:paraId="32DFA9BB" w14:textId="77777777">
                            <w:pPr>
                              <w:spacing w:after="0" w:line="240" w:lineRule="auto"/>
                              <w:textDirection w:val="btLr"/>
                            </w:pPr>
                            <w:r>
                              <w:rPr>
                                <w:rFonts w:ascii="Arial" w:hAnsi="Arial" w:eastAsia="Arial" w:cs="Arial"/>
                                <w:color w:val="156082"/>
                                <w:sz w:val="26"/>
                              </w:rPr>
                              <w:t>University of Wales Trinity Saint David</w:t>
                            </w:r>
                          </w:p>
                          <w:p w:rsidR="00530E16" w:rsidRDefault="004468F8" w14:paraId="25947446" w14:textId="77777777">
                            <w:pPr>
                              <w:spacing w:after="0" w:line="240" w:lineRule="auto"/>
                              <w:textDirection w:val="btLr"/>
                            </w:pPr>
                            <w:r>
                              <w:rPr>
                                <w:rFonts w:ascii="Arial" w:hAnsi="Arial" w:eastAsia="Arial" w:cs="Arial"/>
                                <w:smallCaps/>
                                <w:color w:val="595959"/>
                                <w:sz w:val="20"/>
                              </w:rPr>
                              <w:t>LONDON CAMPUS</w:t>
                            </w:r>
                          </w:p>
                        </w:txbxContent>
                      </wps:txbx>
                      <wps:bodyPr spcFirstLastPara="1" wrap="square" lIns="0" tIns="0" rIns="0" bIns="0" anchor="b" anchorCtr="0">
                        <a:noAutofit/>
                      </wps:bodyPr>
                    </wps:wsp>
                  </a:graphicData>
                </a:graphic>
              </wp:anchor>
            </w:drawing>
          </mc:Choice>
          <mc:Fallback xmlns:a="http://schemas.openxmlformats.org/drawingml/2006/main" xmlns:wp14="http://schemas.microsoft.com/office/word/2010/wordml">
            <w:pict w14:anchorId="54EF33E5">
              <v:rect id="Rectangle 3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spid="_x0000_s1055" filled="f" stroked="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">
                <v:textbox inset="0,0,0,0">
                  <w:txbxContent>
                    <w:p w:rsidR="00530E16" w:rsidRDefault="004468F8" w14:paraId="18A17A4E" wp14:textId="77777777">
                      <w:pPr>
                        <w:spacing w:after="0" w:line="240" w:lineRule="auto"/>
                        <w:textDirection w:val="btLr"/>
                      </w:pPr>
                      <w:r>
                        <w:rPr>
                          <w:rFonts w:ascii="Arial" w:hAnsi="Arial" w:eastAsia="Arial" w:cs="Arial"/>
                          <w:color w:val="156082"/>
                          <w:sz w:val="26"/>
                        </w:rPr>
                        <w:t>University of Wales Trinity Saint David</w:t>
                      </w:r>
                    </w:p>
                    <w:p w:rsidR="00530E16" w:rsidRDefault="004468F8" w14:paraId="7A3CEA41" wp14:textId="77777777">
                      <w:pPr>
                        <w:spacing w:after="0" w:line="240" w:lineRule="auto"/>
                        <w:textDirection w:val="btLr"/>
                      </w:pPr>
                      <w:r>
                        <w:rPr>
                          <w:rFonts w:ascii="Arial" w:hAnsi="Arial" w:eastAsia="Arial" w:cs="Arial"/>
                          <w:smallCaps/>
                          <w:color w:val="595959"/>
                          <w:sz w:val="20"/>
                        </w:rPr>
                        <w:t>LONDON CAMPUS</w:t>
                      </w:r>
                    </w:p>
                  </w:txbxContent>
                </v:textbox>
                <w10:wrap anchorx="page" anchory="page"/>
              </v:rect>
            </w:pict>
          </mc:Fallback>
        </mc:AlternateContent>
      </w:r>
    </w:p>
    <w:p w:rsidR="00530E16" w:rsidRDefault="004468F8" w14:paraId="23E10FDF" w14:textId="77777777">
      <w:pPr>
        <w:rPr>
          <w:rFonts w:ascii="Arial" w:hAnsi="Arial" w:eastAsia="Arial" w:cs="Arial"/>
        </w:rPr>
      </w:pPr>
      <w:r>
        <w:br w:type="page"/>
      </w:r>
    </w:p>
    <w:p w:rsidR="004468F8" w:rsidP="5C661CA2" w:rsidRDefault="004468F8" w14:paraId="7A75F483" w14:textId="1758EC94">
      <w:pPr>
        <w:pStyle w:val="TOC1"/>
        <w:tabs>
          <w:tab w:val="right" w:leader="dot" w:pos="9016"/>
        </w:tabs>
        <w:rPr>
          <w:rFonts w:ascii="Aptos" w:hAnsi="Aptos" w:eastAsia="游明朝" w:cs="Arial" w:asciiTheme="minorAscii" w:hAnsiTheme="minorAscii" w:eastAsiaTheme="minorEastAsia" w:cstheme="minorBidi"/>
          <w:noProof/>
          <w:lang w:eastAsia="ja-JP"/>
        </w:rPr>
      </w:pPr>
      <w:r>
        <w:fldChar w:fldCharType="begin"/>
      </w:r>
      <w:r>
        <w:instrText xml:space="preserve"> TOC \h \u \z \t "Heading 1,1,Heading 2,2,Heading 3,3,"</w:instrText>
      </w:r>
      <w:r>
        <w:fldChar w:fldCharType="separate"/>
      </w:r>
      <w:hyperlink w:anchor="_Toc216865625">
        <w:r w:rsidRPr="5C661CA2" w:rsidR="00D65BBD">
          <w:rPr>
            <w:rStyle w:val="Hyperlink"/>
            <w:noProof/>
          </w:rPr>
          <w:t>Report Topic: &lt;Importance of Effective Communication&gt;</w:t>
        </w:r>
        <w:r>
          <w:tab/>
        </w:r>
        <w:r w:rsidRPr="5C661CA2">
          <w:rPr>
            <w:noProof/>
          </w:rPr>
          <w:fldChar w:fldCharType="begin"/>
        </w:r>
        <w:r w:rsidRPr="5C661CA2">
          <w:rPr>
            <w:noProof/>
          </w:rPr>
          <w:instrText xml:space="preserve"> PAGEREF _Toc216865625 \h </w:instrText>
        </w:r>
        <w:r w:rsidRPr="5C661CA2">
          <w:rPr>
            <w:noProof/>
          </w:rPr>
          <w:fldChar w:fldCharType="separate"/>
        </w:r>
        <w:r w:rsidRPr="5C661CA2" w:rsidR="00D65BBD">
          <w:rPr>
            <w:noProof/>
          </w:rPr>
          <w:t>2</w:t>
        </w:r>
        <w:r w:rsidRPr="5C661CA2">
          <w:rPr>
            <w:noProof/>
          </w:rPr>
          <w:fldChar w:fldCharType="end"/>
        </w:r>
      </w:hyperlink>
    </w:p>
    <w:p w:rsidR="00D65BBD" w:rsidP="5C661CA2" w:rsidRDefault="00D65BBD" w14:paraId="075ADB44" w14:textId="369EFDE2">
      <w:pPr>
        <w:pStyle w:val="TOC1"/>
        <w:tabs>
          <w:tab w:val="right" w:leader="dot" w:pos="9016"/>
        </w:tabs>
        <w:rPr>
          <w:rFonts w:ascii="Aptos" w:hAnsi="Aptos" w:eastAsia="游明朝" w:cs="Arial" w:asciiTheme="minorAscii" w:hAnsiTheme="minorAscii" w:eastAsiaTheme="minorEastAsia" w:cstheme="minorBidi"/>
          <w:noProof/>
          <w:lang w:eastAsia="ja-JP"/>
        </w:rPr>
      </w:pPr>
      <w:hyperlink w:anchor="_Toc216865626">
        <w:r w:rsidRPr="5C661CA2" w:rsidR="00D65BBD">
          <w:rPr>
            <w:rStyle w:val="Hyperlink"/>
            <w:noProof/>
          </w:rPr>
          <w:t>Introduction</w:t>
        </w:r>
        <w:r>
          <w:tab/>
        </w:r>
        <w:r w:rsidRPr="5C661CA2">
          <w:rPr>
            <w:noProof/>
          </w:rPr>
          <w:fldChar w:fldCharType="begin"/>
        </w:r>
        <w:r w:rsidRPr="5C661CA2">
          <w:rPr>
            <w:noProof/>
          </w:rPr>
          <w:instrText xml:space="preserve"> PAGEREF _Toc216865626 \h </w:instrText>
        </w:r>
        <w:r w:rsidRPr="5C661CA2">
          <w:rPr>
            <w:noProof/>
          </w:rPr>
          <w:fldChar w:fldCharType="separate"/>
        </w:r>
        <w:r w:rsidRPr="5C661CA2" w:rsidR="00D65BBD">
          <w:rPr>
            <w:noProof/>
          </w:rPr>
          <w:t>2</w:t>
        </w:r>
        <w:r w:rsidRPr="5C661CA2">
          <w:rPr>
            <w:noProof/>
          </w:rPr>
          <w:fldChar w:fldCharType="end"/>
        </w:r>
      </w:hyperlink>
    </w:p>
    <w:p w:rsidR="00D65BBD" w:rsidP="5C661CA2" w:rsidRDefault="00D65BBD" w14:paraId="63B488ED" w14:textId="6D19FB73">
      <w:pPr>
        <w:pStyle w:val="TOC2"/>
        <w:tabs>
          <w:tab w:val="right" w:leader="dot" w:pos="9016"/>
        </w:tabs>
        <w:rPr>
          <w:rFonts w:ascii="Aptos" w:hAnsi="Aptos" w:eastAsia="游明朝" w:cs="Arial" w:asciiTheme="minorAscii" w:hAnsiTheme="minorAscii" w:eastAsiaTheme="minorEastAsia" w:cstheme="minorBidi"/>
          <w:noProof/>
          <w:lang w:eastAsia="ja-JP"/>
        </w:rPr>
      </w:pPr>
      <w:hyperlink w:anchor="_Toc216865627">
        <w:r w:rsidRPr="5C661CA2" w:rsidR="00D65BBD">
          <w:rPr>
            <w:rStyle w:val="Hyperlink"/>
            <w:noProof/>
          </w:rPr>
          <w:t>Importance of Effective Communication</w:t>
        </w:r>
        <w:r>
          <w:tab/>
        </w:r>
        <w:r w:rsidRPr="5C661CA2">
          <w:rPr>
            <w:noProof/>
          </w:rPr>
          <w:fldChar w:fldCharType="begin"/>
        </w:r>
        <w:r w:rsidRPr="5C661CA2">
          <w:rPr>
            <w:noProof/>
          </w:rPr>
          <w:instrText xml:space="preserve"> PAGEREF _Toc216865627 \h </w:instrText>
        </w:r>
        <w:r w:rsidRPr="5C661CA2">
          <w:rPr>
            <w:noProof/>
          </w:rPr>
          <w:fldChar w:fldCharType="separate"/>
        </w:r>
        <w:r w:rsidRPr="5C661CA2" w:rsidR="00D65BBD">
          <w:rPr>
            <w:noProof/>
          </w:rPr>
          <w:t>2</w:t>
        </w:r>
        <w:r w:rsidRPr="5C661CA2">
          <w:rPr>
            <w:noProof/>
          </w:rPr>
          <w:fldChar w:fldCharType="end"/>
        </w:r>
      </w:hyperlink>
    </w:p>
    <w:p w:rsidR="00D65BBD" w:rsidP="5C661CA2" w:rsidRDefault="00D65BBD" w14:paraId="4E39EE6B" w14:textId="0D12830A">
      <w:pPr>
        <w:pStyle w:val="TOC2"/>
        <w:tabs>
          <w:tab w:val="right" w:leader="dot" w:pos="9016"/>
        </w:tabs>
        <w:rPr>
          <w:rFonts w:ascii="Aptos" w:hAnsi="Aptos" w:eastAsia="游明朝" w:cs="Arial" w:asciiTheme="minorAscii" w:hAnsiTheme="minorAscii" w:eastAsiaTheme="minorEastAsia" w:cstheme="minorBidi"/>
          <w:noProof/>
          <w:lang w:eastAsia="ja-JP"/>
        </w:rPr>
      </w:pPr>
      <w:hyperlink w:anchor="_Toc216865628">
        <w:r w:rsidRPr="5C661CA2" w:rsidR="00D65BBD">
          <w:rPr>
            <w:rStyle w:val="Hyperlink"/>
            <w:noProof/>
          </w:rPr>
          <w:t>Importance of good Administrative Skills</w:t>
        </w:r>
        <w:r>
          <w:tab/>
        </w:r>
        <w:r w:rsidRPr="5C661CA2">
          <w:rPr>
            <w:noProof/>
          </w:rPr>
          <w:fldChar w:fldCharType="begin"/>
        </w:r>
        <w:r w:rsidRPr="5C661CA2">
          <w:rPr>
            <w:noProof/>
          </w:rPr>
          <w:instrText xml:space="preserve"> PAGEREF _Toc216865628 \h </w:instrText>
        </w:r>
        <w:r w:rsidRPr="5C661CA2">
          <w:rPr>
            <w:noProof/>
          </w:rPr>
          <w:fldChar w:fldCharType="separate"/>
        </w:r>
        <w:r w:rsidRPr="5C661CA2" w:rsidR="00D65BBD">
          <w:rPr>
            <w:noProof/>
          </w:rPr>
          <w:t>3</w:t>
        </w:r>
        <w:r w:rsidRPr="5C661CA2">
          <w:rPr>
            <w:noProof/>
          </w:rPr>
          <w:fldChar w:fldCharType="end"/>
        </w:r>
      </w:hyperlink>
    </w:p>
    <w:p w:rsidR="00D65BBD" w:rsidP="5C661CA2" w:rsidRDefault="00D65BBD" w14:paraId="185103B8" w14:textId="373EF802">
      <w:pPr>
        <w:pStyle w:val="TOC2"/>
        <w:tabs>
          <w:tab w:val="right" w:leader="dot" w:pos="9016"/>
        </w:tabs>
        <w:rPr>
          <w:rFonts w:ascii="Aptos" w:hAnsi="Aptos" w:eastAsia="游明朝" w:cs="Arial" w:asciiTheme="minorAscii" w:hAnsiTheme="minorAscii" w:eastAsiaTheme="minorEastAsia" w:cstheme="minorBidi"/>
          <w:noProof/>
          <w:lang w:eastAsia="ja-JP"/>
        </w:rPr>
      </w:pPr>
      <w:hyperlink w:anchor="_Toc216865629">
        <w:r w:rsidRPr="5C661CA2" w:rsidR="00D65BBD">
          <w:rPr>
            <w:rStyle w:val="Hyperlink"/>
            <w:noProof/>
          </w:rPr>
          <w:t>Importance of Collaborative Working</w:t>
        </w:r>
        <w:r>
          <w:tab/>
        </w:r>
        <w:r w:rsidRPr="5C661CA2">
          <w:rPr>
            <w:noProof/>
          </w:rPr>
          <w:fldChar w:fldCharType="begin"/>
        </w:r>
        <w:r w:rsidRPr="5C661CA2">
          <w:rPr>
            <w:noProof/>
          </w:rPr>
          <w:instrText xml:space="preserve"> PAGEREF _Toc216865629 \h </w:instrText>
        </w:r>
        <w:r w:rsidRPr="5C661CA2">
          <w:rPr>
            <w:noProof/>
          </w:rPr>
          <w:fldChar w:fldCharType="separate"/>
        </w:r>
        <w:r w:rsidRPr="5C661CA2" w:rsidR="00D65BBD">
          <w:rPr>
            <w:noProof/>
          </w:rPr>
          <w:t>4</w:t>
        </w:r>
        <w:r w:rsidRPr="5C661CA2">
          <w:rPr>
            <w:noProof/>
          </w:rPr>
          <w:fldChar w:fldCharType="end"/>
        </w:r>
      </w:hyperlink>
    </w:p>
    <w:p w:rsidR="00D65BBD" w:rsidP="5C661CA2" w:rsidRDefault="00D65BBD" w14:paraId="025D6F9C" w14:textId="452D93D8">
      <w:pPr>
        <w:pStyle w:val="TOC1"/>
        <w:tabs>
          <w:tab w:val="right" w:leader="dot" w:pos="9016"/>
        </w:tabs>
        <w:rPr>
          <w:rFonts w:ascii="Aptos" w:hAnsi="Aptos" w:eastAsia="游明朝" w:cs="Arial" w:asciiTheme="minorAscii" w:hAnsiTheme="minorAscii" w:eastAsiaTheme="minorEastAsia" w:cstheme="minorBidi"/>
          <w:noProof/>
          <w:lang w:eastAsia="ja-JP"/>
        </w:rPr>
      </w:pPr>
      <w:hyperlink w:anchor="_Toc216865630">
        <w:r w:rsidRPr="5C661CA2" w:rsidR="00D65BBD">
          <w:rPr>
            <w:rStyle w:val="Hyperlink"/>
            <w:noProof/>
          </w:rPr>
          <w:t>Conclusion</w:t>
        </w:r>
        <w:r>
          <w:tab/>
        </w:r>
        <w:r w:rsidRPr="5C661CA2">
          <w:rPr>
            <w:noProof/>
          </w:rPr>
          <w:fldChar w:fldCharType="begin"/>
        </w:r>
        <w:r w:rsidRPr="5C661CA2">
          <w:rPr>
            <w:noProof/>
          </w:rPr>
          <w:instrText xml:space="preserve"> PAGEREF _Toc216865630 \h </w:instrText>
        </w:r>
        <w:r w:rsidRPr="5C661CA2">
          <w:rPr>
            <w:noProof/>
          </w:rPr>
          <w:fldChar w:fldCharType="separate"/>
        </w:r>
        <w:r w:rsidRPr="5C661CA2" w:rsidR="00D65BBD">
          <w:rPr>
            <w:noProof/>
          </w:rPr>
          <w:t>4</w:t>
        </w:r>
        <w:r w:rsidRPr="5C661CA2">
          <w:rPr>
            <w:noProof/>
          </w:rPr>
          <w:fldChar w:fldCharType="end"/>
        </w:r>
      </w:hyperlink>
    </w:p>
    <w:p w:rsidR="00D65BBD" w:rsidP="5C661CA2" w:rsidRDefault="00D65BBD" w14:paraId="6E4591E4" w14:textId="530E97EA">
      <w:pPr>
        <w:pStyle w:val="TOC1"/>
        <w:tabs>
          <w:tab w:val="right" w:leader="dot" w:pos="9016"/>
        </w:tabs>
        <w:rPr>
          <w:rFonts w:ascii="Aptos" w:hAnsi="Aptos" w:eastAsia="游明朝" w:cs="Arial" w:asciiTheme="minorAscii" w:hAnsiTheme="minorAscii" w:eastAsiaTheme="minorEastAsia" w:cstheme="minorBidi"/>
          <w:noProof/>
          <w:lang w:eastAsia="ja-JP"/>
        </w:rPr>
      </w:pPr>
      <w:hyperlink w:anchor="_Toc216865631">
        <w:r w:rsidRPr="5C661CA2" w:rsidR="00D65BBD">
          <w:rPr>
            <w:rStyle w:val="Hyperlink"/>
            <w:noProof/>
          </w:rPr>
          <w:t>References</w:t>
        </w:r>
        <w:r>
          <w:tab/>
        </w:r>
        <w:r w:rsidRPr="5C661CA2">
          <w:rPr>
            <w:noProof/>
          </w:rPr>
          <w:fldChar w:fldCharType="begin"/>
        </w:r>
        <w:r w:rsidRPr="5C661CA2">
          <w:rPr>
            <w:noProof/>
          </w:rPr>
          <w:instrText xml:space="preserve"> PAGEREF _Toc216865631 \h </w:instrText>
        </w:r>
        <w:r w:rsidRPr="5C661CA2">
          <w:rPr>
            <w:noProof/>
          </w:rPr>
          <w:fldChar w:fldCharType="separate"/>
        </w:r>
        <w:r w:rsidRPr="5C661CA2" w:rsidR="00D65BBD">
          <w:rPr>
            <w:noProof/>
          </w:rPr>
          <w:t>5</w:t>
        </w:r>
        <w:r w:rsidRPr="5C661CA2">
          <w:rPr>
            <w:noProof/>
          </w:rPr>
          <w:fldChar w:fldCharType="end"/>
        </w:r>
      </w:hyperlink>
    </w:p>
    <w:p w:rsidR="00530E16" w:rsidRDefault="00530E16" w14:paraId="6A05A809" w14:noSpellErr="1" w14:textId="6DFFDA4F">
      <w:pPr>
        <w:rPr>
          <w:rFonts w:ascii="Arial" w:hAnsi="Arial" w:eastAsia="Arial" w:cs="Arial"/>
        </w:rPr>
      </w:pPr>
    </w:p>
    <w:p w:rsidRPr="00CF650B" w:rsidR="00530E16" w:rsidRDefault="004468F8" w14:paraId="5A39BBE3" w14:textId="26F448AA">
      <w:r>
        <w:fldChar w:fldCharType="end"/>
      </w:r>
    </w:p>
    <w:p w:rsidR="00530E16" w:rsidRDefault="00530E16" w14:paraId="41C8F396" w14:textId="77777777">
      <w:pPr>
        <w:rPr>
          <w:rFonts w:ascii="Arial" w:hAnsi="Arial" w:eastAsia="Arial" w:cs="Arial"/>
        </w:rPr>
      </w:pPr>
    </w:p>
    <w:p w:rsidR="00530E16" w:rsidRDefault="00530E16" w14:paraId="72A3D3EC" w14:textId="77777777">
      <w:pPr>
        <w:rPr>
          <w:rFonts w:ascii="Arial" w:hAnsi="Arial" w:eastAsia="Arial" w:cs="Arial"/>
        </w:rPr>
      </w:pPr>
    </w:p>
    <w:p w:rsidR="00530E16" w:rsidRDefault="00530E16" w14:paraId="0D0B940D" w14:textId="77777777">
      <w:pPr>
        <w:rPr>
          <w:rFonts w:ascii="Arial" w:hAnsi="Arial" w:eastAsia="Arial" w:cs="Arial"/>
        </w:rPr>
      </w:pPr>
    </w:p>
    <w:p w:rsidR="00530E16" w:rsidRDefault="00530E16" w14:paraId="0E27B00A" w14:textId="77777777">
      <w:pPr>
        <w:rPr>
          <w:rFonts w:ascii="Arial" w:hAnsi="Arial" w:eastAsia="Arial" w:cs="Arial"/>
        </w:rPr>
      </w:pPr>
    </w:p>
    <w:p w:rsidR="00530E16" w:rsidRDefault="00530E16" w14:paraId="60061E4C" w14:textId="77777777">
      <w:pPr>
        <w:rPr>
          <w:rFonts w:ascii="Arial" w:hAnsi="Arial" w:eastAsia="Arial" w:cs="Arial"/>
        </w:rPr>
      </w:pPr>
    </w:p>
    <w:p w:rsidR="00530E16" w:rsidRDefault="00530E16" w14:paraId="44EAFD9C" w14:textId="77777777">
      <w:pPr>
        <w:rPr>
          <w:rFonts w:ascii="Arial" w:hAnsi="Arial" w:eastAsia="Arial" w:cs="Arial"/>
        </w:rPr>
      </w:pPr>
    </w:p>
    <w:p w:rsidR="00530E16" w:rsidRDefault="00530E16" w14:paraId="4B94D5A5" w14:textId="77777777">
      <w:pPr>
        <w:rPr>
          <w:rFonts w:ascii="Arial" w:hAnsi="Arial" w:eastAsia="Arial" w:cs="Arial"/>
        </w:rPr>
      </w:pPr>
    </w:p>
    <w:p w:rsidR="00530E16" w:rsidRDefault="00530E16" w14:paraId="3DEEC669" w14:textId="77777777">
      <w:pPr>
        <w:rPr>
          <w:rFonts w:ascii="Arial" w:hAnsi="Arial" w:eastAsia="Arial" w:cs="Arial"/>
        </w:rPr>
      </w:pPr>
    </w:p>
    <w:p w:rsidR="00530E16" w:rsidRDefault="00530E16" w14:paraId="3656B9AB" w14:textId="77777777">
      <w:pPr>
        <w:rPr>
          <w:rFonts w:ascii="Arial" w:hAnsi="Arial" w:eastAsia="Arial" w:cs="Arial"/>
        </w:rPr>
      </w:pPr>
    </w:p>
    <w:p w:rsidR="00530E16" w:rsidRDefault="00530E16" w14:paraId="45FB0818" w14:textId="77777777">
      <w:pPr>
        <w:rPr>
          <w:rFonts w:ascii="Arial" w:hAnsi="Arial" w:eastAsia="Arial" w:cs="Arial"/>
        </w:rPr>
      </w:pPr>
    </w:p>
    <w:p w:rsidR="00530E16" w:rsidRDefault="00530E16" w14:paraId="049F31CB" w14:textId="77777777">
      <w:pPr>
        <w:rPr>
          <w:rFonts w:ascii="Arial" w:hAnsi="Arial" w:eastAsia="Arial" w:cs="Arial"/>
        </w:rPr>
      </w:pPr>
    </w:p>
    <w:p w:rsidR="00530E16" w:rsidRDefault="00530E16" w14:paraId="53128261" w14:textId="77777777">
      <w:pPr>
        <w:rPr>
          <w:rFonts w:ascii="Arial" w:hAnsi="Arial" w:eastAsia="Arial" w:cs="Arial"/>
        </w:rPr>
      </w:pPr>
    </w:p>
    <w:p w:rsidR="00530E16" w:rsidRDefault="00530E16" w14:paraId="62486C05" w14:textId="77777777">
      <w:pPr>
        <w:rPr>
          <w:rFonts w:ascii="Arial" w:hAnsi="Arial" w:eastAsia="Arial" w:cs="Arial"/>
        </w:rPr>
      </w:pPr>
    </w:p>
    <w:p w:rsidR="00530E16" w:rsidRDefault="00530E16" w14:paraId="4101652C" w14:textId="77777777">
      <w:pPr>
        <w:rPr>
          <w:rFonts w:ascii="Arial" w:hAnsi="Arial" w:eastAsia="Arial" w:cs="Arial"/>
        </w:rPr>
      </w:pPr>
    </w:p>
    <w:p w:rsidR="002A1842" w:rsidRDefault="002A1842" w14:paraId="4B99056E" w14:textId="77777777">
      <w:pPr>
        <w:rPr>
          <w:rFonts w:ascii="Arial" w:hAnsi="Arial" w:eastAsia="Arial" w:cs="Arial"/>
        </w:rPr>
        <w:sectPr w:rsidR="002A1842">
          <w:headerReference w:type="default" r:id="rId9"/>
          <w:footerReference w:type="default" r:id="rId10"/>
          <w:headerReference w:type="first" r:id="rId11"/>
          <w:footerReference w:type="first" r:id="rId12"/>
          <w:pgSz w:w="11906" w:h="16838" w:orient="portrait"/>
          <w:pgMar w:top="1440" w:right="1440" w:bottom="1440" w:left="1440" w:header="708" w:footer="708" w:gutter="0"/>
          <w:pgNumType w:start="0"/>
          <w:cols w:space="720"/>
          <w:titlePg/>
        </w:sectPr>
      </w:pPr>
    </w:p>
    <w:p w:rsidR="00530E16" w:rsidRDefault="00530E16" w14:paraId="1299C43A" w14:textId="77777777">
      <w:pPr>
        <w:rPr>
          <w:rFonts w:ascii="Arial" w:hAnsi="Arial" w:eastAsia="Arial" w:cs="Arial"/>
        </w:rPr>
      </w:pPr>
    </w:p>
    <w:p w:rsidR="00530E16" w:rsidRDefault="5FC1CC69" w14:paraId="62B42C90" w14:textId="6CB95749">
      <w:pPr>
        <w:pStyle w:val="Heading1"/>
      </w:pPr>
      <w:bookmarkStart w:name="_Toc216865625" w:id="0"/>
      <w:bookmarkStart w:name="_Toc37767173" w:id="1161074316"/>
      <w:r w:rsidR="5FC1CC69">
        <w:rPr/>
        <w:t>Re</w:t>
      </w:r>
      <w:r w:rsidR="27309FD5">
        <w:rPr/>
        <w:t>port</w:t>
      </w:r>
      <w:r w:rsidR="5FC1CC69">
        <w:rPr/>
        <w:t xml:space="preserve"> Topic: &lt;I</w:t>
      </w:r>
      <w:r w:rsidR="000C87E4">
        <w:rPr/>
        <w:t>mportance of Effective Communication</w:t>
      </w:r>
      <w:r w:rsidR="5FC1CC69">
        <w:rPr/>
        <w:t>&gt;</w:t>
      </w:r>
      <w:bookmarkEnd w:id="0"/>
      <w:bookmarkEnd w:id="1161074316"/>
    </w:p>
    <w:p w:rsidRPr="004468F8" w:rsidR="00530E16" w:rsidRDefault="5F3634BD" w14:paraId="3E7A9F1C" w14:textId="13F448B2">
      <w:pPr>
        <w:pStyle w:val="Heading1"/>
        <w:rPr>
          <w:sz w:val="32"/>
          <w:szCs w:val="32"/>
        </w:rPr>
      </w:pPr>
      <w:bookmarkStart w:name="_Toc216865626" w:id="1"/>
      <w:bookmarkStart w:name="_Toc964335868" w:id="2143613703"/>
      <w:r w:rsidRPr="5C661CA2" w:rsidR="5F3634BD">
        <w:rPr>
          <w:sz w:val="32"/>
          <w:szCs w:val="32"/>
        </w:rPr>
        <w:t>Introduction</w:t>
      </w:r>
      <w:bookmarkEnd w:id="1"/>
      <w:bookmarkEnd w:id="2143613703"/>
    </w:p>
    <w:p w:rsidR="004468F8" w:rsidP="5838F608" w:rsidRDefault="143D294C" w14:paraId="3BDA10B5" w14:textId="3F2EDAC0">
      <w:pPr>
        <w:shd w:val="clear" w:color="auto" w:fill="FFFFFF" w:themeFill="background1"/>
        <w:spacing w:after="0"/>
      </w:pPr>
      <w:r w:rsidRPr="5838F608">
        <w:rPr>
          <w:rFonts w:ascii="Arial" w:hAnsi="Arial" w:eastAsia="Arial" w:cs="Arial"/>
          <w:color w:val="222222"/>
          <w:sz w:val="22"/>
          <w:szCs w:val="22"/>
        </w:rPr>
        <w:t>High-quality health and social care practice is contingent upon three interrelated elements: effective communication, robust administrative skills, and collaborative working. The case of Mrs Mann, recovering from hip replacement surgery, demonstrates how deficiencies in these areas—such as language barriers, inconsistent documentation, and fragmented inter-professional collaboration—can compromise patient safety and rehabilitation outcomes. This report critically analyses each component, situating Mrs Mann’s experience within the framework of key legislation, including the Equality Act 2010, the Data Protection Act 2018, and the Health and Social Care Act 2012. The discussion integrates theoretical perspectives from communication models, administrative policy guidance, and inter-professional education literature. By evaluating both strengths and limitations of current practice, the report proposes evidence-based recommendations to enhance care delivery. Ultimately, the analysis underscores the necessity of embedding these practices within organisational culture to ensure equitable, person-centred, and legally compliant care.</w:t>
      </w:r>
    </w:p>
    <w:p w:rsidR="004468F8" w:rsidP="5838F608" w:rsidRDefault="004468F8" w14:paraId="1FC39945" w14:textId="37D56BB6">
      <w:pPr>
        <w:rPr>
          <w:rFonts w:ascii="Arial" w:hAnsi="Arial" w:cs="Arial"/>
          <w:color w:val="FF0000"/>
          <w:sz w:val="22"/>
          <w:szCs w:val="22"/>
        </w:rPr>
      </w:pPr>
    </w:p>
    <w:p w:rsidRPr="004468F8" w:rsidR="004468F8" w:rsidP="5838F608" w:rsidRDefault="2DA9A8B5" w14:paraId="0DC29DAC" w14:textId="1C7FE428">
      <w:pPr>
        <w:pStyle w:val="Heading2"/>
        <w:jc w:val="both"/>
      </w:pPr>
      <w:bookmarkStart w:name="_Toc22777837" w:id="2"/>
      <w:bookmarkStart w:name="_Toc216865627" w:id="3"/>
      <w:r w:rsidR="2DA9A8B5">
        <w:rPr/>
        <w:t>Importance of Effective Co</w:t>
      </w:r>
      <w:r w:rsidR="0A3CDB44">
        <w:rPr/>
        <w:t>m</w:t>
      </w:r>
      <w:r w:rsidR="2DA9A8B5">
        <w:rPr/>
        <w:t>munication</w:t>
      </w:r>
      <w:bookmarkEnd w:id="2"/>
      <w:bookmarkEnd w:id="3"/>
    </w:p>
    <w:p w:rsidRPr="004468F8" w:rsidR="004468F8" w:rsidP="5838F608" w:rsidRDefault="398E1316" w14:paraId="422476B2" w14:textId="18C103D1">
      <w:pPr>
        <w:shd w:val="clear" w:color="auto" w:fill="FFFFFF" w:themeFill="background1"/>
        <w:spacing w:after="0"/>
        <w:rPr>
          <w:rFonts w:ascii="Arial" w:hAnsi="Arial" w:eastAsia="Arial" w:cs="Arial"/>
          <w:color w:val="222222"/>
          <w:sz w:val="22"/>
          <w:szCs w:val="22"/>
        </w:rPr>
      </w:pPr>
      <w:r w:rsidRPr="5838F608">
        <w:rPr>
          <w:rFonts w:ascii="Arial" w:hAnsi="Arial" w:eastAsia="Arial" w:cs="Arial"/>
          <w:color w:val="222222"/>
          <w:sz w:val="22"/>
          <w:szCs w:val="22"/>
        </w:rPr>
        <w:t>Communication is foundational to safe and effective health care, shaping patient experiences, clinical outcomes, and professional accountability (Arnold &amp; Boggs, 2019). Mrs Mann’s limited English proficiency created barriers to informed consent and continuity of care. While her daughter acted as an informal interpreter, reliance on family members risks inaccuracies, breaches of confidentiality, and undue emotional burden (Flores, 2005). Professional interpreter services, supported by translated materials, are therefore essential to uphold patient rights under the Equality Act 2010 (Government Equalities Office, 2010).</w:t>
      </w:r>
    </w:p>
    <w:p w:rsidRPr="004468F8" w:rsidR="004468F8" w:rsidP="5838F608" w:rsidRDefault="004468F8" w14:paraId="668609E6" w14:textId="1742872B">
      <w:pPr>
        <w:shd w:val="clear" w:color="auto" w:fill="FFFFFF" w:themeFill="background1"/>
        <w:spacing w:after="0"/>
        <w:rPr>
          <w:rFonts w:ascii="Arial" w:hAnsi="Arial" w:eastAsia="Arial" w:cs="Arial"/>
          <w:color w:val="222222"/>
          <w:sz w:val="22"/>
          <w:szCs w:val="22"/>
        </w:rPr>
      </w:pPr>
    </w:p>
    <w:p w:rsidRPr="004468F8" w:rsidR="004468F8" w:rsidP="5838F608" w:rsidRDefault="398E1316" w14:paraId="5963B7E8" w14:textId="584C72EB">
      <w:pPr>
        <w:spacing w:after="0"/>
        <w:rPr>
          <w:rFonts w:ascii="Arial" w:hAnsi="Arial" w:eastAsia="Arial" w:cs="Arial"/>
          <w:color w:val="000000" w:themeColor="text1"/>
          <w:sz w:val="22"/>
          <w:szCs w:val="22"/>
        </w:rPr>
      </w:pPr>
      <w:r w:rsidRPr="5838F608">
        <w:rPr>
          <w:rFonts w:ascii="Arial" w:hAnsi="Arial" w:eastAsia="Arial" w:cs="Arial"/>
          <w:color w:val="000000" w:themeColor="text1"/>
          <w:sz w:val="22"/>
          <w:szCs w:val="22"/>
        </w:rPr>
        <w:t xml:space="preserve">Beyond language barriers, effective communication in health and social care also encompasses cultural competence and safeguarding responsibilities. Mrs Mann’s case highlights the need for professionals to recognise how cultural values, health beliefs, and family dynamics influence communication. Research indicates that culturally responsive communication improves trust and adherence to care plans. For instance, acknowledging Mrs Mann’s reliance on her daughter for interpretation requires sensitivity, but professionals must balance this with safeguarding principles. The use of family members as interpreters can compromise confidentiality and accuracy, particularly when discussing sensitive medical information (Flores, 2005). Professional interpreters not only ensure accuracy but also uphold ethical standards of consent and autonomy. Moreover, communication failures are a leading cause of adverse events in healthcare, with the NHS emphasising “clear, timely and compassionate communication” as a cornerstone of patient safety (NHS England, 2019). In practice, this means care workers should document Mrs Mann’s communication needs in her care plan, use visual aids or translated materials, and check understanding through feedback techniques such as “teach-back.” Effective communication also requires empathy and emotional intelligence, enabling professionals to respond to Mrs Mann’s anxieties about </w:t>
      </w:r>
      <w:r w:rsidRPr="5838F608">
        <w:rPr>
          <w:rFonts w:ascii="Arial" w:hAnsi="Arial" w:eastAsia="Arial" w:cs="Arial"/>
          <w:color w:val="000000" w:themeColor="text1"/>
          <w:sz w:val="22"/>
          <w:szCs w:val="22"/>
        </w:rPr>
        <w:lastRenderedPageBreak/>
        <w:t>recovery and independence. By combining legislative obligations under the Equality Act 2010 with best practice models such as SOLER, professionals can deliver care that is both legally compliant and person-centred. Ultimately, communication is not simply the transfer of information but a therapeutic tool that empowers service users, reduces risk, and strengthens the quality of care.</w:t>
      </w:r>
    </w:p>
    <w:p w:rsidRPr="004468F8" w:rsidR="004468F8" w:rsidP="5838F608" w:rsidRDefault="004468F8" w14:paraId="567B87D0" w14:textId="6B77DCBA">
      <w:pPr>
        <w:shd w:val="clear" w:color="auto" w:fill="FFFFFF" w:themeFill="background1"/>
        <w:spacing w:after="0"/>
        <w:rPr>
          <w:color w:val="000000" w:themeColor="text1"/>
          <w:sz w:val="22"/>
          <w:szCs w:val="22"/>
        </w:rPr>
      </w:pPr>
    </w:p>
    <w:p w:rsidRPr="004468F8" w:rsidR="004468F8" w:rsidP="5838F608" w:rsidRDefault="398E1316" w14:paraId="204A284B" w14:textId="29C762B3">
      <w:pPr>
        <w:shd w:val="clear" w:color="auto" w:fill="FFFFFF" w:themeFill="background1"/>
        <w:spacing w:after="0"/>
        <w:rPr>
          <w:rFonts w:ascii="Arial" w:hAnsi="Arial" w:eastAsia="Arial" w:cs="Arial"/>
          <w:color w:val="222222"/>
          <w:sz w:val="22"/>
          <w:szCs w:val="22"/>
        </w:rPr>
      </w:pPr>
      <w:r w:rsidRPr="5838F608">
        <w:rPr>
          <w:rFonts w:ascii="Arial" w:hAnsi="Arial" w:eastAsia="Arial" w:cs="Arial"/>
          <w:color w:val="222222"/>
          <w:sz w:val="22"/>
          <w:szCs w:val="22"/>
        </w:rPr>
        <w:t xml:space="preserve">The Calgary-Cambridge Guide provides a structured framework for patient-centred communication, emphasising rapport-building, eliciting concerns, and confirming understanding (Silverman, Kurtz &amp; Draper, 2013). Applied to Mrs Mann, this model suggests simplified language, visual aids, and iterative comprehension checks. However, its effectiveness depends on staff training and cultural competence, which remain inconsistent across healthcare settings (Papadopoulos, Tilki &amp; Taylor, 2006). Embedding cultural competence training can reduce disparities and improve patient trust (Betancourt et al., 2003). </w:t>
      </w:r>
    </w:p>
    <w:p w:rsidRPr="004468F8" w:rsidR="004468F8" w:rsidP="5838F608" w:rsidRDefault="398E1316" w14:paraId="50560025" w14:textId="56036F7F">
      <w:pPr>
        <w:shd w:val="clear" w:color="auto" w:fill="FFFFFF" w:themeFill="background1"/>
        <w:spacing w:after="0"/>
        <w:rPr>
          <w:rFonts w:ascii="Arial" w:hAnsi="Arial" w:eastAsia="Arial" w:cs="Arial"/>
          <w:color w:val="222222"/>
          <w:sz w:val="22"/>
          <w:szCs w:val="22"/>
        </w:rPr>
      </w:pPr>
      <w:r w:rsidRPr="5838F608">
        <w:rPr>
          <w:rFonts w:ascii="Arial" w:hAnsi="Arial" w:eastAsia="Arial" w:cs="Arial"/>
          <w:color w:val="222222"/>
          <w:sz w:val="22"/>
          <w:szCs w:val="22"/>
        </w:rPr>
        <w:t>Communication failures are a leading cause of adverse events, including medication errors (The Joint Commission, 2015). In Mrs Mann’s case, unclear documentation and verbal exchanges contributed to a prescribing delay. Evidence supports structured handover tools such as SBAR (Situation, Background, Assessment, Recommendation), which standardise information transfer and reduce risk (Haig, Sutton &amp; Whittington, 2006). Digital technologies, including translation apps and patient portals, can further support communication, though they must be critically evaluated for accuracy and accessibility (Albrecht et al., 2013).</w:t>
      </w:r>
    </w:p>
    <w:p w:rsidRPr="004468F8" w:rsidR="004468F8" w:rsidP="5838F608" w:rsidRDefault="004468F8" w14:paraId="0850E81B" w14:textId="14C6061E">
      <w:pPr>
        <w:shd w:val="clear" w:color="auto" w:fill="FFFFFF" w:themeFill="background1"/>
        <w:spacing w:after="0"/>
        <w:rPr>
          <w:color w:val="000000" w:themeColor="text1"/>
          <w:sz w:val="22"/>
          <w:szCs w:val="22"/>
        </w:rPr>
      </w:pPr>
    </w:p>
    <w:p w:rsidRPr="004468F8" w:rsidR="004468F8" w:rsidP="5838F608" w:rsidRDefault="398E1316" w14:paraId="6D98A12B" w14:textId="4D78FE17">
      <w:r w:rsidRPr="5838F608">
        <w:rPr>
          <w:rFonts w:ascii="Arial" w:hAnsi="Arial" w:eastAsia="Arial" w:cs="Arial"/>
          <w:color w:val="222222"/>
          <w:sz w:val="22"/>
          <w:szCs w:val="22"/>
        </w:rPr>
        <w:t>In summary, Mrs Mann’s case illustrates the necessity of tailored communication strategies, professional interpreter services, and structured handover protocols. Embedding these practices within organisational policy, supported by legislation and training, is essential to mitigate risks and promote equitable, high-quality care.</w:t>
      </w:r>
    </w:p>
    <w:p w:rsidR="5838F608" w:rsidP="5838F608" w:rsidRDefault="5838F608" w14:paraId="0FF07DBF" w14:textId="5B8E0BBB">
      <w:pPr>
        <w:rPr>
          <w:rFonts w:ascii="Arial" w:hAnsi="Arial" w:eastAsia="Arial" w:cs="Arial"/>
          <w:color w:val="222222"/>
          <w:sz w:val="22"/>
          <w:szCs w:val="22"/>
        </w:rPr>
      </w:pPr>
    </w:p>
    <w:p w:rsidR="00530E16" w:rsidRDefault="4C15CB25" w14:paraId="2D134F98" w14:textId="099BBC8C">
      <w:pPr>
        <w:pStyle w:val="Heading2"/>
        <w:jc w:val="both"/>
      </w:pPr>
      <w:bookmarkStart w:name="_Toc1141215624" w:id="4"/>
      <w:bookmarkStart w:name="_Toc216865628" w:id="5"/>
      <w:r w:rsidR="4C15CB25">
        <w:rPr/>
        <w:t>Importance of good Administrative Skills</w:t>
      </w:r>
      <w:bookmarkEnd w:id="4"/>
      <w:bookmarkEnd w:id="5"/>
    </w:p>
    <w:p w:rsidRPr="004468F8" w:rsidR="004468F8" w:rsidP="5838F608" w:rsidRDefault="41180316" w14:paraId="75B42070" w14:textId="62F7A1D7">
      <w:pPr>
        <w:shd w:val="clear" w:color="auto" w:fill="FFFFFF" w:themeFill="background1"/>
        <w:spacing w:after="0"/>
        <w:rPr>
          <w:rFonts w:ascii="Arial" w:hAnsi="Arial" w:eastAsia="Arial" w:cs="Arial"/>
          <w:color w:val="222222"/>
          <w:sz w:val="22"/>
          <w:szCs w:val="22"/>
        </w:rPr>
      </w:pPr>
      <w:r w:rsidRPr="5838F608">
        <w:rPr>
          <w:rFonts w:ascii="Arial" w:hAnsi="Arial" w:eastAsia="Arial" w:cs="Arial"/>
          <w:color w:val="222222"/>
          <w:sz w:val="22"/>
          <w:szCs w:val="22"/>
        </w:rPr>
        <w:t>Administrative competence is integral to health and social care, ensuring continuity of care, accountability, and compliance with legal frameworks. In Mrs Mann’s case, inconsistent documentation and missed communication highlighted systemic weaknesses. The Data Protection Act 2018 requires that personal data, including health records, be processed lawfully, fairly, and transparently (Information Commissioner’s Office, 2023). Failure to maintain accurate records compromises confidentiality, safety, and trust.</w:t>
      </w:r>
    </w:p>
    <w:p w:rsidRPr="004468F8" w:rsidR="004468F8" w:rsidP="5838F608" w:rsidRDefault="004468F8" w14:paraId="34A333B1" w14:textId="54081D78">
      <w:pPr>
        <w:shd w:val="clear" w:color="auto" w:fill="FFFFFF" w:themeFill="background1"/>
        <w:spacing w:after="0"/>
        <w:rPr>
          <w:color w:val="000000" w:themeColor="text1"/>
          <w:sz w:val="22"/>
          <w:szCs w:val="22"/>
        </w:rPr>
      </w:pPr>
    </w:p>
    <w:p w:rsidRPr="004468F8" w:rsidR="004468F8" w:rsidP="5838F608" w:rsidRDefault="41180316" w14:paraId="36C9719E" w14:textId="57D0AC16">
      <w:pPr>
        <w:shd w:val="clear" w:color="auto" w:fill="FFFFFF" w:themeFill="background1"/>
        <w:spacing w:after="0"/>
        <w:rPr>
          <w:rFonts w:ascii="Arial" w:hAnsi="Arial" w:eastAsia="Arial" w:cs="Arial"/>
          <w:color w:val="222222"/>
          <w:sz w:val="22"/>
          <w:szCs w:val="22"/>
        </w:rPr>
      </w:pPr>
      <w:r w:rsidRPr="5838F608">
        <w:rPr>
          <w:rFonts w:ascii="Arial" w:hAnsi="Arial" w:eastAsia="Arial" w:cs="Arial"/>
          <w:color w:val="222222"/>
          <w:sz w:val="22"/>
          <w:szCs w:val="22"/>
        </w:rPr>
        <w:t>Beyond compliance, administrative skills facilitate information sharing across multi-agency teams, preventing errors such as Mrs Mann’s delayed medication (Department of Health and Social Care, 2021). Centralised electronic health record (EHR) systems enhance accessibility and coordination, provided they adhere to GDPR standards. Evidence suggests that EHRs reduce duplication and improve care continuity, though challenges remain regarding interoperability and staff training (Greenhalgh et al., 2017).</w:t>
      </w:r>
    </w:p>
    <w:p w:rsidRPr="004468F8" w:rsidR="004468F8" w:rsidP="5838F608" w:rsidRDefault="004468F8" w14:paraId="68F45F70" w14:textId="3605C1BE">
      <w:pPr>
        <w:shd w:val="clear" w:color="auto" w:fill="FFFFFF" w:themeFill="background1"/>
        <w:spacing w:after="0"/>
        <w:rPr>
          <w:color w:val="000000" w:themeColor="text1"/>
          <w:sz w:val="22"/>
          <w:szCs w:val="22"/>
        </w:rPr>
      </w:pPr>
    </w:p>
    <w:p w:rsidRPr="004468F8" w:rsidR="004468F8" w:rsidP="5838F608" w:rsidRDefault="41180316" w14:paraId="4CBA4893" w14:textId="693A64BB">
      <w:pPr>
        <w:shd w:val="clear" w:color="auto" w:fill="FFFFFF" w:themeFill="background1"/>
        <w:spacing w:after="0"/>
        <w:rPr>
          <w:rFonts w:ascii="Arial" w:hAnsi="Arial" w:eastAsia="Arial" w:cs="Arial"/>
          <w:color w:val="222222"/>
          <w:sz w:val="22"/>
          <w:szCs w:val="22"/>
        </w:rPr>
      </w:pPr>
      <w:r w:rsidRPr="5838F608">
        <w:rPr>
          <w:rFonts w:ascii="Arial" w:hAnsi="Arial" w:eastAsia="Arial" w:cs="Arial"/>
          <w:b/>
          <w:bCs/>
          <w:color w:val="222222"/>
          <w:sz w:val="22"/>
          <w:szCs w:val="22"/>
        </w:rPr>
        <w:t>Training in record-keeping</w:t>
      </w:r>
      <w:r w:rsidRPr="5838F608">
        <w:rPr>
          <w:rFonts w:ascii="Arial" w:hAnsi="Arial" w:eastAsia="Arial" w:cs="Arial"/>
          <w:color w:val="222222"/>
          <w:sz w:val="22"/>
          <w:szCs w:val="22"/>
        </w:rPr>
        <w:t xml:space="preserve"> is essential. Staff must document interactions with Mrs Mann and her daughter, record medication changes immediately, and update records in real time. Policies such as the Care Act 2014 emphasise person-centred care, requiring accurate </w:t>
      </w:r>
      <w:r w:rsidRPr="5838F608">
        <w:rPr>
          <w:rFonts w:ascii="Arial" w:hAnsi="Arial" w:eastAsia="Arial" w:cs="Arial"/>
          <w:color w:val="222222"/>
          <w:sz w:val="22"/>
          <w:szCs w:val="22"/>
        </w:rPr>
        <w:lastRenderedPageBreak/>
        <w:t>documentation to support tailored care plans (Care Quality Commission, 2017). Moreover, administrative skills extend to managing multidisciplinary communication, scheduling, and compliance monitoring, all of which underpin safe practice (Raghupathi &amp; Raghupathi, 2014).</w:t>
      </w:r>
    </w:p>
    <w:p w:rsidRPr="004468F8" w:rsidR="004468F8" w:rsidP="5838F608" w:rsidRDefault="41180316" w14:paraId="6D69E716" w14:textId="41DFE74F">
      <w:pPr>
        <w:shd w:val="clear" w:color="auto" w:fill="FFFFFF" w:themeFill="background1"/>
        <w:spacing w:after="0"/>
        <w:rPr>
          <w:rFonts w:ascii="Arial" w:hAnsi="Arial" w:eastAsia="Arial" w:cs="Arial"/>
          <w:color w:val="222222"/>
          <w:sz w:val="22"/>
          <w:szCs w:val="22"/>
        </w:rPr>
      </w:pPr>
      <w:r w:rsidRPr="5838F608">
        <w:rPr>
          <w:rFonts w:ascii="Arial" w:hAnsi="Arial" w:eastAsia="Arial" w:cs="Arial"/>
          <w:color w:val="222222"/>
          <w:sz w:val="22"/>
          <w:szCs w:val="22"/>
        </w:rPr>
        <w:t>In conclusion, Mrs Mann’s case underscores the importance of robust administrative systems. Timely, accurate, and secure record-keeping, aligned with legislative requirements, is vital for safeguarding patients and enabling effective communication among providers.</w:t>
      </w:r>
    </w:p>
    <w:p w:rsidRPr="004468F8" w:rsidR="004468F8" w:rsidP="5838F608" w:rsidRDefault="004468F8" w14:paraId="110FFD37" w14:textId="7A6918E0">
      <w:pPr>
        <w:rPr>
          <w:rFonts w:ascii="Arial" w:hAnsi="Arial" w:cs="Arial"/>
          <w:color w:val="FF0000"/>
          <w:sz w:val="22"/>
          <w:szCs w:val="22"/>
        </w:rPr>
      </w:pPr>
    </w:p>
    <w:p w:rsidR="004468F8" w:rsidP="5838F608" w:rsidRDefault="468B0CC8" w14:paraId="723D3AC9" w14:textId="6ADEC010">
      <w:pPr>
        <w:pStyle w:val="Heading2"/>
        <w:jc w:val="both"/>
      </w:pPr>
      <w:bookmarkStart w:name="_Toc800997038" w:id="6"/>
      <w:bookmarkStart w:name="_Toc216865629" w:id="7"/>
      <w:r w:rsidR="468B0CC8">
        <w:rPr/>
        <w:t>Importance of Collaborative Working</w:t>
      </w:r>
      <w:bookmarkEnd w:id="6"/>
      <w:bookmarkEnd w:id="7"/>
    </w:p>
    <w:p w:rsidR="004468F8" w:rsidP="5838F608" w:rsidRDefault="004468F8" w14:paraId="6A6023BA" w14:textId="48EB207F">
      <w:pPr>
        <w:shd w:val="clear" w:color="auto" w:fill="FFFFFF" w:themeFill="background1"/>
        <w:spacing w:after="0"/>
        <w:rPr>
          <w:color w:val="000000" w:themeColor="text1"/>
          <w:sz w:val="22"/>
          <w:szCs w:val="22"/>
        </w:rPr>
      </w:pPr>
      <w:r w:rsidRPr="75BF99B9" w:rsidR="54074611">
        <w:rPr>
          <w:color w:val="000000" w:themeColor="text1" w:themeTint="FF" w:themeShade="FF"/>
          <w:sz w:val="22"/>
          <w:szCs w:val="22"/>
        </w:rPr>
        <w:t>Working together across professional boundaries is vital in delivering effective health and social care, especially for individuals like Mrs Mann, whose recovery depends on input from her GP</w:t>
      </w:r>
      <w:r w:rsidRPr="75BF99B9" w:rsidR="65B63FCD">
        <w:rPr>
          <w:color w:val="000000" w:themeColor="text1" w:themeTint="FF" w:themeShade="FF"/>
          <w:sz w:val="22"/>
          <w:szCs w:val="22"/>
        </w:rPr>
        <w:t>, physiotherapist, and care staff. Joint working supports shared decisions, coordinated interventions, Health and Social Care Act 2012 advocates for integrated care pathways an</w:t>
      </w:r>
      <w:r w:rsidRPr="75BF99B9" w:rsidR="7B214AFC">
        <w:rPr>
          <w:color w:val="000000" w:themeColor="text1" w:themeTint="FF" w:themeShade="FF"/>
          <w:sz w:val="22"/>
          <w:szCs w:val="22"/>
        </w:rPr>
        <w:t xml:space="preserve">d multi-agency cooperation (the Department of Health and Social Care, 2019). </w:t>
      </w:r>
      <w:r w:rsidRPr="75BF99B9" w:rsidR="7B214AFC">
        <w:rPr>
          <w:color w:val="000000" w:themeColor="text1" w:themeTint="FF" w:themeShade="FF"/>
          <w:sz w:val="22"/>
          <w:szCs w:val="22"/>
        </w:rPr>
        <w:t>Tools  like</w:t>
      </w:r>
      <w:r w:rsidRPr="75BF99B9" w:rsidR="7B214AFC">
        <w:rPr>
          <w:color w:val="000000" w:themeColor="text1" w:themeTint="FF" w:themeShade="FF"/>
          <w:sz w:val="22"/>
          <w:szCs w:val="22"/>
        </w:rPr>
        <w:t xml:space="preserve"> unified care plans and centralised information systems hel</w:t>
      </w:r>
      <w:r w:rsidRPr="75BF99B9" w:rsidR="59D5629E">
        <w:rPr>
          <w:color w:val="000000" w:themeColor="text1" w:themeTint="FF" w:themeShade="FF"/>
          <w:sz w:val="22"/>
          <w:szCs w:val="22"/>
        </w:rPr>
        <w:t xml:space="preserve">p reduce delays and miscommunication. However, collaboration can be hindered by conflicting priorities, poor communication, and limited resources (sourced </w:t>
      </w:r>
      <w:r w:rsidRPr="75BF99B9" w:rsidR="55D2970B">
        <w:rPr>
          <w:color w:val="000000" w:themeColor="text1" w:themeTint="FF" w:themeShade="FF"/>
          <w:sz w:val="22"/>
          <w:szCs w:val="22"/>
        </w:rPr>
        <w:t>from Gasper, 2019). Tackling these issues requires building mutual respect and understanding among professionals.</w:t>
      </w:r>
    </w:p>
    <w:p w:rsidR="75BF99B9" w:rsidP="75BF99B9" w:rsidRDefault="75BF99B9" w14:paraId="557F6B7E" w14:textId="42331D17">
      <w:pPr>
        <w:shd w:val="clear" w:color="auto" w:fill="FFFFFF" w:themeFill="background1"/>
        <w:spacing w:after="0"/>
        <w:rPr>
          <w:color w:val="000000" w:themeColor="text1" w:themeTint="FF" w:themeShade="FF"/>
          <w:sz w:val="22"/>
          <w:szCs w:val="22"/>
        </w:rPr>
      </w:pPr>
    </w:p>
    <w:p w:rsidR="004468F8" w:rsidP="5838F608" w:rsidRDefault="371AE9D7" w14:paraId="216381FE" w14:textId="2931892B">
      <w:pPr>
        <w:shd w:val="clear" w:color="auto" w:fill="FFFFFF" w:themeFill="background1"/>
        <w:spacing w:after="0"/>
        <w:rPr>
          <w:rFonts w:ascii="Arial" w:hAnsi="Arial" w:eastAsia="Arial" w:cs="Arial"/>
          <w:color w:val="222222"/>
          <w:sz w:val="22"/>
          <w:szCs w:val="22"/>
        </w:rPr>
      </w:pPr>
      <w:r w:rsidRPr="5838F608">
        <w:rPr>
          <w:rFonts w:ascii="Arial" w:hAnsi="Arial" w:eastAsia="Arial" w:cs="Arial"/>
          <w:color w:val="222222"/>
          <w:sz w:val="22"/>
          <w:szCs w:val="22"/>
        </w:rPr>
        <w:t>Challenges to collaboration include differing professional priorities, communication gaps, and resource constraints (Glasper, 2019). Strategies to address these include fostering mutual respect, clarifying roles, and utilising digital tools for seamless communication. Inter-professional education (IPE) enhances collaboration by promoting understanding of diverse roles within care teams (Barr et al., 2013). For Mrs Mann, regular multidisciplinary meetings and clear protocols would ensure alignment of care goals and minimise risks.</w:t>
      </w:r>
    </w:p>
    <w:p w:rsidR="004468F8" w:rsidP="5838F608" w:rsidRDefault="004468F8" w14:paraId="5BF2A3B7" w14:textId="13A109BC">
      <w:pPr>
        <w:shd w:val="clear" w:color="auto" w:fill="FFFFFF" w:themeFill="background1"/>
        <w:spacing w:after="0"/>
        <w:rPr>
          <w:color w:val="000000" w:themeColor="text1"/>
          <w:sz w:val="22"/>
          <w:szCs w:val="22"/>
        </w:rPr>
      </w:pPr>
    </w:p>
    <w:p w:rsidR="004468F8" w:rsidP="5838F608" w:rsidRDefault="371AE9D7" w14:paraId="144A5D23" w14:textId="7325D7C0">
      <w:pPr>
        <w:shd w:val="clear" w:color="auto" w:fill="FFFFFF" w:themeFill="background1"/>
        <w:spacing w:after="0"/>
        <w:rPr>
          <w:rFonts w:ascii="Arial" w:hAnsi="Arial" w:eastAsia="Arial" w:cs="Arial"/>
          <w:color w:val="222222"/>
          <w:sz w:val="22"/>
          <w:szCs w:val="22"/>
        </w:rPr>
      </w:pPr>
      <w:r w:rsidRPr="5838F608">
        <w:rPr>
          <w:rFonts w:ascii="Arial" w:hAnsi="Arial" w:eastAsia="Arial" w:cs="Arial"/>
          <w:color w:val="222222"/>
          <w:sz w:val="22"/>
          <w:szCs w:val="22"/>
        </w:rPr>
        <w:t>In summary, collaborative working is critical to Mrs Mann’s rehabilitation. Embedding inter-professional education, digital systems, and shared protocols can strengthen collaboration, improve outcomes, and reduce errors.</w:t>
      </w:r>
    </w:p>
    <w:p w:rsidR="00530E16" w:rsidRDefault="5FC1CC69" w14:paraId="2B2A7A39" w14:textId="64CC50CA">
      <w:pPr>
        <w:pStyle w:val="Heading1"/>
        <w:jc w:val="both"/>
      </w:pPr>
      <w:bookmarkStart w:name="_Toc216865630" w:id="8"/>
      <w:bookmarkStart w:name="_Toc789593796" w:id="1077777654"/>
      <w:r w:rsidR="5FC1CC69">
        <w:rPr/>
        <w:t>Conclusion</w:t>
      </w:r>
      <w:bookmarkEnd w:id="1077777654"/>
      <w:bookmarkEnd w:id="8"/>
    </w:p>
    <w:p w:rsidR="54DDC4F6" w:rsidP="75BF99B9" w:rsidRDefault="54DDC4F6" w14:paraId="4F283860" w14:textId="7C04B7DA">
      <w:pPr>
        <w:shd w:val="clear" w:color="auto" w:fill="FFFFFF" w:themeFill="background1"/>
        <w:spacing w:after="0"/>
        <w:rPr>
          <w:rFonts w:ascii="Arial" w:hAnsi="Arial" w:eastAsia="Arial" w:cs="Arial"/>
          <w:color w:val="222222"/>
        </w:rPr>
      </w:pPr>
      <w:r w:rsidRPr="75BF99B9" w:rsidR="4AE347E2">
        <w:rPr>
          <w:rFonts w:ascii="Arial" w:hAnsi="Arial" w:eastAsia="Arial" w:cs="Arial"/>
          <w:color w:val="222222"/>
        </w:rPr>
        <w:t xml:space="preserve">Mrs Mann’s situation </w:t>
      </w:r>
      <w:r w:rsidRPr="75BF99B9" w:rsidR="4AE347E2">
        <w:rPr>
          <w:rFonts w:ascii="Arial" w:hAnsi="Arial" w:eastAsia="Arial" w:cs="Arial"/>
          <w:color w:val="222222"/>
        </w:rPr>
        <w:t>demonstrates</w:t>
      </w:r>
      <w:r w:rsidRPr="75BF99B9" w:rsidR="4AE347E2">
        <w:rPr>
          <w:rFonts w:ascii="Arial" w:hAnsi="Arial" w:eastAsia="Arial" w:cs="Arial"/>
          <w:color w:val="222222"/>
        </w:rPr>
        <w:t xml:space="preserve"> how communication, administration, efficiency, and teamwork are interconnected within health and social care. Overcoming language challenges thr</w:t>
      </w:r>
      <w:r w:rsidRPr="75BF99B9" w:rsidR="6D78F83D">
        <w:rPr>
          <w:rFonts w:ascii="Arial" w:hAnsi="Arial" w:eastAsia="Arial" w:cs="Arial"/>
          <w:color w:val="222222"/>
        </w:rPr>
        <w:t xml:space="preserve">ough qualified interpreters, </w:t>
      </w:r>
      <w:r w:rsidRPr="75BF99B9" w:rsidR="6D78F83D">
        <w:rPr>
          <w:rFonts w:ascii="Arial" w:hAnsi="Arial" w:eastAsia="Arial" w:cs="Arial"/>
          <w:color w:val="222222"/>
        </w:rPr>
        <w:t>maintaining</w:t>
      </w:r>
      <w:r w:rsidRPr="75BF99B9" w:rsidR="6D78F83D">
        <w:rPr>
          <w:rFonts w:ascii="Arial" w:hAnsi="Arial" w:eastAsia="Arial" w:cs="Arial"/>
          <w:color w:val="222222"/>
        </w:rPr>
        <w:t xml:space="preserve"> precise documentation using reliable systems, and encouraging collaboration among professionals are vital for </w:t>
      </w:r>
      <w:r w:rsidRPr="75BF99B9" w:rsidR="3E0717F1">
        <w:rPr>
          <w:rFonts w:ascii="Arial" w:hAnsi="Arial" w:eastAsia="Arial" w:cs="Arial"/>
          <w:color w:val="222222"/>
        </w:rPr>
        <w:t>safeguarding</w:t>
      </w:r>
      <w:r w:rsidRPr="75BF99B9" w:rsidR="6D78F83D">
        <w:rPr>
          <w:rFonts w:ascii="Arial" w:hAnsi="Arial" w:eastAsia="Arial" w:cs="Arial"/>
          <w:color w:val="222222"/>
        </w:rPr>
        <w:t xml:space="preserve"> </w:t>
      </w:r>
      <w:r w:rsidRPr="75BF99B9" w:rsidR="08F0ED36">
        <w:rPr>
          <w:rFonts w:ascii="Arial" w:hAnsi="Arial" w:eastAsia="Arial" w:cs="Arial"/>
          <w:color w:val="222222"/>
        </w:rPr>
        <w:t>patients</w:t>
      </w:r>
      <w:r w:rsidRPr="75BF99B9" w:rsidR="6D78F83D">
        <w:rPr>
          <w:rFonts w:ascii="Arial" w:hAnsi="Arial" w:eastAsia="Arial" w:cs="Arial"/>
          <w:color w:val="222222"/>
        </w:rPr>
        <w:t xml:space="preserve"> and support</w:t>
      </w:r>
      <w:r w:rsidRPr="75BF99B9" w:rsidR="2CEFF6C6">
        <w:rPr>
          <w:rFonts w:ascii="Arial" w:hAnsi="Arial" w:eastAsia="Arial" w:cs="Arial"/>
          <w:color w:val="222222"/>
        </w:rPr>
        <w:t>ing recovery. Legal fram</w:t>
      </w:r>
      <w:r w:rsidRPr="75BF99B9" w:rsidR="5438375F">
        <w:rPr>
          <w:rFonts w:ascii="Arial" w:hAnsi="Arial" w:eastAsia="Arial" w:cs="Arial"/>
          <w:color w:val="222222"/>
        </w:rPr>
        <w:t>e</w:t>
      </w:r>
      <w:r w:rsidRPr="75BF99B9" w:rsidR="2CEFF6C6">
        <w:rPr>
          <w:rFonts w:ascii="Arial" w:hAnsi="Arial" w:eastAsia="Arial" w:cs="Arial"/>
          <w:color w:val="222222"/>
        </w:rPr>
        <w:t xml:space="preserve">works </w:t>
      </w:r>
      <w:r w:rsidRPr="75BF99B9" w:rsidR="279C049C">
        <w:rPr>
          <w:rFonts w:ascii="Arial" w:hAnsi="Arial" w:eastAsia="Arial" w:cs="Arial"/>
          <w:color w:val="222222"/>
        </w:rPr>
        <w:t>such as</w:t>
      </w:r>
      <w:r w:rsidRPr="75BF99B9" w:rsidR="2CEFF6C6">
        <w:rPr>
          <w:rFonts w:ascii="Arial" w:hAnsi="Arial" w:eastAsia="Arial" w:cs="Arial"/>
          <w:color w:val="222222"/>
        </w:rPr>
        <w:t xml:space="preserve"> the Equality Act, 2010, Data Protection Act, 2018, and Health and Social Care Act 2012 underpin fair, person-focused care. Im</w:t>
      </w:r>
      <w:r w:rsidRPr="75BF99B9" w:rsidR="1FD888EB">
        <w:rPr>
          <w:rFonts w:ascii="Arial" w:hAnsi="Arial" w:eastAsia="Arial" w:cs="Arial"/>
          <w:color w:val="222222"/>
        </w:rPr>
        <w:t xml:space="preserve">plementing structured communication approaches, enhancing digital record systems, and promoting joint professional learning can help prevent issues like medication mistakes. Embedding </w:t>
      </w:r>
      <w:r w:rsidRPr="75BF99B9" w:rsidR="6BE435F8">
        <w:rPr>
          <w:rFonts w:ascii="Arial" w:hAnsi="Arial" w:eastAsia="Arial" w:cs="Arial"/>
          <w:color w:val="222222"/>
        </w:rPr>
        <w:t>t</w:t>
      </w:r>
      <w:r w:rsidRPr="75BF99B9" w:rsidR="1FD888EB">
        <w:rPr>
          <w:rFonts w:ascii="Arial" w:hAnsi="Arial" w:eastAsia="Arial" w:cs="Arial"/>
          <w:color w:val="222222"/>
        </w:rPr>
        <w:t>hese practices into everyday operations not only ensures legal compliance but also impr</w:t>
      </w:r>
      <w:r w:rsidRPr="75BF99B9" w:rsidR="0B927034">
        <w:rPr>
          <w:rFonts w:ascii="Arial" w:hAnsi="Arial" w:eastAsia="Arial" w:cs="Arial"/>
          <w:color w:val="222222"/>
        </w:rPr>
        <w:t>oves patient experiences and builds public confidence in care services.</w:t>
      </w:r>
    </w:p>
    <w:p w:rsidR="54DDC4F6" w:rsidP="75BF99B9" w:rsidRDefault="54DDC4F6" w14:paraId="2273976F" w14:textId="1556AA7B">
      <w:pPr>
        <w:shd w:val="clear" w:color="auto" w:fill="FFFFFF" w:themeFill="background1"/>
        <w:spacing w:after="0"/>
        <w:rPr>
          <w:rFonts w:ascii="Arial" w:hAnsi="Arial" w:eastAsia="Arial" w:cs="Arial"/>
          <w:color w:val="222222"/>
        </w:rPr>
      </w:pPr>
    </w:p>
    <w:p w:rsidR="54DDC4F6" w:rsidP="5838F608" w:rsidRDefault="54DDC4F6" w14:paraId="1D8D656C" w14:textId="213C6625">
      <w:pPr>
        <w:shd w:val="clear" w:color="auto" w:fill="FFFFFF" w:themeFill="background1"/>
        <w:spacing w:after="0"/>
        <w:rPr>
          <w:rFonts w:ascii="Arial" w:hAnsi="Arial" w:eastAsia="Arial" w:cs="Arial"/>
          <w:color w:val="222222"/>
        </w:rPr>
      </w:pPr>
      <w:r w:rsidRPr="75BF99B9" w:rsidR="54DDC4F6">
        <w:rPr>
          <w:rFonts w:ascii="Arial" w:hAnsi="Arial" w:eastAsia="Arial" w:cs="Arial"/>
          <w:color w:val="222222"/>
        </w:rPr>
        <w:t>- Albrecht, U.V., Behrends, M., Schmeer, R., Matthies, H.K. &amp; von Jan, U. (2013). Usage of translation apps in clinical settings: Evaluation and critical perspectives. JMIR mHealth and</w:t>
      </w:r>
      <w:r w:rsidRPr="75BF99B9" w:rsidR="54DDC4F6">
        <w:rPr>
          <w:rFonts w:ascii="Arial" w:hAnsi="Arial" w:eastAsia="Arial" w:cs="Arial"/>
          <w:color w:val="222222"/>
        </w:rPr>
        <w:t xml:space="preserve"> </w:t>
      </w:r>
      <w:r w:rsidRPr="75BF99B9" w:rsidR="54DDC4F6">
        <w:rPr>
          <w:rFonts w:ascii="Arial" w:hAnsi="Arial" w:eastAsia="Arial" w:cs="Arial"/>
          <w:color w:val="222222"/>
        </w:rPr>
        <w:t>uHealt</w:t>
      </w:r>
      <w:r w:rsidRPr="75BF99B9" w:rsidR="54DDC4F6">
        <w:rPr>
          <w:rFonts w:ascii="Arial" w:hAnsi="Arial" w:eastAsia="Arial" w:cs="Arial"/>
          <w:color w:val="222222"/>
        </w:rPr>
        <w:t>h</w:t>
      </w:r>
      <w:r w:rsidRPr="75BF99B9" w:rsidR="54DDC4F6">
        <w:rPr>
          <w:rFonts w:ascii="Arial" w:hAnsi="Arial" w:eastAsia="Arial" w:cs="Arial"/>
          <w:color w:val="222222"/>
        </w:rPr>
        <w:t xml:space="preserve">, 1(1), p.e4.  </w:t>
      </w:r>
    </w:p>
    <w:p w:rsidR="54DDC4F6" w:rsidP="5838F608" w:rsidRDefault="54DDC4F6" w14:paraId="1FE64A71" w14:textId="37A19B17">
      <w:pPr>
        <w:shd w:val="clear" w:color="auto" w:fill="FFFFFF" w:themeFill="background1"/>
        <w:spacing w:after="0"/>
        <w:rPr>
          <w:rFonts w:ascii="Arial" w:hAnsi="Arial" w:eastAsia="Arial" w:cs="Arial"/>
          <w:color w:val="222222"/>
        </w:rPr>
      </w:pPr>
      <w:r w:rsidRPr="5838F608">
        <w:rPr>
          <w:rFonts w:ascii="Arial" w:hAnsi="Arial" w:eastAsia="Arial" w:cs="Arial"/>
          <w:color w:val="222222"/>
        </w:rPr>
        <w:t xml:space="preserve">- Arnold, E. &amp; Boggs, K. (2019). Interpersonal Relationships: Professional Communication Skills for Nurses. Elsevier Health Sciences.  </w:t>
      </w:r>
    </w:p>
    <w:p w:rsidR="54DDC4F6" w:rsidP="5838F608" w:rsidRDefault="54DDC4F6" w14:paraId="198E9E20" w14:textId="2476AC1F">
      <w:pPr>
        <w:shd w:val="clear" w:color="auto" w:fill="FFFFFF" w:themeFill="background1"/>
        <w:spacing w:after="0"/>
        <w:rPr>
          <w:rFonts w:ascii="Arial" w:hAnsi="Arial" w:eastAsia="Arial" w:cs="Arial"/>
          <w:color w:val="222222"/>
        </w:rPr>
      </w:pPr>
      <w:r w:rsidRPr="5838F608">
        <w:rPr>
          <w:rFonts w:ascii="Arial" w:hAnsi="Arial" w:eastAsia="Arial" w:cs="Arial"/>
          <w:color w:val="222222"/>
        </w:rPr>
        <w:t xml:space="preserve">- Barr, H., Koppel, I., Reeves, S., Hammick, M. &amp; Freeth, D. (2013). Effective Interprofessional Education: Argument, Assumption and Evidence. Wiley-Blackwell.  </w:t>
      </w:r>
    </w:p>
    <w:p w:rsidR="54DDC4F6" w:rsidP="5838F608" w:rsidRDefault="54DDC4F6" w14:paraId="3A491B8F" w14:textId="52EE8B72">
      <w:pPr>
        <w:shd w:val="clear" w:color="auto" w:fill="FFFFFF" w:themeFill="background1"/>
        <w:spacing w:after="0"/>
        <w:rPr>
          <w:rFonts w:ascii="Arial" w:hAnsi="Arial" w:eastAsia="Arial" w:cs="Arial"/>
          <w:color w:val="222222"/>
        </w:rPr>
      </w:pPr>
      <w:r w:rsidRPr="5838F608">
        <w:rPr>
          <w:rFonts w:ascii="Arial" w:hAnsi="Arial" w:eastAsia="Arial" w:cs="Arial"/>
          <w:color w:val="222222"/>
        </w:rPr>
        <w:t xml:space="preserve">- Betancourt, J.R., Green, A.R., Carrillo, J.E. &amp; Ananeh-Firempong, O. (2003). Defining cultural competence: A practical framework for addressing racial/ethnic disparities in health and healthcare. Public Health Reports, 118(4), pp.293–302.  </w:t>
      </w:r>
    </w:p>
    <w:p w:rsidR="54DDC4F6" w:rsidP="5838F608" w:rsidRDefault="54DDC4F6" w14:paraId="7F008F71" w14:textId="57B32093">
      <w:pPr>
        <w:shd w:val="clear" w:color="auto" w:fill="FFFFFF" w:themeFill="background1"/>
        <w:spacing w:after="0"/>
        <w:rPr>
          <w:rFonts w:ascii="Arial" w:hAnsi="Arial" w:eastAsia="Arial" w:cs="Arial"/>
          <w:color w:val="222222"/>
        </w:rPr>
      </w:pPr>
      <w:r w:rsidRPr="5838F608">
        <w:rPr>
          <w:rFonts w:ascii="Arial" w:hAnsi="Arial" w:eastAsia="Arial" w:cs="Arial"/>
          <w:color w:val="222222"/>
        </w:rPr>
        <w:t xml:space="preserve">- Care Quality Commission. (2017). Care Act 2014: Guidance on Implementation. Available at: </w:t>
      </w:r>
      <w:hyperlink r:id="rId13">
        <w:r w:rsidRPr="5838F608">
          <w:rPr>
            <w:rStyle w:val="Hyperlink"/>
            <w:rFonts w:ascii="Arial" w:hAnsi="Arial" w:eastAsia="Arial" w:cs="Arial"/>
          </w:rPr>
          <w:t>https://www.cqc.org.uk</w:t>
        </w:r>
      </w:hyperlink>
      <w:r w:rsidRPr="5838F608">
        <w:rPr>
          <w:rFonts w:ascii="Arial" w:hAnsi="Arial" w:eastAsia="Arial" w:cs="Arial"/>
          <w:color w:val="222222"/>
        </w:rPr>
        <w:t xml:space="preserve"> [Accessed 1 October 2023].  </w:t>
      </w:r>
    </w:p>
    <w:p w:rsidR="54DDC4F6" w:rsidP="5838F608" w:rsidRDefault="54DDC4F6" w14:paraId="725FFB8E" w14:textId="7BF4A343">
      <w:pPr>
        <w:shd w:val="clear" w:color="auto" w:fill="FFFFFF" w:themeFill="background1"/>
        <w:spacing w:after="0"/>
        <w:rPr>
          <w:rFonts w:ascii="Arial" w:hAnsi="Arial" w:eastAsia="Arial" w:cs="Arial"/>
          <w:color w:val="222222"/>
        </w:rPr>
      </w:pPr>
      <w:r w:rsidRPr="5838F608">
        <w:rPr>
          <w:rFonts w:ascii="Arial" w:hAnsi="Arial" w:eastAsia="Arial" w:cs="Arial"/>
          <w:color w:val="222222"/>
        </w:rPr>
        <w:t xml:space="preserve">- Department of Health and Social Care. (2019). Health and Social Care Act 2012: A guide for healthcare professionals. Available at: </w:t>
      </w:r>
      <w:hyperlink r:id="rId14">
        <w:r w:rsidRPr="5838F608">
          <w:rPr>
            <w:rStyle w:val="Hyperlink"/>
            <w:rFonts w:ascii="Arial" w:hAnsi="Arial" w:eastAsia="Arial" w:cs="Arial"/>
          </w:rPr>
          <w:t>https://www.gov.uk</w:t>
        </w:r>
      </w:hyperlink>
      <w:r w:rsidRPr="5838F608">
        <w:rPr>
          <w:rFonts w:ascii="Arial" w:hAnsi="Arial" w:eastAsia="Arial" w:cs="Arial"/>
          <w:color w:val="222222"/>
        </w:rPr>
        <w:t xml:space="preserve"> [Accessed 1 October 2023].  </w:t>
      </w:r>
    </w:p>
    <w:p w:rsidR="54DDC4F6" w:rsidP="5838F608" w:rsidRDefault="54DDC4F6" w14:paraId="3A69AFFA" w14:textId="3C75B1F4">
      <w:pPr>
        <w:shd w:val="clear" w:color="auto" w:fill="FFFFFF" w:themeFill="background1"/>
        <w:spacing w:after="0"/>
        <w:rPr>
          <w:rFonts w:ascii="Arial" w:hAnsi="Arial" w:eastAsia="Arial" w:cs="Arial"/>
          <w:color w:val="222222"/>
        </w:rPr>
      </w:pPr>
      <w:r w:rsidRPr="5838F608">
        <w:rPr>
          <w:rFonts w:ascii="Arial" w:hAnsi="Arial" w:eastAsia="Arial" w:cs="Arial"/>
          <w:color w:val="222222"/>
        </w:rPr>
        <w:t xml:space="preserve">- Department of Health and Social Care. (2021). Information sharing in health and social care. Available at: </w:t>
      </w:r>
      <w:hyperlink r:id="rId15">
        <w:r w:rsidRPr="5838F608">
          <w:rPr>
            <w:rStyle w:val="Hyperlink"/>
            <w:rFonts w:ascii="Arial" w:hAnsi="Arial" w:eastAsia="Arial" w:cs="Arial"/>
          </w:rPr>
          <w:t>https://www.gov.uk</w:t>
        </w:r>
      </w:hyperlink>
      <w:r w:rsidRPr="5838F608">
        <w:rPr>
          <w:rFonts w:ascii="Arial" w:hAnsi="Arial" w:eastAsia="Arial" w:cs="Arial"/>
          <w:color w:val="222222"/>
        </w:rPr>
        <w:t xml:space="preserve"> [Accessed 1 October 2023].  </w:t>
      </w:r>
    </w:p>
    <w:p w:rsidR="54DDC4F6" w:rsidP="5838F608" w:rsidRDefault="54DDC4F6" w14:paraId="0C782228" w14:textId="39166E83">
      <w:pPr>
        <w:shd w:val="clear" w:color="auto" w:fill="FFFFFF" w:themeFill="background1"/>
        <w:spacing w:after="0"/>
        <w:rPr>
          <w:rFonts w:ascii="Arial" w:hAnsi="Arial" w:eastAsia="Arial" w:cs="Arial"/>
          <w:color w:val="222222"/>
        </w:rPr>
      </w:pPr>
      <w:r w:rsidRPr="5838F608">
        <w:rPr>
          <w:rFonts w:ascii="Arial" w:hAnsi="Arial" w:eastAsia="Arial" w:cs="Arial"/>
          <w:color w:val="222222"/>
        </w:rPr>
        <w:t xml:space="preserve">- Flores, G. (2005). The impact of medical interpreter services on the quality of health care: A systematic review. Medical Care Research and Review, 62(3), pp.255–299.  </w:t>
      </w:r>
    </w:p>
    <w:p w:rsidR="54DDC4F6" w:rsidP="5838F608" w:rsidRDefault="54DDC4F6" w14:paraId="16D09CF4" w14:textId="0AF0814B">
      <w:pPr>
        <w:shd w:val="clear" w:color="auto" w:fill="FFFFFF" w:themeFill="background1"/>
        <w:spacing w:after="0"/>
        <w:rPr>
          <w:rFonts w:ascii="Arial" w:hAnsi="Arial" w:eastAsia="Arial" w:cs="Arial"/>
          <w:color w:val="222222"/>
        </w:rPr>
      </w:pPr>
      <w:r w:rsidRPr="5838F608">
        <w:rPr>
          <w:rFonts w:ascii="Arial" w:hAnsi="Arial" w:eastAsia="Arial" w:cs="Arial"/>
          <w:color w:val="222222"/>
        </w:rPr>
        <w:t xml:space="preserve">- Glasper, A. (2019). Interprofessional collaboration in healthcare: A critical perspective. British Journal of Nursing, 28(8), pp. 508–509.  </w:t>
      </w:r>
    </w:p>
    <w:p w:rsidR="54DDC4F6" w:rsidP="5838F608" w:rsidRDefault="54DDC4F6" w14:paraId="341ABFFE" w14:textId="220D5512">
      <w:pPr>
        <w:shd w:val="clear" w:color="auto" w:fill="FFFFFF" w:themeFill="background1"/>
        <w:spacing w:after="0"/>
        <w:rPr>
          <w:rFonts w:ascii="Arial" w:hAnsi="Arial" w:eastAsia="Arial" w:cs="Arial"/>
          <w:color w:val="222222"/>
        </w:rPr>
      </w:pPr>
      <w:r w:rsidRPr="5838F608">
        <w:rPr>
          <w:rFonts w:ascii="Arial" w:hAnsi="Arial" w:eastAsia="Arial" w:cs="Arial"/>
          <w:color w:val="222222"/>
        </w:rPr>
        <w:t xml:space="preserve">- Greenhalgh, T., Wherton, J., Papoutsi, C., Lynch, J., Hughes, G., A’Court, C., Hinder, S., Fahy, N., Procter, R. &amp; Shaw, S. (2017). Beyond adoption: A new framework for theorising and evaluating non-adoption, abandonment, and challenges to the scale-up, spread, and sustainability of health and care technologies. Journal of Medical Internet Research, 19(11), p.e367.  </w:t>
      </w:r>
    </w:p>
    <w:p w:rsidR="54DDC4F6" w:rsidP="5838F608" w:rsidRDefault="54DDC4F6" w14:paraId="5CD2CCE4" w14:textId="3BB44472">
      <w:pPr>
        <w:shd w:val="clear" w:color="auto" w:fill="FFFFFF" w:themeFill="background1"/>
        <w:spacing w:after="0"/>
        <w:rPr>
          <w:rFonts w:ascii="Arial" w:hAnsi="Arial" w:eastAsia="Arial" w:cs="Arial"/>
          <w:color w:val="222222"/>
        </w:rPr>
      </w:pPr>
      <w:r w:rsidRPr="5838F608">
        <w:rPr>
          <w:rFonts w:ascii="Arial" w:hAnsi="Arial" w:eastAsia="Arial" w:cs="Arial"/>
          <w:color w:val="222222"/>
        </w:rPr>
        <w:t xml:space="preserve">- Government Equalities Office. (2010). Equality Act 2010: Guidance. Available at: </w:t>
      </w:r>
      <w:hyperlink r:id="rId16">
        <w:r w:rsidRPr="5838F608">
          <w:rPr>
            <w:rStyle w:val="Hyperlink"/>
            <w:rFonts w:ascii="Arial" w:hAnsi="Arial" w:eastAsia="Arial" w:cs="Arial"/>
          </w:rPr>
          <w:t>https://www.gov.uk/equality-act-2010-guidance</w:t>
        </w:r>
      </w:hyperlink>
      <w:r w:rsidRPr="5838F608">
        <w:rPr>
          <w:rFonts w:ascii="Arial" w:hAnsi="Arial" w:eastAsia="Arial" w:cs="Arial"/>
          <w:color w:val="222222"/>
        </w:rPr>
        <w:t xml:space="preserve"> [Accessed 1 October 2023].  </w:t>
      </w:r>
    </w:p>
    <w:p w:rsidR="54DDC4F6" w:rsidP="5838F608" w:rsidRDefault="54DDC4F6" w14:paraId="161B846D" w14:textId="56D3B3DC">
      <w:pPr>
        <w:shd w:val="clear" w:color="auto" w:fill="FFFFFF" w:themeFill="background1"/>
        <w:spacing w:after="0"/>
        <w:rPr>
          <w:rFonts w:ascii="Arial" w:hAnsi="Arial" w:eastAsia="Arial" w:cs="Arial"/>
          <w:color w:val="222222"/>
        </w:rPr>
      </w:pPr>
      <w:r w:rsidRPr="5838F608">
        <w:rPr>
          <w:rFonts w:ascii="Arial" w:hAnsi="Arial" w:eastAsia="Arial" w:cs="Arial"/>
          <w:color w:val="222222"/>
        </w:rPr>
        <w:t>- Haig, K.M., Sutton, S. &amp; Whittington, J. (2006). SBAR: A shared mental model for improving communication between clinicians. *Joint Commission Journal on Quality and Patient</w:t>
      </w:r>
    </w:p>
    <w:p w:rsidR="5838F608" w:rsidP="5838F608" w:rsidRDefault="5838F608" w14:paraId="7057A6C5" w14:textId="4BAF14E1">
      <w:pPr>
        <w:rPr>
          <w:rFonts w:ascii="Arial" w:hAnsi="Arial" w:eastAsia="Arial" w:cs="Arial"/>
          <w:color w:val="FF0000"/>
          <w:sz w:val="22"/>
          <w:szCs w:val="22"/>
        </w:rPr>
      </w:pPr>
    </w:p>
    <w:sectPr w:rsidR="5838F608" w:rsidSect="00722EFE">
      <w:headerReference w:type="default" r:id="rId17"/>
      <w:headerReference w:type="first" r:id="rId18"/>
      <w:footerReference w:type="first" r:id="rId19"/>
      <w:type w:val="continuous"/>
      <w:pgSz w:w="11906" w:h="16838" w:orient="portrait"/>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21D25" w:rsidP="002A1842" w:rsidRDefault="00F21D25" w14:paraId="508BF7E3" w14:textId="77777777">
      <w:pPr>
        <w:spacing w:after="0" w:line="240" w:lineRule="auto"/>
      </w:pPr>
      <w:r>
        <w:separator/>
      </w:r>
    </w:p>
  </w:endnote>
  <w:endnote w:type="continuationSeparator" w:id="0">
    <w:p w:rsidR="00F21D25" w:rsidP="002A1842" w:rsidRDefault="00F21D25" w14:paraId="4ED6FA0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rsidR="00722EFE" w:rsidRDefault="00722EFE" w14:paraId="50230CC7" w14:textId="77777777">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rsidR="00722EFE" w:rsidRDefault="00722EFE" w14:paraId="61829076"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838F608" w:rsidTr="5838F608" w14:paraId="3C6C30D7" w14:textId="77777777">
      <w:trPr>
        <w:trHeight w:val="300"/>
      </w:trPr>
      <w:tc>
        <w:tcPr>
          <w:tcW w:w="3005" w:type="dxa"/>
        </w:tcPr>
        <w:p w:rsidR="5838F608" w:rsidP="5838F608" w:rsidRDefault="5838F608" w14:paraId="5132AB12" w14:textId="49E58549">
          <w:pPr>
            <w:pStyle w:val="Header"/>
            <w:ind w:left="-115"/>
          </w:pPr>
        </w:p>
      </w:tc>
      <w:tc>
        <w:tcPr>
          <w:tcW w:w="3005" w:type="dxa"/>
        </w:tcPr>
        <w:p w:rsidR="5838F608" w:rsidP="5838F608" w:rsidRDefault="5838F608" w14:paraId="5EE95A83" w14:textId="3E1BEF6D">
          <w:pPr>
            <w:pStyle w:val="Header"/>
            <w:jc w:val="center"/>
          </w:pPr>
        </w:p>
      </w:tc>
      <w:tc>
        <w:tcPr>
          <w:tcW w:w="3005" w:type="dxa"/>
        </w:tcPr>
        <w:p w:rsidR="5838F608" w:rsidP="5838F608" w:rsidRDefault="5838F608" w14:paraId="0410B72F" w14:textId="343C7A3B">
          <w:pPr>
            <w:pStyle w:val="Header"/>
            <w:ind w:right="-115"/>
            <w:jc w:val="right"/>
          </w:pPr>
        </w:p>
      </w:tc>
    </w:tr>
  </w:tbl>
  <w:p w:rsidR="5838F608" w:rsidP="5838F608" w:rsidRDefault="5838F608" w14:paraId="79CFC020" w14:textId="14F3356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rsidR="00722EFE" w:rsidRDefault="00722EFE" w14:paraId="3D3D22A9" w14:textId="77777777">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rsidR="002A1842" w:rsidRDefault="002A1842" w14:paraId="5630AD6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21D25" w:rsidP="002A1842" w:rsidRDefault="00F21D25" w14:paraId="5C0EB88B" w14:textId="77777777">
      <w:pPr>
        <w:spacing w:after="0" w:line="240" w:lineRule="auto"/>
      </w:pPr>
      <w:r>
        <w:separator/>
      </w:r>
    </w:p>
  </w:footnote>
  <w:footnote w:type="continuationSeparator" w:id="0">
    <w:p w:rsidR="00F21D25" w:rsidP="002A1842" w:rsidRDefault="00F21D25" w14:paraId="6608C676"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838F608" w:rsidTr="5838F608" w14:paraId="086D8D50" w14:textId="77777777">
      <w:trPr>
        <w:trHeight w:val="300"/>
      </w:trPr>
      <w:tc>
        <w:tcPr>
          <w:tcW w:w="3005" w:type="dxa"/>
        </w:tcPr>
        <w:p w:rsidR="5838F608" w:rsidP="5838F608" w:rsidRDefault="5838F608" w14:paraId="2CC2F28C" w14:textId="55CAD7E3">
          <w:pPr>
            <w:pStyle w:val="Header"/>
            <w:ind w:left="-115"/>
          </w:pPr>
        </w:p>
      </w:tc>
      <w:tc>
        <w:tcPr>
          <w:tcW w:w="3005" w:type="dxa"/>
        </w:tcPr>
        <w:p w:rsidR="5838F608" w:rsidP="5838F608" w:rsidRDefault="5838F608" w14:paraId="0AF427B2" w14:textId="119B323B">
          <w:pPr>
            <w:pStyle w:val="Header"/>
            <w:jc w:val="center"/>
          </w:pPr>
        </w:p>
      </w:tc>
      <w:tc>
        <w:tcPr>
          <w:tcW w:w="3005" w:type="dxa"/>
        </w:tcPr>
        <w:p w:rsidR="5838F608" w:rsidP="5838F608" w:rsidRDefault="5838F608" w14:paraId="6C59F727" w14:textId="3036E465">
          <w:pPr>
            <w:pStyle w:val="Header"/>
            <w:ind w:right="-115"/>
            <w:jc w:val="right"/>
          </w:pPr>
        </w:p>
      </w:tc>
    </w:tr>
  </w:tbl>
  <w:p w:rsidR="5838F608" w:rsidP="5838F608" w:rsidRDefault="5838F608" w14:paraId="40697C21" w14:textId="176B9E7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5838F608" w:rsidP="5838F608" w:rsidRDefault="5838F608" w14:paraId="7CB1B377" w14:textId="2E8548E9">
    <w:pPr>
      <w:pStyle w:val="Header"/>
      <w:rPr>
        <w:sz w:val="40"/>
        <w:szCs w:val="40"/>
      </w:rPr>
    </w:pPr>
    <w:r w:rsidRPr="5838F608">
      <w:rPr>
        <w:sz w:val="40"/>
        <w:szCs w:val="40"/>
      </w:rPr>
      <w:t>Individual Report</w:t>
    </w:r>
  </w:p>
  <w:p w:rsidR="5838F608" w:rsidP="5838F608" w:rsidRDefault="5838F608" w14:paraId="521F337D" w14:textId="17833407">
    <w:pPr>
      <w:pStyle w:val="Header"/>
      <w:rPr>
        <w:sz w:val="32"/>
        <w:szCs w:val="32"/>
      </w:rPr>
    </w:pPr>
    <w:r w:rsidRPr="5838F608">
      <w:rPr>
        <w:sz w:val="32"/>
        <w:szCs w:val="32"/>
      </w:rPr>
      <w:t>Module Name: Introduction to Health and Social Care</w:t>
    </w:r>
  </w:p>
  <w:p w:rsidR="5838F608" w:rsidP="5838F608" w:rsidRDefault="5838F608" w14:paraId="27341C88" w14:textId="39EE4832">
    <w:pPr>
      <w:pStyle w:val="Header"/>
      <w:rPr>
        <w:sz w:val="32"/>
        <w:szCs w:val="32"/>
      </w:rPr>
    </w:pPr>
    <w:r w:rsidRPr="5838F608">
      <w:rPr>
        <w:sz w:val="32"/>
        <w:szCs w:val="32"/>
      </w:rPr>
      <w:t>Module Code: LCHS4003</w:t>
    </w:r>
  </w:p>
  <w:p w:rsidR="5838F608" w:rsidP="5838F608" w:rsidRDefault="5838F608" w14:paraId="393EC3C3" w14:textId="2DAF1CC6">
    <w:pPr>
      <w:pStyle w:val="Header"/>
      <w:rPr>
        <w:sz w:val="32"/>
        <w:szCs w:val="32"/>
      </w:rPr>
    </w:pPr>
    <w:r w:rsidRPr="5838F608">
      <w:rPr>
        <w:sz w:val="32"/>
        <w:szCs w:val="32"/>
      </w:rPr>
      <w:t>Student Name: Olaide Ibikunle</w:t>
    </w:r>
  </w:p>
  <w:p w:rsidR="5838F608" w:rsidP="5838F608" w:rsidRDefault="5838F608" w14:paraId="606D9522" w14:textId="082009E5">
    <w:pPr>
      <w:pStyle w:val="Header"/>
      <w:rPr>
        <w:sz w:val="32"/>
        <w:szCs w:val="32"/>
      </w:rPr>
    </w:pPr>
    <w:r w:rsidRPr="5838F608">
      <w:rPr>
        <w:sz w:val="32"/>
        <w:szCs w:val="32"/>
      </w:rPr>
      <w:t>Student ID:2442778</w:t>
    </w:r>
  </w:p>
  <w:p w:rsidR="5838F608" w:rsidP="5838F608" w:rsidRDefault="5838F608" w14:paraId="06E7E075" w14:textId="22180F26">
    <w:pPr>
      <w:pStyle w:val="Header"/>
      <w:rPr>
        <w:sz w:val="32"/>
        <w:szCs w:val="32"/>
      </w:rPr>
    </w:pPr>
    <w:r w:rsidRPr="5838F608">
      <w:rPr>
        <w:sz w:val="32"/>
        <w:szCs w:val="32"/>
      </w:rPr>
      <w:t>Lecturer Name: Muhammad Aliyu</w:t>
    </w:r>
  </w:p>
  <w:p w:rsidR="5838F608" w:rsidP="5838F608" w:rsidRDefault="5838F608" w14:paraId="131E7AF6" w14:textId="6D1796E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838F608" w:rsidTr="5838F608" w14:paraId="4F10EB01" w14:textId="77777777">
      <w:trPr>
        <w:trHeight w:val="300"/>
      </w:trPr>
      <w:tc>
        <w:tcPr>
          <w:tcW w:w="3005" w:type="dxa"/>
        </w:tcPr>
        <w:p w:rsidR="5838F608" w:rsidP="5838F608" w:rsidRDefault="5838F608" w14:paraId="654756E4" w14:textId="2A2CD801">
          <w:pPr>
            <w:pStyle w:val="Header"/>
            <w:ind w:left="-115"/>
          </w:pPr>
        </w:p>
      </w:tc>
      <w:tc>
        <w:tcPr>
          <w:tcW w:w="3005" w:type="dxa"/>
        </w:tcPr>
        <w:p w:rsidR="5838F608" w:rsidP="5838F608" w:rsidRDefault="5838F608" w14:paraId="3A6508E7" w14:textId="07C267E9">
          <w:pPr>
            <w:pStyle w:val="Header"/>
            <w:jc w:val="center"/>
          </w:pPr>
        </w:p>
      </w:tc>
      <w:tc>
        <w:tcPr>
          <w:tcW w:w="3005" w:type="dxa"/>
        </w:tcPr>
        <w:p w:rsidR="5838F608" w:rsidP="5838F608" w:rsidRDefault="5838F608" w14:paraId="4D9F1482" w14:textId="74244866">
          <w:pPr>
            <w:pStyle w:val="Header"/>
            <w:ind w:right="-115"/>
            <w:jc w:val="right"/>
          </w:pPr>
        </w:p>
      </w:tc>
    </w:tr>
  </w:tbl>
  <w:p w:rsidR="5838F608" w:rsidP="5838F608" w:rsidRDefault="5838F608" w14:paraId="277F6A98" w14:textId="463B83F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838F608" w:rsidTr="5838F608" w14:paraId="27674D6A" w14:textId="77777777">
      <w:trPr>
        <w:trHeight w:val="300"/>
      </w:trPr>
      <w:tc>
        <w:tcPr>
          <w:tcW w:w="3005" w:type="dxa"/>
        </w:tcPr>
        <w:p w:rsidR="5838F608" w:rsidP="5838F608" w:rsidRDefault="5838F608" w14:paraId="080526F6" w14:textId="65D2A695">
          <w:pPr>
            <w:pStyle w:val="Header"/>
            <w:ind w:left="-115"/>
          </w:pPr>
        </w:p>
      </w:tc>
      <w:tc>
        <w:tcPr>
          <w:tcW w:w="3005" w:type="dxa"/>
        </w:tcPr>
        <w:p w:rsidR="5838F608" w:rsidP="5838F608" w:rsidRDefault="5838F608" w14:paraId="1D6582DE" w14:textId="102D6B37">
          <w:pPr>
            <w:pStyle w:val="Header"/>
            <w:jc w:val="center"/>
          </w:pPr>
        </w:p>
      </w:tc>
      <w:tc>
        <w:tcPr>
          <w:tcW w:w="3005" w:type="dxa"/>
        </w:tcPr>
        <w:p w:rsidR="5838F608" w:rsidP="5838F608" w:rsidRDefault="5838F608" w14:paraId="087BB91D" w14:textId="1D2D0107">
          <w:pPr>
            <w:pStyle w:val="Header"/>
            <w:ind w:right="-115"/>
            <w:jc w:val="right"/>
          </w:pPr>
        </w:p>
      </w:tc>
    </w:tr>
  </w:tbl>
  <w:p w:rsidR="5838F608" w:rsidP="5838F608" w:rsidRDefault="5838F608" w14:paraId="42D4389A" w14:textId="0D3662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hint="default" w:ascii="Symbol" w:hAnsi="Symbol"/>
      </w:rPr>
    </w:lvl>
    <w:lvl w:ilvl="1" w:tplc="943E9A02" w:tentative="1">
      <w:start w:val="1"/>
      <w:numFmt w:val="bullet"/>
      <w:lvlText w:val=""/>
      <w:lvlJc w:val="left"/>
      <w:pPr>
        <w:tabs>
          <w:tab w:val="num" w:pos="1440"/>
        </w:tabs>
        <w:ind w:left="1440" w:hanging="360"/>
      </w:pPr>
      <w:rPr>
        <w:rFonts w:hint="default" w:ascii="Symbol" w:hAnsi="Symbol"/>
      </w:rPr>
    </w:lvl>
    <w:lvl w:ilvl="2" w:tplc="D2B2B0F8" w:tentative="1">
      <w:start w:val="1"/>
      <w:numFmt w:val="bullet"/>
      <w:lvlText w:val=""/>
      <w:lvlJc w:val="left"/>
      <w:pPr>
        <w:tabs>
          <w:tab w:val="num" w:pos="2160"/>
        </w:tabs>
        <w:ind w:left="2160" w:hanging="360"/>
      </w:pPr>
      <w:rPr>
        <w:rFonts w:hint="default" w:ascii="Symbol" w:hAnsi="Symbol"/>
      </w:rPr>
    </w:lvl>
    <w:lvl w:ilvl="3" w:tplc="C77EB076" w:tentative="1">
      <w:start w:val="1"/>
      <w:numFmt w:val="bullet"/>
      <w:lvlText w:val=""/>
      <w:lvlJc w:val="left"/>
      <w:pPr>
        <w:tabs>
          <w:tab w:val="num" w:pos="2880"/>
        </w:tabs>
        <w:ind w:left="2880" w:hanging="360"/>
      </w:pPr>
      <w:rPr>
        <w:rFonts w:hint="default" w:ascii="Symbol" w:hAnsi="Symbol"/>
      </w:rPr>
    </w:lvl>
    <w:lvl w:ilvl="4" w:tplc="41D4B910" w:tentative="1">
      <w:start w:val="1"/>
      <w:numFmt w:val="bullet"/>
      <w:lvlText w:val=""/>
      <w:lvlJc w:val="left"/>
      <w:pPr>
        <w:tabs>
          <w:tab w:val="num" w:pos="3600"/>
        </w:tabs>
        <w:ind w:left="3600" w:hanging="360"/>
      </w:pPr>
      <w:rPr>
        <w:rFonts w:hint="default" w:ascii="Symbol" w:hAnsi="Symbol"/>
      </w:rPr>
    </w:lvl>
    <w:lvl w:ilvl="5" w:tplc="25860D46" w:tentative="1">
      <w:start w:val="1"/>
      <w:numFmt w:val="bullet"/>
      <w:lvlText w:val=""/>
      <w:lvlJc w:val="left"/>
      <w:pPr>
        <w:tabs>
          <w:tab w:val="num" w:pos="4320"/>
        </w:tabs>
        <w:ind w:left="4320" w:hanging="360"/>
      </w:pPr>
      <w:rPr>
        <w:rFonts w:hint="default" w:ascii="Symbol" w:hAnsi="Symbol"/>
      </w:rPr>
    </w:lvl>
    <w:lvl w:ilvl="6" w:tplc="7FBCCE2C" w:tentative="1">
      <w:start w:val="1"/>
      <w:numFmt w:val="bullet"/>
      <w:lvlText w:val=""/>
      <w:lvlJc w:val="left"/>
      <w:pPr>
        <w:tabs>
          <w:tab w:val="num" w:pos="5040"/>
        </w:tabs>
        <w:ind w:left="5040" w:hanging="360"/>
      </w:pPr>
      <w:rPr>
        <w:rFonts w:hint="default" w:ascii="Symbol" w:hAnsi="Symbol"/>
      </w:rPr>
    </w:lvl>
    <w:lvl w:ilvl="7" w:tplc="0264FD4E" w:tentative="1">
      <w:start w:val="1"/>
      <w:numFmt w:val="bullet"/>
      <w:lvlText w:val=""/>
      <w:lvlJc w:val="left"/>
      <w:pPr>
        <w:tabs>
          <w:tab w:val="num" w:pos="5760"/>
        </w:tabs>
        <w:ind w:left="5760" w:hanging="360"/>
      </w:pPr>
      <w:rPr>
        <w:rFonts w:hint="default" w:ascii="Symbol" w:hAnsi="Symbol"/>
      </w:rPr>
    </w:lvl>
    <w:lvl w:ilvl="8" w:tplc="2EDAB92A" w:tentative="1">
      <w:start w:val="1"/>
      <w:numFmt w:val="bullet"/>
      <w:lvlText w:val=""/>
      <w:lvlJc w:val="left"/>
      <w:pPr>
        <w:tabs>
          <w:tab w:val="num" w:pos="6480"/>
        </w:tabs>
        <w:ind w:left="6480" w:hanging="360"/>
      </w:pPr>
      <w:rPr>
        <w:rFonts w:hint="default" w:ascii="Symbol" w:hAnsi="Symbol"/>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362900311">
    <w:abstractNumId w:val="5"/>
  </w:num>
  <w:num w:numId="2" w16cid:durableId="758210794">
    <w:abstractNumId w:val="3"/>
  </w:num>
  <w:num w:numId="3" w16cid:durableId="4524222">
    <w:abstractNumId w:val="2"/>
  </w:num>
  <w:num w:numId="4" w16cid:durableId="2119135543">
    <w:abstractNumId w:val="1"/>
  </w:num>
  <w:num w:numId="5" w16cid:durableId="1534147938">
    <w:abstractNumId w:val="4"/>
  </w:num>
  <w:num w:numId="6" w16cid:durableId="85462127">
    <w:abstractNumId w:val="0"/>
  </w:num>
  <w:num w:numId="7" w16cid:durableId="31922524">
    <w:abstractNumId w:val="7"/>
  </w:num>
  <w:num w:numId="8" w16cid:durableId="188922595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visionView w:markup="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0938A6"/>
    <w:rsid w:val="000C87E4"/>
    <w:rsid w:val="00172AD1"/>
    <w:rsid w:val="001813E7"/>
    <w:rsid w:val="002A1842"/>
    <w:rsid w:val="004468F8"/>
    <w:rsid w:val="00530E16"/>
    <w:rsid w:val="00722EFE"/>
    <w:rsid w:val="007637E9"/>
    <w:rsid w:val="007A11ED"/>
    <w:rsid w:val="008E68D5"/>
    <w:rsid w:val="008E7834"/>
    <w:rsid w:val="009C036D"/>
    <w:rsid w:val="009F60D1"/>
    <w:rsid w:val="00A75B15"/>
    <w:rsid w:val="00AE06EA"/>
    <w:rsid w:val="00AFED6A"/>
    <w:rsid w:val="00B65ED6"/>
    <w:rsid w:val="00BA0043"/>
    <w:rsid w:val="00CF650B"/>
    <w:rsid w:val="00D62A9C"/>
    <w:rsid w:val="00D65BBD"/>
    <w:rsid w:val="00DB181C"/>
    <w:rsid w:val="00F21D25"/>
    <w:rsid w:val="00F618F2"/>
    <w:rsid w:val="02F0F49A"/>
    <w:rsid w:val="06C171A5"/>
    <w:rsid w:val="07491A4C"/>
    <w:rsid w:val="08F0ED36"/>
    <w:rsid w:val="0A3CDB44"/>
    <w:rsid w:val="0B1D0420"/>
    <w:rsid w:val="0B412FB9"/>
    <w:rsid w:val="0B927034"/>
    <w:rsid w:val="11E5A454"/>
    <w:rsid w:val="12407050"/>
    <w:rsid w:val="143D294C"/>
    <w:rsid w:val="15A88CB9"/>
    <w:rsid w:val="19F06924"/>
    <w:rsid w:val="1BFF9E61"/>
    <w:rsid w:val="1FD888EB"/>
    <w:rsid w:val="20C63F02"/>
    <w:rsid w:val="24CCF69E"/>
    <w:rsid w:val="266BCF60"/>
    <w:rsid w:val="27309FD5"/>
    <w:rsid w:val="279C049C"/>
    <w:rsid w:val="29F35F07"/>
    <w:rsid w:val="2C96E52D"/>
    <w:rsid w:val="2CEFF6C6"/>
    <w:rsid w:val="2DA9A8B5"/>
    <w:rsid w:val="371AE9D7"/>
    <w:rsid w:val="398E1316"/>
    <w:rsid w:val="3E0717F1"/>
    <w:rsid w:val="40F28BFD"/>
    <w:rsid w:val="41180316"/>
    <w:rsid w:val="420D2C32"/>
    <w:rsid w:val="468B0CC8"/>
    <w:rsid w:val="47C971A2"/>
    <w:rsid w:val="47F4CBBA"/>
    <w:rsid w:val="4AE347E2"/>
    <w:rsid w:val="4BE821C0"/>
    <w:rsid w:val="4C15CB25"/>
    <w:rsid w:val="54074611"/>
    <w:rsid w:val="5438375F"/>
    <w:rsid w:val="54DDC4F6"/>
    <w:rsid w:val="55D2970B"/>
    <w:rsid w:val="56AB5571"/>
    <w:rsid w:val="5838F608"/>
    <w:rsid w:val="59D5629E"/>
    <w:rsid w:val="5A2C7D00"/>
    <w:rsid w:val="5C661CA2"/>
    <w:rsid w:val="5E077F00"/>
    <w:rsid w:val="5F3634BD"/>
    <w:rsid w:val="5FC1CC69"/>
    <w:rsid w:val="65B63FCD"/>
    <w:rsid w:val="6BE435F8"/>
    <w:rsid w:val="6D78F83D"/>
    <w:rsid w:val="710905C5"/>
    <w:rsid w:val="737D429E"/>
    <w:rsid w:val="7470BA1B"/>
    <w:rsid w:val="75BF99B9"/>
    <w:rsid w:val="76F33283"/>
    <w:rsid w:val="77E7B7AC"/>
    <w:rsid w:val="7B214AFC"/>
    <w:rsid w:val="7D13E0A2"/>
    <w:rsid w:val="7E3914C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5368E"/>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hAnsi="Aptos" w:eastAsia="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hAnsiTheme="majorHAnsi" w:eastAsiaTheme="majorEastAsia" w:cstheme="majorBidi"/>
      <w:spacing w:val="-10"/>
      <w:kern w:val="28"/>
      <w:sz w:val="56"/>
      <w:szCs w:val="56"/>
    </w:rPr>
  </w:style>
  <w:style w:type="character" w:styleId="Heading1Char" w:customStyle="1">
    <w:name w:val="Heading 1 Char"/>
    <w:basedOn w:val="DefaultParagraphFont"/>
    <w:link w:val="Heading1"/>
    <w:uiPriority w:val="9"/>
    <w:rsid w:val="00E123B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E123B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123B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123B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123B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123B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123B8"/>
    <w:rPr>
      <w:rFonts w:eastAsiaTheme="majorEastAsia" w:cstheme="majorBidi"/>
      <w:color w:val="272727" w:themeColor="text1" w:themeTint="D8"/>
    </w:rPr>
  </w:style>
  <w:style w:type="character" w:styleId="TitleChar" w:customStyle="1">
    <w:name w:val="Title Char"/>
    <w:basedOn w:val="DefaultParagraphFont"/>
    <w:link w:val="Title"/>
    <w:uiPriority w:val="10"/>
    <w:rsid w:val="00E123B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styleId="SubtitleChar" w:customStyle="1">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styleId="QuoteChar" w:customStyle="1">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styleId="NoSpacingChar" w:customStyle="1">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styleId="HeaderChar" w:customStyle="1">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styleId="FooterChar" w:customStyle="1">
    <w:name w:val="Footer Char"/>
    <w:basedOn w:val="DefaultParagraphFont"/>
    <w:link w:val="Footer"/>
    <w:uiPriority w:val="99"/>
    <w:rsid w:val="002A1842"/>
  </w:style>
  <w:style w:type="paragraph" w:styleId="Default" w:customStyle="1">
    <w:name w:val="Default"/>
    <w:rsid w:val="00BA0043"/>
    <w:pPr>
      <w:autoSpaceDE w:val="0"/>
      <w:autoSpaceDN w:val="0"/>
      <w:adjustRightInd w:val="0"/>
      <w:spacing w:after="0" w:line="240" w:lineRule="auto"/>
    </w:pPr>
    <w:rPr>
      <w:rFonts w:ascii="Times New Roman" w:hAnsi="Times New Roman" w:cs="Times New Roman"/>
      <w:color w:val="000000"/>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hyperlink" Target="https://www.cqc.org.uk/" TargetMode="External" Id="rId13" /><Relationship Type="http://schemas.openxmlformats.org/officeDocument/2006/relationships/header" Target="header4.xml" Id="rId18" /><Relationship Type="http://schemas.openxmlformats.org/officeDocument/2006/relationships/numbering" Target="numbering.xml" Id="rId3" /><Relationship Type="http://schemas.openxmlformats.org/officeDocument/2006/relationships/theme" Target="theme/theme1.xml" Id="rId21" /><Relationship Type="http://schemas.openxmlformats.org/officeDocument/2006/relationships/footnotes" Target="footnotes.xml" Id="rId7" /><Relationship Type="http://schemas.openxmlformats.org/officeDocument/2006/relationships/footer" Target="footer2.xml" Id="rId12" /><Relationship Type="http://schemas.openxmlformats.org/officeDocument/2006/relationships/header" Target="header3.xml" Id="rId17" /><Relationship Type="http://schemas.openxmlformats.org/officeDocument/2006/relationships/customXml" Target="../customXml/item2.xml" Id="rId2" /><Relationship Type="http://schemas.openxmlformats.org/officeDocument/2006/relationships/hyperlink" Target="https://www.gov.uk/equality-act-2010-guidance"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eader" Target="header2.xml" Id="rId11" /><Relationship Type="http://schemas.openxmlformats.org/officeDocument/2006/relationships/settings" Target="settings.xml" Id="rId5" /><Relationship Type="http://schemas.openxmlformats.org/officeDocument/2006/relationships/hyperlink" Target="https://www.gov.uk/" TargetMode="External" Id="rId15" /><Relationship Type="http://schemas.openxmlformats.org/officeDocument/2006/relationships/footer" Target="footer1.xml" Id="rId10" /><Relationship Type="http://schemas.openxmlformats.org/officeDocument/2006/relationships/footer" Target="footer3.xml" Id="rId19" /><Relationship Type="http://schemas.openxmlformats.org/officeDocument/2006/relationships/styles" Target="styles.xml" Id="rId4" /><Relationship Type="http://schemas.openxmlformats.org/officeDocument/2006/relationships/header" Target="header1.xml" Id="rId9" /><Relationship Type="http://schemas.openxmlformats.org/officeDocument/2006/relationships/hyperlink" Target="https://www.gov.uk/"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University of Wales Trinity Saint David</dc:creator>
  <lastModifiedBy>Olarewaju .</lastModifiedBy>
  <revision>8</revision>
  <dcterms:created xsi:type="dcterms:W3CDTF">2025-12-17T20:06:00.0000000Z</dcterms:created>
  <dcterms:modified xsi:type="dcterms:W3CDTF">2025-12-17T21:19:55.8947016Z</dcterms:modified>
</coreProperties>
</file>