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jc w:val="left"/>
        <w:rPr>
          <w:b w:val="1"/>
          <w:sz w:val="36"/>
          <w:szCs w:val="36"/>
          <w:u w:val="single"/>
        </w:rPr>
      </w:pPr>
      <w:r w:rsidDel="00000000" w:rsidR="00000000" w:rsidRPr="00000000">
        <w:rPr>
          <w:rtl w:val="0"/>
        </w:rPr>
      </w:r>
      <w:r w:rsidDel="00000000" w:rsidR="00000000" w:rsidRPr="00000000">
        <w:drawing>
          <wp:anchor allowOverlap="1" behindDoc="1" distB="0" distT="0" distL="0" distR="0" hidden="0" layoutInCell="1" locked="0" relativeHeight="0" simplePos="0">
            <wp:simplePos x="0" y="0"/>
            <wp:positionH relativeFrom="column">
              <wp:posOffset>1109663</wp:posOffset>
            </wp:positionH>
            <wp:positionV relativeFrom="paragraph">
              <wp:posOffset>228600</wp:posOffset>
            </wp:positionV>
            <wp:extent cx="3726656" cy="1547813"/>
            <wp:effectExtent b="0" l="0" r="0" t="0"/>
            <wp:wrapNone/>
            <wp:docPr id="16"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726656" cy="1547813"/>
                    </a:xfrm>
                    <a:prstGeom prst="rect"/>
                    <a:ln/>
                  </pic:spPr>
                </pic:pic>
              </a:graphicData>
            </a:graphic>
          </wp:anchor>
        </w:drawing>
      </w:r>
    </w:p>
    <w:p w:rsidR="00000000" w:rsidDel="00000000" w:rsidP="00000000" w:rsidRDefault="00000000" w:rsidRPr="00000000" w14:paraId="00000002">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3">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4">
      <w:pPr>
        <w:spacing w:line="276" w:lineRule="auto"/>
        <w:jc w:val="left"/>
        <w:rPr>
          <w:b w:val="1"/>
          <w:sz w:val="36"/>
          <w:szCs w:val="36"/>
          <w:u w:val="single"/>
        </w:rPr>
      </w:pPr>
      <w:r w:rsidDel="00000000" w:rsidR="00000000" w:rsidRPr="00000000">
        <w:rPr>
          <w:b w:val="1"/>
          <w:sz w:val="36"/>
          <w:szCs w:val="36"/>
          <w:u w:val="single"/>
          <w:rtl w:val="0"/>
        </w:rPr>
        <w:t xml:space="preserve">                                                </w:t>
      </w:r>
    </w:p>
    <w:p w:rsidR="00000000" w:rsidDel="00000000" w:rsidP="00000000" w:rsidRDefault="00000000" w:rsidRPr="00000000" w14:paraId="00000005">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6">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7">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8">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9">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A">
      <w:pPr>
        <w:pStyle w:val="Title"/>
        <w:spacing w:line="276" w:lineRule="auto"/>
        <w:jc w:val="left"/>
        <w:rPr>
          <w:rFonts w:ascii="Arial" w:cs="Arial" w:eastAsia="Arial" w:hAnsi="Arial"/>
          <w:b w:val="0"/>
          <w:sz w:val="54"/>
          <w:szCs w:val="54"/>
        </w:rPr>
      </w:pPr>
      <w:bookmarkStart w:colFirst="0" w:colLast="0" w:name="_heading=h.23qk884yq5oc" w:id="0"/>
      <w:bookmarkEnd w:id="0"/>
      <w:r w:rsidDel="00000000" w:rsidR="00000000" w:rsidRPr="00000000">
        <w:rPr>
          <w:rFonts w:ascii="Arial" w:cs="Arial" w:eastAsia="Arial" w:hAnsi="Arial"/>
          <w:b w:val="0"/>
          <w:sz w:val="52"/>
          <w:szCs w:val="52"/>
          <w:rtl w:val="0"/>
        </w:rPr>
        <w:t xml:space="preserve">     </w:t>
      </w:r>
      <w:r w:rsidDel="00000000" w:rsidR="00000000" w:rsidRPr="00000000">
        <w:rPr>
          <w:rFonts w:ascii="Arial" w:cs="Arial" w:eastAsia="Arial" w:hAnsi="Arial"/>
          <w:b w:val="0"/>
          <w:sz w:val="38"/>
          <w:szCs w:val="38"/>
          <w:rtl w:val="0"/>
        </w:rPr>
        <w:t xml:space="preserve">Unleashing the potential of renewable energy</w:t>
      </w:r>
      <w:r w:rsidDel="00000000" w:rsidR="00000000" w:rsidRPr="00000000">
        <w:rPr>
          <w:rtl w:val="0"/>
        </w:rPr>
      </w:r>
    </w:p>
    <w:p w:rsidR="00000000" w:rsidDel="00000000" w:rsidP="00000000" w:rsidRDefault="00000000" w:rsidRPr="00000000" w14:paraId="0000000B">
      <w:pPr>
        <w:spacing w:line="276"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line="276"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spacing w:line="276"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pStyle w:val="Heading1"/>
        <w:spacing w:after="0" w:before="0" w:lineRule="auto"/>
        <w:rPr>
          <w:rFonts w:ascii="Arial" w:cs="Arial" w:eastAsia="Arial" w:hAnsi="Arial"/>
          <w:b w:val="0"/>
          <w:sz w:val="34"/>
          <w:szCs w:val="34"/>
        </w:rPr>
      </w:pPr>
      <w:bookmarkStart w:colFirst="0" w:colLast="0" w:name="_heading=h.emdfisqtezae" w:id="1"/>
      <w:bookmarkEnd w:id="1"/>
      <w:r w:rsidDel="00000000" w:rsidR="00000000" w:rsidRPr="00000000">
        <w:rPr>
          <w:rFonts w:ascii="Arial" w:cs="Arial" w:eastAsia="Arial" w:hAnsi="Arial"/>
          <w:b w:val="0"/>
          <w:sz w:val="34"/>
          <w:szCs w:val="34"/>
          <w:rtl w:val="0"/>
        </w:rPr>
        <w:t xml:space="preserve">          </w:t>
        <w:tab/>
        <w:tab/>
        <w:t xml:space="preserve"> NAME </w:t>
        <w:tab/>
        <w:t xml:space="preserve"> :</w:t>
        <w:tab/>
        <w:t xml:space="preserve">SIMRANJIT KAUR</w:t>
      </w:r>
    </w:p>
    <w:p w:rsidR="00000000" w:rsidDel="00000000" w:rsidP="00000000" w:rsidRDefault="00000000" w:rsidRPr="00000000" w14:paraId="0000000F">
      <w:pPr>
        <w:pStyle w:val="Heading1"/>
        <w:spacing w:after="0" w:before="0" w:lineRule="auto"/>
        <w:rPr>
          <w:rFonts w:ascii="Arial" w:cs="Arial" w:eastAsia="Arial" w:hAnsi="Arial"/>
          <w:b w:val="0"/>
          <w:sz w:val="32"/>
          <w:szCs w:val="32"/>
        </w:rPr>
      </w:pPr>
      <w:bookmarkStart w:colFirst="0" w:colLast="0" w:name="_heading=h.7u65lt7zgjk0" w:id="2"/>
      <w:bookmarkEnd w:id="2"/>
      <w:r w:rsidDel="00000000" w:rsidR="00000000" w:rsidRPr="00000000">
        <w:rPr>
          <w:rFonts w:ascii="Arial" w:cs="Arial" w:eastAsia="Arial" w:hAnsi="Arial"/>
          <w:b w:val="0"/>
          <w:sz w:val="34"/>
          <w:szCs w:val="34"/>
          <w:rtl w:val="0"/>
        </w:rPr>
        <w:t xml:space="preserve">             STUDENT ID     :</w:t>
        <w:tab/>
        <w:t xml:space="preserve">2216400          </w:t>
        <w:tab/>
        <w:tab/>
        <w:tab/>
      </w:r>
      <w:r w:rsidDel="00000000" w:rsidR="00000000" w:rsidRPr="00000000">
        <w:rPr>
          <w:rtl w:val="0"/>
        </w:rPr>
      </w:r>
    </w:p>
    <w:p w:rsidR="00000000" w:rsidDel="00000000" w:rsidP="00000000" w:rsidRDefault="00000000" w:rsidRPr="00000000" w14:paraId="00000010">
      <w:pPr>
        <w:pStyle w:val="Heading1"/>
        <w:spacing w:after="0" w:before="0" w:lineRule="auto"/>
        <w:rPr>
          <w:sz w:val="32"/>
          <w:szCs w:val="32"/>
        </w:rPr>
      </w:pPr>
      <w:bookmarkStart w:colFirst="0" w:colLast="0" w:name="_heading=h.ese0dc9neyfs" w:id="3"/>
      <w:bookmarkEnd w:id="3"/>
      <w:r w:rsidDel="00000000" w:rsidR="00000000" w:rsidRPr="00000000">
        <w:rPr>
          <w:rFonts w:ascii="Arial" w:cs="Arial" w:eastAsia="Arial" w:hAnsi="Arial"/>
          <w:b w:val="0"/>
          <w:sz w:val="34"/>
          <w:szCs w:val="34"/>
          <w:rtl w:val="0"/>
        </w:rPr>
        <w:t xml:space="preserve">          MODULE NAME   :  </w:t>
        <w:tab/>
        <w:t xml:space="preserve">ENTREPRENEURSHIP</w:t>
        <w:br w:type="textWrapping"/>
        <w:t xml:space="preserve">          MODULE CODE   :     LCMB7004</w:t>
        <w:br w:type="textWrapping"/>
      </w:r>
      <w:r w:rsidDel="00000000" w:rsidR="00000000" w:rsidRPr="00000000">
        <w:rPr>
          <w:sz w:val="24"/>
          <w:szCs w:val="24"/>
          <w:rtl w:val="0"/>
        </w:rPr>
        <w:br w:type="textWrapping"/>
      </w:r>
      <w:r w:rsidDel="00000000" w:rsidR="00000000" w:rsidRPr="00000000">
        <w:rPr>
          <w:rtl w:val="0"/>
        </w:rPr>
      </w:r>
    </w:p>
    <w:p w:rsidR="00000000" w:rsidDel="00000000" w:rsidP="00000000" w:rsidRDefault="00000000" w:rsidRPr="00000000" w14:paraId="00000011">
      <w:pP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40" w:lineRule="auto"/>
        <w:ind w:left="0" w:right="0" w:firstLine="0"/>
        <w:jc w:val="both"/>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br w:type="textWrapping"/>
      </w: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Pr>
        <w:drawing>
          <wp:inline distB="114300" distT="114300" distL="114300" distR="114300">
            <wp:extent cx="5731200" cy="3251200"/>
            <wp:effectExtent b="0" l="0" r="0" t="0"/>
            <wp:docPr id="12" name="image8.png"/>
            <a:graphic>
              <a:graphicData uri="http://schemas.openxmlformats.org/drawingml/2006/picture">
                <pic:pic>
                  <pic:nvPicPr>
                    <pic:cNvPr id="0" name="image8.png"/>
                    <pic:cNvPicPr preferRelativeResize="0"/>
                  </pic:nvPicPr>
                  <pic:blipFill>
                    <a:blip r:embed="rId8"/>
                    <a:srcRect b="0" l="0" r="0" t="0"/>
                    <a:stretch>
                      <a:fillRect/>
                    </a:stretch>
                  </pic:blipFill>
                  <pic:spPr>
                    <a:xfrm>
                      <a:off x="0" y="0"/>
                      <a:ext cx="57312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40" w:lineRule="auto"/>
        <w:ind w:left="0" w:right="0" w:firstLine="0"/>
        <w:jc w:val="both"/>
        <w:rPr>
          <w:b w:val="1"/>
          <w:sz w:val="32"/>
          <w:szCs w:val="32"/>
        </w:rPr>
      </w:pP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40" w:lineRule="auto"/>
        <w:ind w:left="0" w:right="0" w:firstLine="0"/>
        <w:jc w:val="both"/>
        <w:rPr>
          <w:b w:val="1"/>
          <w:sz w:val="32"/>
          <w:szCs w:val="32"/>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5731200" cy="3213100"/>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rPr/>
      </w:pPr>
      <w:r w:rsidDel="00000000" w:rsidR="00000000" w:rsidRPr="00000000">
        <w:rPr/>
        <w:drawing>
          <wp:inline distB="114300" distT="114300" distL="114300" distR="114300">
            <wp:extent cx="5731200" cy="3187700"/>
            <wp:effectExtent b="0" l="0" r="0" t="0"/>
            <wp:docPr id="14"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731200" cy="3187700"/>
                    </a:xfrm>
                    <a:prstGeom prst="rect"/>
                    <a:ln/>
                  </pic:spPr>
                </pic:pic>
              </a:graphicData>
            </a:graphic>
          </wp:inline>
        </w:drawing>
      </w:r>
      <w:r w:rsidDel="00000000" w:rsidR="00000000" w:rsidRPr="00000000">
        <w:rPr/>
        <w:drawing>
          <wp:inline distB="114300" distT="114300" distL="114300" distR="114300">
            <wp:extent cx="5731200" cy="3238500"/>
            <wp:effectExtent b="0" l="0" r="0" t="0"/>
            <wp:docPr id="7"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731200" cy="3238500"/>
                    </a:xfrm>
                    <a:prstGeom prst="rect"/>
                    <a:ln/>
                  </pic:spPr>
                </pic:pic>
              </a:graphicData>
            </a:graphic>
          </wp:inline>
        </w:drawing>
      </w:r>
      <w:r w:rsidDel="00000000" w:rsidR="00000000" w:rsidRPr="00000000">
        <w:rPr/>
        <w:drawing>
          <wp:inline distB="114300" distT="114300" distL="114300" distR="114300">
            <wp:extent cx="5731200" cy="3238500"/>
            <wp:effectExtent b="0" l="0" r="0" t="0"/>
            <wp:docPr id="9" name="image12.png"/>
            <a:graphic>
              <a:graphicData uri="http://schemas.openxmlformats.org/drawingml/2006/picture">
                <pic:pic>
                  <pic:nvPicPr>
                    <pic:cNvPr id="0" name="image12.png"/>
                    <pic:cNvPicPr preferRelativeResize="0"/>
                  </pic:nvPicPr>
                  <pic:blipFill>
                    <a:blip r:embed="rId12"/>
                    <a:srcRect b="0" l="0" r="0" t="0"/>
                    <a:stretch>
                      <a:fillRect/>
                    </a:stretch>
                  </pic:blipFill>
                  <pic:spPr>
                    <a:xfrm>
                      <a:off x="0" y="0"/>
                      <a:ext cx="5731200" cy="3238500"/>
                    </a:xfrm>
                    <a:prstGeom prst="rect"/>
                    <a:ln/>
                  </pic:spPr>
                </pic:pic>
              </a:graphicData>
            </a:graphic>
          </wp:inline>
        </w:drawing>
      </w:r>
      <w:r w:rsidDel="00000000" w:rsidR="00000000" w:rsidRPr="00000000">
        <w:rPr/>
        <w:drawing>
          <wp:inline distB="114300" distT="114300" distL="114300" distR="114300">
            <wp:extent cx="5731200" cy="3213100"/>
            <wp:effectExtent b="0" l="0" r="0" t="0"/>
            <wp:docPr id="13" name="image15.png"/>
            <a:graphic>
              <a:graphicData uri="http://schemas.openxmlformats.org/drawingml/2006/picture">
                <pic:pic>
                  <pic:nvPicPr>
                    <pic:cNvPr id="0" name="image15.png"/>
                    <pic:cNvPicPr preferRelativeResize="0"/>
                  </pic:nvPicPr>
                  <pic:blipFill>
                    <a:blip r:embed="rId13"/>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rPr/>
      </w:pPr>
      <w:r w:rsidDel="00000000" w:rsidR="00000000" w:rsidRPr="00000000">
        <w:rPr/>
        <w:drawing>
          <wp:inline distB="114300" distT="114300" distL="114300" distR="114300">
            <wp:extent cx="5731200" cy="3200400"/>
            <wp:effectExtent b="0" l="0" r="0" t="0"/>
            <wp:docPr id="15" name="image11.png"/>
            <a:graphic>
              <a:graphicData uri="http://schemas.openxmlformats.org/drawingml/2006/picture">
                <pic:pic>
                  <pic:nvPicPr>
                    <pic:cNvPr id="0" name="image11.png"/>
                    <pic:cNvPicPr preferRelativeResize="0"/>
                  </pic:nvPicPr>
                  <pic:blipFill>
                    <a:blip r:embed="rId14"/>
                    <a:srcRect b="0" l="0" r="0" t="0"/>
                    <a:stretch>
                      <a:fillRect/>
                    </a:stretch>
                  </pic:blipFill>
                  <pic:spPr>
                    <a:xfrm>
                      <a:off x="0" y="0"/>
                      <a:ext cx="5731200" cy="3200400"/>
                    </a:xfrm>
                    <a:prstGeom prst="rect"/>
                    <a:ln/>
                  </pic:spPr>
                </pic:pic>
              </a:graphicData>
            </a:graphic>
          </wp:inline>
        </w:drawing>
      </w:r>
      <w:r w:rsidDel="00000000" w:rsidR="00000000" w:rsidRPr="00000000">
        <w:rPr/>
        <w:drawing>
          <wp:inline distB="114300" distT="114300" distL="114300" distR="114300">
            <wp:extent cx="5731200" cy="3200400"/>
            <wp:effectExtent b="0" l="0" r="0" t="0"/>
            <wp:docPr id="6"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5731200" cy="3200400"/>
                    </a:xfrm>
                    <a:prstGeom prst="rect"/>
                    <a:ln/>
                  </pic:spPr>
                </pic:pic>
              </a:graphicData>
            </a:graphic>
          </wp:inline>
        </w:drawing>
      </w:r>
      <w:r w:rsidDel="00000000" w:rsidR="00000000" w:rsidRPr="00000000">
        <w:rPr/>
        <w:drawing>
          <wp:inline distB="114300" distT="114300" distL="114300" distR="114300">
            <wp:extent cx="5731200" cy="3225800"/>
            <wp:effectExtent b="0" l="0" r="0" t="0"/>
            <wp:docPr id="11" name="image9.png"/>
            <a:graphic>
              <a:graphicData uri="http://schemas.openxmlformats.org/drawingml/2006/picture">
                <pic:pic>
                  <pic:nvPicPr>
                    <pic:cNvPr id="0" name="image9.png"/>
                    <pic:cNvPicPr preferRelativeResize="0"/>
                  </pic:nvPicPr>
                  <pic:blipFill>
                    <a:blip r:embed="rId16"/>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38500"/>
            <wp:effectExtent b="0" l="0" r="0" t="0"/>
            <wp:docPr id="1" name="image2.png"/>
            <a:graphic>
              <a:graphicData uri="http://schemas.openxmlformats.org/drawingml/2006/picture">
                <pic:pic>
                  <pic:nvPicPr>
                    <pic:cNvPr id="0" name="image2.png"/>
                    <pic:cNvPicPr preferRelativeResize="0"/>
                  </pic:nvPicPr>
                  <pic:blipFill>
                    <a:blip r:embed="rId17"/>
                    <a:srcRect b="0" l="0" r="0" t="0"/>
                    <a:stretch>
                      <a:fillRect/>
                    </a:stretch>
                  </pic:blipFill>
                  <pic:spPr>
                    <a:xfrm>
                      <a:off x="0" y="0"/>
                      <a:ext cx="5731200" cy="3238500"/>
                    </a:xfrm>
                    <a:prstGeom prst="rect"/>
                    <a:ln/>
                  </pic:spPr>
                </pic:pic>
              </a:graphicData>
            </a:graphic>
          </wp:inline>
        </w:drawing>
      </w:r>
      <w:r w:rsidDel="00000000" w:rsidR="00000000" w:rsidRPr="00000000">
        <w:rPr/>
        <w:drawing>
          <wp:inline distB="114300" distT="114300" distL="114300" distR="114300">
            <wp:extent cx="5731200" cy="3200400"/>
            <wp:effectExtent b="0" l="0" r="0" t="0"/>
            <wp:docPr id="3" name="image5.png"/>
            <a:graphic>
              <a:graphicData uri="http://schemas.openxmlformats.org/drawingml/2006/picture">
                <pic:pic>
                  <pic:nvPicPr>
                    <pic:cNvPr id="0" name="image5.png"/>
                    <pic:cNvPicPr preferRelativeResize="0"/>
                  </pic:nvPicPr>
                  <pic:blipFill>
                    <a:blip r:embed="rId18"/>
                    <a:srcRect b="0" l="0" r="0" t="0"/>
                    <a:stretch>
                      <a:fillRect/>
                    </a:stretch>
                  </pic:blipFill>
                  <pic:spPr>
                    <a:xfrm>
                      <a:off x="0" y="0"/>
                      <a:ext cx="5731200" cy="3200400"/>
                    </a:xfrm>
                    <a:prstGeom prst="rect"/>
                    <a:ln/>
                  </pic:spPr>
                </pic:pic>
              </a:graphicData>
            </a:graphic>
          </wp:inline>
        </w:drawing>
      </w:r>
      <w:r w:rsidDel="00000000" w:rsidR="00000000" w:rsidRPr="00000000">
        <w:rPr/>
        <w:drawing>
          <wp:inline distB="114300" distT="114300" distL="114300" distR="114300">
            <wp:extent cx="5731200" cy="3200400"/>
            <wp:effectExtent b="0" l="0" r="0" t="0"/>
            <wp:docPr id="8" name="image7.png"/>
            <a:graphic>
              <a:graphicData uri="http://schemas.openxmlformats.org/drawingml/2006/picture">
                <pic:pic>
                  <pic:nvPicPr>
                    <pic:cNvPr id="0" name="image7.png"/>
                    <pic:cNvPicPr preferRelativeResize="0"/>
                  </pic:nvPicPr>
                  <pic:blipFill>
                    <a:blip r:embed="rId19"/>
                    <a:srcRect b="0" l="0" r="0" t="0"/>
                    <a:stretch>
                      <a:fillRect/>
                    </a:stretch>
                  </pic:blipFill>
                  <pic:spPr>
                    <a:xfrm>
                      <a:off x="0" y="0"/>
                      <a:ext cx="5731200" cy="3200400"/>
                    </a:xfrm>
                    <a:prstGeom prst="rect"/>
                    <a:ln/>
                  </pic:spPr>
                </pic:pic>
              </a:graphicData>
            </a:graphic>
          </wp:inline>
        </w:drawing>
      </w:r>
      <w:r w:rsidDel="00000000" w:rsidR="00000000" w:rsidRPr="00000000">
        <w:rPr/>
        <w:drawing>
          <wp:inline distB="114300" distT="114300" distL="114300" distR="114300">
            <wp:extent cx="5731200" cy="3200400"/>
            <wp:effectExtent b="0" l="0" r="0" t="0"/>
            <wp:docPr id="10" name="image14.png"/>
            <a:graphic>
              <a:graphicData uri="http://schemas.openxmlformats.org/drawingml/2006/picture">
                <pic:pic>
                  <pic:nvPicPr>
                    <pic:cNvPr id="0" name="image14.png"/>
                    <pic:cNvPicPr preferRelativeResize="0"/>
                  </pic:nvPicPr>
                  <pic:blipFill>
                    <a:blip r:embed="rId20"/>
                    <a:srcRect b="0" l="0" r="0" t="0"/>
                    <a:stretch>
                      <a:fillRect/>
                    </a:stretch>
                  </pic:blipFill>
                  <pic:spPr>
                    <a:xfrm>
                      <a:off x="0" y="0"/>
                      <a:ext cx="5731200" cy="3200400"/>
                    </a:xfrm>
                    <a:prstGeom prst="rect"/>
                    <a:ln/>
                  </pic:spPr>
                </pic:pic>
              </a:graphicData>
            </a:graphic>
          </wp:inline>
        </w:drawing>
      </w:r>
      <w:r w:rsidDel="00000000" w:rsidR="00000000" w:rsidRPr="00000000">
        <w:rPr/>
        <w:drawing>
          <wp:inline distB="114300" distT="114300" distL="114300" distR="114300">
            <wp:extent cx="5731200" cy="3200400"/>
            <wp:effectExtent b="0" l="0" r="0" t="0"/>
            <wp:docPr id="2"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5731200" cy="3200400"/>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rPr/>
      </w:pPr>
      <w:r w:rsidDel="00000000" w:rsidR="00000000" w:rsidRPr="00000000">
        <w:rPr/>
        <w:drawing>
          <wp:inline distB="114300" distT="114300" distL="114300" distR="114300">
            <wp:extent cx="5731200" cy="3213100"/>
            <wp:effectExtent b="0" l="0" r="0" t="0"/>
            <wp:docPr id="5" name="image16.png"/>
            <a:graphic>
              <a:graphicData uri="http://schemas.openxmlformats.org/drawingml/2006/picture">
                <pic:pic>
                  <pic:nvPicPr>
                    <pic:cNvPr id="0" name="image16.png"/>
                    <pic:cNvPicPr preferRelativeResize="0"/>
                  </pic:nvPicPr>
                  <pic:blipFill>
                    <a:blip r:embed="rId22"/>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Definitions</w:t>
              <w:tab/>
              <w:t xml:space="preserve">3</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w:t>
              <w:tab/>
              <w:t xml:space="preserve">3</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Renewable Energy in the UK</w:t>
              <w:tab/>
              <w:t xml:space="preserve">3</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Idea</w:t>
              <w:tab/>
              <w:t xml:space="preserve">4</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w:t>
              <w:tab/>
              <w:t xml:space="preserve">4</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Analysis</w:t>
              <w:tab/>
              <w:t xml:space="preserve">5</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8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Trends and Demands</w:t>
              <w:tab/>
              <w:t xml:space="preserve">5</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8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Potential Competitors and Market Gaps</w:t>
              <w:tab/>
              <w:t xml:space="preserve">5</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Problem Statement</w:t>
              <w:tab/>
              <w:t xml:space="preserve">6</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Solution Overview</w:t>
              <w:tab/>
              <w:t xml:space="preserve">6</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Technology and Innovation</w:t>
              <w:tab/>
              <w:t xml:space="preserve">7</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Model</w:t>
              <w:tab/>
              <w:t xml:space="preserve">7</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Entry Strategy</w:t>
              <w:tab/>
              <w:t xml:space="preserve">9</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8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Distribution Channels</w:t>
              <w:tab/>
              <w:t xml:space="preserve">9</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8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Strategic Partnerships</w:t>
              <w:tab/>
              <w:t xml:space="preserve">9</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8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Strategies</w:t>
              <w:tab/>
              <w:t xml:space="preserve">9</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Funding Requirements</w:t>
              <w:tab/>
              <w:t xml:space="preserve">9</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Risks and Mitigation Strategies</w:t>
              <w:tab/>
              <w:t xml:space="preserve">10</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and Call to Action</w:t>
              <w:tab/>
              <w:t xml:space="preserve">11</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4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3">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1"/>
        <w:rPr/>
      </w:pPr>
      <w:bookmarkStart w:colFirst="0" w:colLast="0" w:name="_heading=h.30j0zll" w:id="4"/>
      <w:bookmarkEnd w:id="4"/>
      <w:r w:rsidDel="00000000" w:rsidR="00000000" w:rsidRPr="00000000">
        <w:rPr>
          <w:rtl w:val="0"/>
        </w:rPr>
        <w:t xml:space="preserve">Introduction</w:t>
      </w:r>
    </w:p>
    <w:p w:rsidR="00000000" w:rsidDel="00000000" w:rsidP="00000000" w:rsidRDefault="00000000" w:rsidRPr="00000000" w14:paraId="00000045">
      <w:pPr>
        <w:pStyle w:val="Heading2"/>
        <w:rPr/>
      </w:pPr>
      <w:bookmarkStart w:colFirst="0" w:colLast="0" w:name="_heading=h.1fob9te" w:id="5"/>
      <w:bookmarkEnd w:id="5"/>
      <w:r w:rsidDel="00000000" w:rsidR="00000000" w:rsidRPr="00000000">
        <w:rPr>
          <w:rtl w:val="0"/>
        </w:rPr>
        <w:t xml:space="preserve">Definitions</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term "renewable energy" refers to energy derived from replenishable natural resources such as biomass, sunlight, wind, and water (Carré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2022). Unlike fossil fuels, it doesn't run out of fuel as it is used and offers renewable energy, transportation, as well as heating alternatives that help create a safer and more environmentally friendly future.</w:t>
      </w:r>
    </w:p>
    <w:p w:rsidR="00000000" w:rsidDel="00000000" w:rsidP="00000000" w:rsidRDefault="00000000" w:rsidRPr="00000000" w14:paraId="00000047">
      <w:pPr>
        <w:pStyle w:val="Heading2"/>
        <w:rPr/>
      </w:pPr>
      <w:bookmarkStart w:colFirst="0" w:colLast="0" w:name="_heading=h.3znysh7" w:id="6"/>
      <w:bookmarkEnd w:id="6"/>
      <w:r w:rsidDel="00000000" w:rsidR="00000000" w:rsidRPr="00000000">
        <w:rPr>
          <w:rtl w:val="0"/>
        </w:rPr>
        <w:t xml:space="preserve">Overview</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Renewing organically on a human timetable, renewable energy differs from finite fossil fuels. According to Metin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(2022), the percentage of power produced globally that came from renewable sources was over 26% in 2023; by 2050, it is expected to rise to over 50%. Fossil fuels are accelerating climate change at alarming rates, making the current energy situation dire. The planet is suffering irreversible damage from greenhouse gas emissions that are coming from coal, oil, and natural gas at record highs. Sea levels rise as a result of inaction, and ecosystems are disrupted by extreme weather. There is both a moral and a technological need to switch to renewable energy sources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Carré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shift to a sustainable future will be challenging as cutting-edge technologies need to be refined, public opinion needs to shift, and current infrastructure needs to be adjusted. Nonetheless, the advantages are incalculable, sustainable environmental practices, clean air, and a legacy of conscientious stewardship for future generations.</w:t>
      </w:r>
    </w:p>
    <w:p w:rsidR="00000000" w:rsidDel="00000000" w:rsidP="00000000" w:rsidRDefault="00000000" w:rsidRPr="00000000" w14:paraId="00000049">
      <w:pPr>
        <w:pStyle w:val="Heading2"/>
        <w:rPr/>
      </w:pPr>
      <w:bookmarkStart w:colFirst="0" w:colLast="0" w:name="_heading=h.2et92p0" w:id="7"/>
      <w:bookmarkEnd w:id="7"/>
      <w:r w:rsidDel="00000000" w:rsidR="00000000" w:rsidRPr="00000000">
        <w:rPr>
          <w:rtl w:val="0"/>
        </w:rPr>
        <w:t xml:space="preserve">Renewable Energy in the UK</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More than 26% of the electricity produced globally as of 2023 comes from renewable sources, and by 2050, that percentage is expected to rise to over 50% (Metin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2022). A tangible step in the direction of a better future is this shift towards a healthier, cleaner world. As solar, geothermal, and wind power plants release almost no emissions, renewables have a significant environmental impact. Wind power now makes up more than 40% of the renewable electricity produced in the UK, indicating the country's transition to a greener future. With around 45 gigawatts of installed capacity, the UK is the sixth-largest producer of wind energy worldwide (Butler and Wärnbäck, 2019). As rooftop solar panels as well as solar farms proliferate, so does the use of solar energy. As part of the UK's renewable energy mix, biomass, a diverse resource that includes wood pellets, biogas, as well as trash, is also crucial. More than 8% of the country's renewable energy will come from biomass in 2023. The United Kingdom's dedication to renewable energy surpasses just generation, as the government has implemented audacious policies and incentives to foster innovation and investment in renewable infrastructure. The goal of the "Net Zero Strategy" is to use only renewable energy sources to attain net-zero carbon emissions by 2050 (Mintel, 2023). On the other hand, challenges including public image, improved grid infrastructure, and intermittent renewable energy continue to exist. The UK is well-positioned to overcome these challenges and continue to lead the world in research and use of renewable energy sources (Sánchez-Pantoja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2021). With its commitment to a cleaner future and the growing power of renewable energy sources, the United Kingdom is a promising nation.</w:t>
      </w:r>
    </w:p>
    <w:p w:rsidR="00000000" w:rsidDel="00000000" w:rsidP="00000000" w:rsidRDefault="00000000" w:rsidRPr="00000000" w14:paraId="0000004B">
      <w:pPr>
        <w:pStyle w:val="Heading1"/>
        <w:rPr/>
      </w:pPr>
      <w:bookmarkStart w:colFirst="0" w:colLast="0" w:name="_heading=h.tyjcwt" w:id="8"/>
      <w:bookmarkEnd w:id="8"/>
      <w:r w:rsidDel="00000000" w:rsidR="00000000" w:rsidRPr="00000000">
        <w:rPr>
          <w:rtl w:val="0"/>
        </w:rPr>
        <w:t xml:space="preserve">Business Idea</w:t>
      </w:r>
    </w:p>
    <w:p w:rsidR="00000000" w:rsidDel="00000000" w:rsidP="00000000" w:rsidRDefault="00000000" w:rsidRPr="00000000" w14:paraId="0000004C">
      <w:pPr>
        <w:pStyle w:val="Heading2"/>
        <w:rPr/>
      </w:pPr>
      <w:bookmarkStart w:colFirst="0" w:colLast="0" w:name="_heading=h.3dy6vkm" w:id="9"/>
      <w:bookmarkEnd w:id="9"/>
      <w:r w:rsidDel="00000000" w:rsidR="00000000" w:rsidRPr="00000000">
        <w:rPr>
          <w:rtl w:val="0"/>
        </w:rPr>
        <w:t xml:space="preserve">Overview</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company called SkyWeave wants to transform traditional wind energy into an elegant, well-integrated part of cityscapes. The company creates lightweight, modular structures using advanced composite materials that capture wind energy with remarkable efficiency and elegance. The designs are influenced by spider silk. These thin structures like spider webs are revolutionising deployment by making it possible to integrate quiet, attractive wind systems with ease into public spaces such as balconies and roofs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Metin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mission of SkyWeave is to weave a sustainable future propelled by the melodious singing of the wind, as well as to foster a sense of collective responsibility and advancement towards a cleaner future. The company invites communities, investors, engineers, and architects to join their movement that seeks to create a future where wind energy powers our lives with the natural beauty of the world, rather than just being a need. By embracing the future, SkyWeave aims to empower communities and usher in a new era of distributed energy generation.</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1">
      <w:pPr>
        <w:pStyle w:val="Heading2"/>
        <w:rPr/>
      </w:pPr>
      <w:bookmarkStart w:colFirst="0" w:colLast="0" w:name="_heading=h.1t3h5sf" w:id="10"/>
      <w:bookmarkEnd w:id="10"/>
      <w:r w:rsidDel="00000000" w:rsidR="00000000" w:rsidRPr="00000000">
        <w:rPr>
          <w:rtl w:val="0"/>
        </w:rPr>
        <w:t xml:space="preserve">Market Analysis</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Our renewable energy offering is targeted at two important markets.</w:t>
      </w:r>
    </w:p>
    <w:p w:rsidR="00000000" w:rsidDel="00000000" w:rsidP="00000000" w:rsidRDefault="00000000" w:rsidRPr="00000000" w14:paraId="0000005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Commercial and Industrial (C&amp;I) Customers</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energy-intensive businesses striving for energy independence, sustainability, as well as cost savings. Think of manufacturing facilities, massive office buildings, and data centres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Du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Residential Microgrids</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Localities in remote areas want to reduce their reliance on centralised power systems. Included are off-grid villages, locations vulnerable to natural disasters, and people with ecological concerns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Alotaibi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7">
      <w:pPr>
        <w:pStyle w:val="Heading3"/>
        <w:rPr/>
      </w:pPr>
      <w:bookmarkStart w:colFirst="0" w:colLast="0" w:name="_heading=h.4d34og8" w:id="11"/>
      <w:bookmarkEnd w:id="11"/>
      <w:r w:rsidDel="00000000" w:rsidR="00000000" w:rsidRPr="00000000">
        <w:rPr>
          <w:rtl w:val="0"/>
        </w:rPr>
        <w:t xml:space="preserve">Market Trends and Demands</w:t>
      </w:r>
    </w:p>
    <w:p w:rsidR="00000000" w:rsidDel="00000000" w:rsidP="00000000" w:rsidRDefault="00000000" w:rsidRPr="00000000" w14:paraId="00000058">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Global energy shift</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need for sustainable energy alternatives is rising due to government regulations, declining costs for renewable energy, and climate-related concerns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Butler and Wärnbäck,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Improvements in technology</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Increases in solar, wind, as well as storage efficiency, are putting renewable energy sources on par with fossil fuels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Sánchez-Pantoja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Decentralisation of Energy</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Communities are becoming more powerful and grid resilience is increasing with the emergence of microgrids as well as distributed energy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Naval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Focus on ESG Activities</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Renewable energy solutions are becoming more competitive as a result of consumers' and investors' growing preference for businesses with sound environmental practices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Zakaria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0">
      <w:pPr>
        <w:pStyle w:val="Heading3"/>
        <w:rPr/>
      </w:pPr>
      <w:bookmarkStart w:colFirst="0" w:colLast="0" w:name="_heading=h.2s8eyo1" w:id="12"/>
      <w:bookmarkEnd w:id="12"/>
      <w:r w:rsidDel="00000000" w:rsidR="00000000" w:rsidRPr="00000000">
        <w:rPr>
          <w:rtl w:val="0"/>
        </w:rPr>
        <w:t xml:space="preserve">Potential Competitors and Market Gaps</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Although large renewable energy businesses dominate the industry, their concentration on megaprojects may leave loopholes in C&amp;I as well as microgrid solutions. Traditional energy companies may hinder innovation as well as customer-centric solutions while making investments in renewables.</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Our company provides customised, expandable solutions for a range of needs, such as the building of rooftop solar and microgrids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Worighi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Utilising data analytics as well as smart grid technologies, we specialise in C&amp;I along with microgrids, aiming to maximise efficiency and save expenses. Additionally, we promise to build an ecosystem of renewable energy that has a major impact on the environment and society.</w:t>
      </w:r>
    </w:p>
    <w:p w:rsidR="00000000" w:rsidDel="00000000" w:rsidP="00000000" w:rsidRDefault="00000000" w:rsidRPr="00000000" w14:paraId="00000063">
      <w:pPr>
        <w:pStyle w:val="Heading2"/>
        <w:rPr/>
      </w:pPr>
      <w:bookmarkStart w:colFirst="0" w:colLast="0" w:name="_heading=h.17dp8vu" w:id="13"/>
      <w:bookmarkEnd w:id="13"/>
      <w:r w:rsidDel="00000000" w:rsidR="00000000" w:rsidRPr="00000000">
        <w:rPr>
          <w:rtl w:val="0"/>
        </w:rPr>
        <w:t xml:space="preserve">Problem Statement</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current fossil fuel-based economy is inefficient and unsustainable, which makes it vulnerable to climate change, dependent on finite resources, and has fluctuating energy costs. More than 70% of greenhouse gas emissions worldwide are linked to the global warming catastrophe, with fossil fuels being the main culprit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Kashem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fact that there is a greater need for scarce resources makes matters worse since they are running out. The goal of the roughly 200-nation Paris Agreement is to keep global warming to pre-industrial levels, ideally to 1.5°C (Mintel, 2023). Nevertheless, these goals cannot be met at the present rate of growth in the world's renewable energy capacity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Michoud and Hafner,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It's time to let go of the antiquated grid and welcome a more promising future driven by clean energy derived from the sun, wind, and soil. Join the effort to build a renewable, sustainable, and resilient grid that is fueled by the sun, wind, and earth itself. In the wind energy sector, conventional wind turbines are often large, unsightly, and noisy, which makes it challenging to integrate them into urban settings and to promote the adoption of renewable energy.</w:t>
      </w:r>
    </w:p>
    <w:p w:rsidR="00000000" w:rsidDel="00000000" w:rsidP="00000000" w:rsidRDefault="00000000" w:rsidRPr="00000000" w14:paraId="00000065">
      <w:pPr>
        <w:pStyle w:val="Heading2"/>
        <w:rPr/>
      </w:pPr>
      <w:bookmarkStart w:colFirst="0" w:colLast="0" w:name="_heading=h.3rdcrjn" w:id="14"/>
      <w:bookmarkEnd w:id="14"/>
      <w:r w:rsidDel="00000000" w:rsidR="00000000" w:rsidRPr="00000000">
        <w:rPr>
          <w:rtl w:val="0"/>
        </w:rPr>
        <w:t xml:space="preserve">Solution Overview</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revolutionary wind energy system called SkyWeave uses lightweight, modular structures that are fashioned after spider silk. These structures encourage community connection, blend seamlessly into urban settings, and offer unparalleled efficiency. By 2023, it's predicted that global investments in renewable energy will surpass $1.3 trillion. In addition, renewables strengthen local economies, empower communities, and provide millions of jobs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Haas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They strengthen communities, reduce reliance on fossil fuels, and enhance energy security. SkyWeave collects wind energy in metropolitan areas to contribute to cleaner air, less greenhouse gas emissions, as well as a more sustainable future. Reliance on fixed power sources is reduced while grid resilience is increased through distributed generation. The interactive features of SkyWeave promote teamwork and give communities authority over their energy needs (Kashem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2020). In order to recognise the value of nature, strengthen communities, and advance a more equitable energy future, SkyWeave is seeking individuals, shareholders, along engineers to join them on this journey.</w:t>
      </w:r>
    </w:p>
    <w:p w:rsidR="00000000" w:rsidDel="00000000" w:rsidP="00000000" w:rsidRDefault="00000000" w:rsidRPr="00000000" w14:paraId="00000067">
      <w:pPr>
        <w:pStyle w:val="Heading2"/>
        <w:rPr/>
      </w:pPr>
      <w:bookmarkStart w:colFirst="0" w:colLast="0" w:name="_heading=h.26in1rg" w:id="15"/>
      <w:bookmarkEnd w:id="15"/>
      <w:r w:rsidDel="00000000" w:rsidR="00000000" w:rsidRPr="00000000">
        <w:rPr>
          <w:rtl w:val="0"/>
        </w:rPr>
        <w:t xml:space="preserve">Technology and Innovation</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Innovative, durable, and lightweight wind energy solutions that could be incorporated into urban settings are SkyWeave structures. These structures, which are modelled after spider silk, offer unparalleled effectiveness, resilience to corrosion, and little upkeep centres (Du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2019). They mix well with urban environments and are aesthetically beautiful as well. Because of its modular architecture, which makes it easy to scale, customise, and install, it may be used on a variety of roofs as well as balconies. Smart monitoring and control are made possible by the combination of artificial intelligence (AI) and integrated sensors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Kashem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Future applications are made possible by the noteworthy advancement in the creation of sustainable materials shown by the spider silk-inspired structure. These developments contribute to increased energy production, reduced costs, and more community involvement. About urban renewable energy solutions, SkyWeave sets a new standard.</w:t>
      </w:r>
    </w:p>
    <w:p w:rsidR="00000000" w:rsidDel="00000000" w:rsidP="00000000" w:rsidRDefault="00000000" w:rsidRPr="00000000" w14:paraId="00000069">
      <w:pPr>
        <w:pStyle w:val="Heading2"/>
        <w:rPr/>
      </w:pPr>
      <w:bookmarkStart w:colFirst="0" w:colLast="0" w:name="_heading=h.lnxbz9" w:id="16"/>
      <w:bookmarkEnd w:id="16"/>
      <w:r w:rsidDel="00000000" w:rsidR="00000000" w:rsidRPr="00000000">
        <w:rPr>
          <w:rtl w:val="0"/>
        </w:rPr>
        <w:t xml:space="preserve">Business Model</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groundwork for a robust and scalable business plan poised to revolutionise the clean energy industry is laid by SkyWeave's ground-breaking wind energy solutions, which are more than just technological marvels. Three key components support the strategy, strategic alliances, flexible lease options, and direct sales. Together, these components generate a variety of steady income streams over the long term.</w:t>
      </w:r>
    </w:p>
    <w:p w:rsidR="00000000" w:rsidDel="00000000" w:rsidP="00000000" w:rsidRDefault="00000000" w:rsidRPr="00000000" w14:paraId="0000006B">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240" w:before="24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Direct Sales:</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of the leading manufacturers of modular wind systems, SkyWeave, can make money through direct sales. It also can build lasting connections with customers by meeting their specific needs, both of which are critical factors in its success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Michoud and Hafner,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D">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240" w:before="24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Adaptable Leasing:</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SkyWeave offers adaptable wind system leasing options, reducing initial costs, expanding market penetration, and generating recurring revenue, setting it up for a significant market share in the renewable energy solutions sector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Haas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F">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240" w:before="24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Strategic Partnerships:</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main factor propelling SkyWeave's growth in the global smart building market is partnerships with the energy as well as construction sectors, which make it possible for its technology to be included in a range of building types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Metin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Additional revenue streams:</w:t>
      </w:r>
    </w:p>
    <w:p w:rsidR="00000000" w:rsidDel="00000000" w:rsidP="00000000" w:rsidRDefault="00000000" w:rsidRPr="00000000" w14:paraId="0000007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Data and Analytics: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Our smart wind systems gather essential energy data, which allows us to optimise client energy management, offer advisory services, and create new revenue streams through data analysis and insights.</w:t>
      </w:r>
    </w:p>
    <w:p w:rsidR="00000000" w:rsidDel="00000000" w:rsidP="00000000" w:rsidRDefault="00000000" w:rsidRPr="00000000" w14:paraId="0000007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Carbon Credits: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Since carbon pricing systems have gained popularity globally, SkyWeave may be able to make money through carbon credit trading programmes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Sánchez-Pantoja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Scalability and market potential are key strengths of SkyWeave's business model:</w:t>
      </w:r>
    </w:p>
    <w:p w:rsidR="00000000" w:rsidDel="00000000" w:rsidP="00000000" w:rsidRDefault="00000000" w:rsidRPr="00000000" w14:paraId="0000007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24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Modular Design:</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Our wind systems are flexible and scalable, allowing us to install them in a range of environments, from single-family homes to expansive projects, and to satisfy a wide range of demands.</w:t>
      </w:r>
    </w:p>
    <w:p w:rsidR="00000000" w:rsidDel="00000000" w:rsidP="00000000" w:rsidRDefault="00000000" w:rsidRPr="00000000" w14:paraId="00000077">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240" w:before="24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Global Reach:</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technology developed by SkyWeave, which can adapt to different climates and conditions, has the potential to open up a £2.7 trillion worldwide industry by 2027, therefore meeting the global need for renewable energy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Carré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9">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240" w:before="24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Growing Demand:</w:t>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SkyWeave is in a good position to profit from the rising demand for cutting-edge renewable energy solutions as concerns about energy security and climate change intensify.</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analysis suggests that revenues for SkyWeave might surpass £500,000 in the next two years, showing the company's great financial potential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Naval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Our scalable business strategy, solid industry ties, and the growing need for renewable energy are some of the factors driving this expected development. The goal of SkyWeave's business model is to weave a sustainable future, one thread at a time, rather than just generating money. We provide easily accessible, reasonably priced, and visually pleasing wind energy solutions that strengthen communities, reduce carbon footprints, and help create a cleaner planet.</w:t>
      </w:r>
    </w:p>
    <w:p w:rsidR="00000000" w:rsidDel="00000000" w:rsidP="00000000" w:rsidRDefault="00000000" w:rsidRPr="00000000" w14:paraId="0000007C">
      <w:pPr>
        <w:pStyle w:val="Heading2"/>
        <w:rPr/>
      </w:pPr>
      <w:bookmarkStart w:colFirst="0" w:colLast="0" w:name="_heading=h.35nkun2" w:id="17"/>
      <w:bookmarkEnd w:id="17"/>
      <w:r w:rsidDel="00000000" w:rsidR="00000000" w:rsidRPr="00000000">
        <w:rPr>
          <w:rtl w:val="0"/>
        </w:rPr>
        <w:t xml:space="preserve">Market Entry Strategy</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SkyWeave can use a combination of strategic alliances, focused media, and innovative marketing to establish a strong presence in the urban energy sector.</w:t>
      </w:r>
    </w:p>
    <w:p w:rsidR="00000000" w:rsidDel="00000000" w:rsidP="00000000" w:rsidRDefault="00000000" w:rsidRPr="00000000" w14:paraId="0000007E">
      <w:pPr>
        <w:pStyle w:val="Heading3"/>
        <w:rPr/>
      </w:pPr>
      <w:bookmarkStart w:colFirst="0" w:colLast="0" w:name="_heading=h.1ksv4uv" w:id="18"/>
      <w:bookmarkEnd w:id="18"/>
      <w:r w:rsidDel="00000000" w:rsidR="00000000" w:rsidRPr="00000000">
        <w:rPr>
          <w:rtl w:val="0"/>
        </w:rPr>
        <w:t xml:space="preserve">Distribution Channels</w:t>
      </w:r>
    </w:p>
    <w:p w:rsidR="00000000" w:rsidDel="00000000" w:rsidP="00000000" w:rsidRDefault="00000000" w:rsidRPr="00000000" w14:paraId="0000007F">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Direct-to-Consumer (D2C):</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Internet portal and experimental rooftop and balcony installations in cities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Sánchez-Pantoja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80">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Partnerships: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SkyWeave will be incorporated into both new and old buildings in coordination with developers, architects, and energy suppliers.</w:t>
      </w:r>
      <w:r w:rsidDel="00000000" w:rsidR="00000000" w:rsidRPr="00000000">
        <w:rPr>
          <w:rtl w:val="0"/>
        </w:rPr>
      </w:r>
    </w:p>
    <w:p w:rsidR="00000000" w:rsidDel="00000000" w:rsidP="00000000" w:rsidRDefault="00000000" w:rsidRPr="00000000" w14:paraId="00000081">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Community-driven Initiatives: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Constructing SkyWeave buildings in neglected areas while collaborating with neighbourhood associations and non-governmental groups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Carré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82">
      <w:pPr>
        <w:pStyle w:val="Heading3"/>
        <w:rPr/>
      </w:pPr>
      <w:bookmarkStart w:colFirst="0" w:colLast="0" w:name="_heading=h.44sinio" w:id="19"/>
      <w:bookmarkEnd w:id="19"/>
      <w:r w:rsidDel="00000000" w:rsidR="00000000" w:rsidRPr="00000000">
        <w:rPr>
          <w:rtl w:val="0"/>
        </w:rPr>
        <w:t xml:space="preserve">Strategic Partnerships</w:t>
      </w:r>
    </w:p>
    <w:p w:rsidR="00000000" w:rsidDel="00000000" w:rsidP="00000000" w:rsidRDefault="00000000" w:rsidRPr="00000000" w14:paraId="00000083">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Material Suppliers: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Working together with innovative material science companies to develop and enhance bio-composite materials.</w:t>
      </w:r>
    </w:p>
    <w:p w:rsidR="00000000" w:rsidDel="00000000" w:rsidP="00000000" w:rsidRDefault="00000000" w:rsidRPr="00000000" w14:paraId="00000084">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Technology Providers: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Working together with energy management and smart grid companies to incorporate SkyWeave into the current infrastructure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Naval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85">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Policy and Advocacy Groups: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Working together with legislators and environmental organisations to advance renewable energy sources.</w:t>
      </w:r>
    </w:p>
    <w:p w:rsidR="00000000" w:rsidDel="00000000" w:rsidP="00000000" w:rsidRDefault="00000000" w:rsidRPr="00000000" w14:paraId="00000086">
      <w:pPr>
        <w:pStyle w:val="Heading3"/>
        <w:rPr/>
      </w:pPr>
      <w:bookmarkStart w:colFirst="0" w:colLast="0" w:name="_heading=h.2jxsxqh" w:id="20"/>
      <w:bookmarkEnd w:id="20"/>
      <w:r w:rsidDel="00000000" w:rsidR="00000000" w:rsidRPr="00000000">
        <w:rPr>
          <w:rtl w:val="0"/>
        </w:rPr>
        <w:t xml:space="preserve">Marketing Strategies</w:t>
      </w:r>
    </w:p>
    <w:p w:rsidR="00000000" w:rsidDel="00000000" w:rsidP="00000000" w:rsidRDefault="00000000" w:rsidRPr="00000000" w14:paraId="0000008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Experiential Marketing: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Interactive displays as well as demonstration projects will individually engage potential clients.</w:t>
      </w:r>
    </w:p>
    <w:p w:rsidR="00000000" w:rsidDel="00000000" w:rsidP="00000000" w:rsidRDefault="00000000" w:rsidRPr="00000000" w14:paraId="0000008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Community Outreach: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Local events and training initiatives will promote ownership and confidence in SkyWeave technology.</w:t>
      </w:r>
    </w:p>
    <w:p w:rsidR="00000000" w:rsidDel="00000000" w:rsidP="00000000" w:rsidRDefault="00000000" w:rsidRPr="00000000" w14:paraId="00000089">
      <w:pPr>
        <w:pStyle w:val="Heading2"/>
        <w:rPr/>
      </w:pPr>
      <w:bookmarkStart w:colFirst="0" w:colLast="0" w:name="_heading=h.z337ya" w:id="21"/>
      <w:bookmarkEnd w:id="21"/>
      <w:r w:rsidDel="00000000" w:rsidR="00000000" w:rsidRPr="00000000">
        <w:rPr>
          <w:rtl w:val="0"/>
        </w:rPr>
        <w:t xml:space="preserve">Funding Requirements</w:t>
      </w:r>
    </w:p>
    <w:tbl>
      <w:tblPr>
        <w:tblStyle w:val="Table1"/>
        <w:tblW w:w="9026.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58"/>
        <w:gridCol w:w="2173"/>
        <w:gridCol w:w="4995"/>
        <w:tblGridChange w:id="0">
          <w:tblGrid>
            <w:gridCol w:w="1858"/>
            <w:gridCol w:w="2173"/>
            <w:gridCol w:w="4995"/>
          </w:tblGrid>
        </w:tblGridChange>
      </w:tblGrid>
      <w:tr>
        <w:trPr>
          <w:cantSplit w:val="0"/>
          <w:trHeight w:val="675" w:hRule="atLeast"/>
          <w:tblHeader w:val="0"/>
        </w:trPr>
        <w:tc>
          <w:tcPr>
            <w:tcBorders>
              <w:top w:color="cccccc" w:space="0" w:sz="5" w:val="single"/>
              <w:left w:color="cccccc" w:space="0" w:sz="5" w:val="single"/>
              <w:bottom w:color="cccccc" w:space="0" w:sz="5" w:val="single"/>
              <w:right w:color="cccccc" w:space="0" w:sz="5" w:val="single"/>
            </w:tcBorders>
            <w:shd w:fill="00ff00" w:val="clear"/>
            <w:tcMar>
              <w:top w:w="40.0" w:type="dxa"/>
              <w:left w:w="40.0" w:type="dxa"/>
              <w:bottom w:w="40.0" w:type="dxa"/>
              <w:right w:w="40.0" w:type="dxa"/>
            </w:tcMar>
            <w:vAlign w:val="center"/>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Funding Requirement</w:t>
            </w: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fff00" w:val="clear"/>
            <w:tcMar>
              <w:top w:w="40.0" w:type="dxa"/>
              <w:left w:w="40.0" w:type="dxa"/>
              <w:bottom w:w="40.0" w:type="dxa"/>
              <w:right w:w="40.0" w:type="dxa"/>
            </w:tcMar>
            <w:vAlign w:val="center"/>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Allocation Percentage</w:t>
            </w: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00ffff" w:val="clear"/>
            <w:tcMar>
              <w:top w:w="40.0" w:type="dxa"/>
              <w:left w:w="40.0" w:type="dxa"/>
              <w:bottom w:w="40.0" w:type="dxa"/>
              <w:right w:w="40.0" w:type="dxa"/>
            </w:tcMar>
            <w:vAlign w:val="center"/>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Description</w:t>
            </w:r>
            <w:r w:rsidDel="00000000" w:rsidR="00000000" w:rsidRPr="00000000">
              <w:rPr>
                <w:rtl w:val="0"/>
              </w:rPr>
            </w:r>
          </w:p>
        </w:tc>
      </w:tr>
      <w:tr>
        <w:trPr>
          <w:cantSplit w:val="0"/>
          <w:trHeight w:val="345" w:hRule="atLeast"/>
          <w:tblHeader w:val="0"/>
        </w:trPr>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Total Investment</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£ 10mn</w:t>
            </w: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Propels SkyWeave's revolutionary wind energy solution into urban landscapes.</w:t>
            </w:r>
          </w:p>
        </w:tc>
      </w:tr>
      <w:tr>
        <w:trPr>
          <w:cantSplit w:val="0"/>
          <w:trHeight w:val="315" w:hRule="atLeast"/>
          <w:tblHeader w:val="0"/>
        </w:trPr>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R&amp;D &amp; Technology Advancement</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45%</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Refines bio-inspired materials optimises wind capture efficiency and develops next-generation SkyWeave designs.</w:t>
            </w:r>
          </w:p>
        </w:tc>
      </w:tr>
      <w:tr>
        <w:trPr>
          <w:cantSplit w:val="0"/>
          <w:trHeight w:val="315" w:hRule="atLeast"/>
          <w:tblHeader w:val="0"/>
        </w:trPr>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Manufacturing &amp; Production</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35%</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Establishes efficient production lines, and secures partnerships for high-quality material sourcing.</w:t>
            </w:r>
          </w:p>
        </w:tc>
      </w:tr>
      <w:tr>
        <w:trPr>
          <w:cantSplit w:val="0"/>
          <w:trHeight w:val="315" w:hRule="atLeast"/>
          <w:tblHeader w:val="0"/>
        </w:trPr>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Market Entry &amp; Expansion</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20%</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Builds distribution channels, launches marketing campaigns, and secures initial installations in key cities.</w:t>
            </w:r>
          </w:p>
        </w:tc>
      </w:tr>
    </w:tbl>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Table 1: Funding Requirements and Allocation Forecast</w:t>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(Created by the Author)</w:t>
      </w:r>
    </w:p>
    <w:tbl>
      <w:tblPr>
        <w:tblStyle w:val="Table2"/>
        <w:tblW w:w="9026.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12"/>
        <w:gridCol w:w="7214"/>
        <w:tblGridChange w:id="0">
          <w:tblGrid>
            <w:gridCol w:w="1812"/>
            <w:gridCol w:w="7214"/>
          </w:tblGrid>
        </w:tblGridChange>
      </w:tblGrid>
      <w:tr>
        <w:trPr>
          <w:cantSplit w:val="0"/>
          <w:trHeight w:val="315" w:hRule="atLeast"/>
          <w:tblHeader w:val="0"/>
        </w:trPr>
        <w:tc>
          <w:tcPr>
            <w:tcBorders>
              <w:top w:color="cccccc" w:space="0" w:sz="5" w:val="single"/>
              <w:left w:color="cccccc" w:space="0" w:sz="5" w:val="single"/>
              <w:bottom w:color="cccccc" w:space="0" w:sz="5" w:val="single"/>
              <w:right w:color="cccccc" w:space="0" w:sz="5" w:val="single"/>
            </w:tcBorders>
            <w:shd w:fill="46bdc6" w:val="clear"/>
            <w:tcMar>
              <w:top w:w="40.0" w:type="dxa"/>
              <w:left w:w="40.0" w:type="dxa"/>
              <w:bottom w:w="40.0" w:type="dxa"/>
              <w:right w:w="40.0" w:type="dxa"/>
            </w:tcMar>
            <w:vAlign w:val="bottom"/>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Return on Investment (ROI)</w:t>
            </w: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bbc04" w:val="clear"/>
            <w:tcMar>
              <w:top w:w="40.0" w:type="dxa"/>
              <w:left w:w="40.0" w:type="dxa"/>
              <w:bottom w:w="40.0" w:type="dxa"/>
              <w:right w:w="40.0" w:type="dxa"/>
            </w:tcMar>
            <w:vAlign w:val="bottom"/>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Key Drivers</w:t>
            </w:r>
            <w:r w:rsidDel="00000000" w:rsidR="00000000" w:rsidRPr="00000000">
              <w:rPr>
                <w:rtl w:val="0"/>
              </w:rPr>
            </w:r>
          </w:p>
        </w:tc>
      </w:tr>
      <w:tr>
        <w:trPr>
          <w:cantSplit w:val="0"/>
          <w:trHeight w:val="315" w:hRule="atLeast"/>
          <w:tblHeader w:val="0"/>
        </w:trPr>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Growing Market</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bookmarkStart w:colFirst="0" w:colLast="0" w:name="_heading=h.3j2qqm3" w:id="22"/>
            <w:bookmarkEnd w:id="22"/>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Urban renewable energy market reaching £2.7 trillion by 2027 (Statista, 2023).</w:t>
            </w:r>
          </w:p>
        </w:tc>
      </w:tr>
      <w:tr>
        <w:trPr>
          <w:cantSplit w:val="0"/>
          <w:trHeight w:val="315" w:hRule="atLeast"/>
          <w:tblHeader w:val="0"/>
        </w:trPr>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Premium Pricing</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Unique technology and aesthetic appeal command premium pricing, ensuring healthy margins.</w:t>
            </w:r>
          </w:p>
        </w:tc>
      </w:tr>
      <w:tr>
        <w:trPr>
          <w:cantSplit w:val="0"/>
          <w:trHeight w:val="315" w:hRule="atLeast"/>
          <w:tblHeader w:val="0"/>
        </w:trPr>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Carbon Credits &amp; Incentives</w:t>
            </w:r>
          </w:p>
        </w:tc>
        <w:tc>
          <w:tcPr>
            <w:tcBorders>
              <w:top w:color="cccccc" w:space="0" w:sz="5" w:val="single"/>
              <w:left w:color="cccccc" w:space="0" w:sz="5" w:val="single"/>
              <w:bottom w:color="cccccc" w:space="0" w:sz="5" w:val="single"/>
              <w:right w:color="000000" w:space="0" w:sz="5" w:val="single"/>
            </w:tcBorders>
            <w:tcMar>
              <w:top w:w="40.0" w:type="dxa"/>
              <w:left w:w="0.0" w:type="dxa"/>
              <w:bottom w:w="40.0" w:type="dxa"/>
              <w:right w:w="0.0" w:type="dxa"/>
            </w:tcMar>
            <w:vAlign w:val="bottom"/>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SkyWeave helps companies and communities achieve carbon reduction goals, unlocking valuable carbon credits and government incentives.</w:t>
            </w:r>
          </w:p>
        </w:tc>
      </w:tr>
      <w:tr>
        <w:trPr>
          <w:cantSplit w:val="0"/>
          <w:trHeight w:val="315" w:hRule="atLeast"/>
          <w:tblHeader w:val="0"/>
        </w:trPr>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Strong Exit Strategy</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Envisioned future acquisition by a major energy company or successful IPO, generating significant returns for investors.</w:t>
            </w:r>
          </w:p>
        </w:tc>
      </w:tr>
    </w:tbl>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Table 2: Projected ROI</w:t>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(Created by the Author)</w:t>
      </w:r>
      <w:r w:rsidDel="00000000" w:rsidR="00000000" w:rsidRPr="00000000">
        <w:rPr>
          <w:rtl w:val="0"/>
        </w:rPr>
      </w:r>
    </w:p>
    <w:p w:rsidR="00000000" w:rsidDel="00000000" w:rsidP="00000000" w:rsidRDefault="00000000" w:rsidRPr="00000000" w14:paraId="000000A7">
      <w:pPr>
        <w:pStyle w:val="Heading2"/>
        <w:rPr/>
      </w:pPr>
      <w:bookmarkStart w:colFirst="0" w:colLast="0" w:name="_heading=h.1y810tw" w:id="23"/>
      <w:bookmarkEnd w:id="23"/>
      <w:r w:rsidDel="00000000" w:rsidR="00000000" w:rsidRPr="00000000">
        <w:rPr>
          <w:rtl w:val="0"/>
        </w:rPr>
        <w:t xml:space="preserve">Risks and Mitigation Strategies </w:t>
      </w:r>
    </w:p>
    <w:tbl>
      <w:tblPr>
        <w:tblStyle w:val="Table3"/>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
        <w:gridCol w:w="4515"/>
        <w:tblGridChange w:id="0">
          <w:tblGrid>
            <w:gridCol w:w="4514"/>
            <w:gridCol w:w="4515"/>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Risk</w:t>
            </w:r>
          </w:p>
        </w:tc>
        <w:tc>
          <w:tcPr>
            <w:shd w:fill="auto" w:val="clear"/>
            <w:tcMar>
              <w:top w:w="100.0" w:type="dxa"/>
              <w:left w:w="100.0" w:type="dxa"/>
              <w:bottom w:w="100.0" w:type="dxa"/>
              <w:right w:w="100.0" w:type="dxa"/>
            </w:tcMar>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Mitigation Strategy</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High Initial Costs</w:t>
            </w:r>
          </w:p>
        </w:tc>
        <w:tc>
          <w:tcPr>
            <w:shd w:fill="auto" w:val="clear"/>
            <w:tcMar>
              <w:top w:w="100.0" w:type="dxa"/>
              <w:left w:w="100.0" w:type="dxa"/>
              <w:bottom w:w="100.0" w:type="dxa"/>
              <w:right w:w="100.0" w:type="dxa"/>
            </w:tcMar>
          </w:tcPr>
          <w:p w:rsidR="00000000" w:rsidDel="00000000" w:rsidP="00000000" w:rsidRDefault="00000000" w:rsidRPr="00000000" w14:paraId="000000AB">
            <w:pPr>
              <w:keepNext w:val="0"/>
              <w:keepLines w:val="0"/>
              <w:pageBreakBefore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Offer financing options and trial initiatives to entice early adopters and prove cost-effectiveness.</w:t>
            </w:r>
          </w:p>
          <w:p w:rsidR="00000000" w:rsidDel="00000000" w:rsidP="00000000" w:rsidRDefault="00000000" w:rsidRPr="00000000" w14:paraId="000000AC">
            <w:pPr>
              <w:keepNext w:val="0"/>
              <w:keepLines w:val="0"/>
              <w:pageBreakBefore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Work together with energy suppliers and construction contractors to split installation costs and take advantage of economies of scale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Kashem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Regulatory Challenges</w:t>
            </w:r>
          </w:p>
        </w:tc>
        <w:tc>
          <w:tcPr>
            <w:shd w:fill="auto" w:val="clear"/>
            <w:tcMar>
              <w:top w:w="100.0" w:type="dxa"/>
              <w:left w:w="100.0" w:type="dxa"/>
              <w:bottom w:w="100.0" w:type="dxa"/>
              <w:right w:w="100.0" w:type="dxa"/>
            </w:tcMar>
          </w:tcPr>
          <w:p w:rsidR="00000000" w:rsidDel="00000000" w:rsidP="00000000" w:rsidRDefault="00000000" w:rsidRPr="00000000" w14:paraId="000000AE">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Involve legislators and authorities ahead of time to ensure adherence and provide precise guidelines for the integration of wind energy in cities.</w:t>
            </w:r>
          </w:p>
          <w:p w:rsidR="00000000" w:rsidDel="00000000" w:rsidP="00000000" w:rsidRDefault="00000000" w:rsidRPr="00000000" w14:paraId="000000AF">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Work together with the local government and community to address issues and demonstrate SkyWeave's benefits to the city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Michoud and Hafner,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Public Perception</w:t>
            </w:r>
          </w:p>
        </w:tc>
        <w:tc>
          <w:tcPr>
            <w:shd w:fill="auto" w:val="clear"/>
            <w:tcMar>
              <w:top w:w="100.0" w:type="dxa"/>
              <w:left w:w="100.0" w:type="dxa"/>
              <w:bottom w:w="100.0" w:type="dxa"/>
              <w:right w:w="100.0" w:type="dxa"/>
            </w:tcMar>
          </w:tcPr>
          <w:p w:rsidR="00000000" w:rsidDel="00000000" w:rsidP="00000000" w:rsidRDefault="00000000" w:rsidRPr="00000000" w14:paraId="000000B1">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Invest in knowledge and honest communication with money. Show off SkyWeave's pleasing appearance, effective noise reduction, and positive environmental impact.</w:t>
            </w:r>
          </w:p>
          <w:p w:rsidR="00000000" w:rsidDel="00000000" w:rsidP="00000000" w:rsidRDefault="00000000" w:rsidRPr="00000000" w14:paraId="000000B2">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Building ownership and trust can be facilitated via educational seminars and participatory installation projects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Haas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Technology Dependence</w:t>
            </w:r>
          </w:p>
        </w:tc>
        <w:tc>
          <w:tcPr>
            <w:shd w:fill="auto" w:val="clear"/>
            <w:tcMar>
              <w:top w:w="100.0" w:type="dxa"/>
              <w:left w:w="100.0" w:type="dxa"/>
              <w:bottom w:w="100.0" w:type="dxa"/>
              <w:right w:w="100.0" w:type="dxa"/>
            </w:tcMar>
          </w:tcPr>
          <w:p w:rsidR="00000000" w:rsidDel="00000000" w:rsidP="00000000" w:rsidRDefault="00000000" w:rsidRPr="00000000" w14:paraId="000000B4">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Invest funds in ongoing research and development to enhance performance and materials. Establish a network of trustworthy partners and suppliers to ensure material availability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Metin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B5">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integrate complementary technologies and enhance SkyWeave's capabilities, keep exploring collaboration with other clean technology companies.</w:t>
            </w:r>
          </w:p>
        </w:tc>
      </w:tr>
    </w:tbl>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Table 3: Risk and Risk Mitigation Strategies</w:t>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(Created by the Author)</w:t>
      </w:r>
    </w:p>
    <w:p w:rsidR="00000000" w:rsidDel="00000000" w:rsidP="00000000" w:rsidRDefault="00000000" w:rsidRPr="00000000" w14:paraId="000000B8">
      <w:pPr>
        <w:pStyle w:val="Heading2"/>
        <w:rPr/>
      </w:pPr>
      <w:bookmarkStart w:colFirst="0" w:colLast="0" w:name="_heading=h.4i7ojhp" w:id="24"/>
      <w:bookmarkEnd w:id="24"/>
      <w:r w:rsidDel="00000000" w:rsidR="00000000" w:rsidRPr="00000000">
        <w:rPr>
          <w:rtl w:val="0"/>
        </w:rPr>
        <w:t xml:space="preserve">Conclusion and Call to Action</w:t>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Modern wind technology from SkyWeave dismantles boundaries and celebrates beauty. The company's biomimetic design, which took inspiration from spider silk, maximises energy gathering while minimising visual impact. The foundation of SkyWeave's business strategy is accessibility through direct sales, adaptable leasing options, and strategic partnerships. The company sees a time when towns will be able to capture wind energy to promote environmental stewardship and energy independence. This state-of-the-art wind technology is changing cityscapes and rooftops.</w:t>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Call to Action</w:t>
      </w:r>
    </w:p>
    <w:p w:rsidR="00000000" w:rsidDel="00000000" w:rsidP="00000000" w:rsidRDefault="00000000" w:rsidRPr="00000000" w14:paraId="000000B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Unfurl the wind's potential: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Create creative solutions that elegantly and adaptably harness the power of nature.</w:t>
      </w:r>
    </w:p>
    <w:p w:rsidR="00000000" w:rsidDel="00000000" w:rsidP="00000000" w:rsidRDefault="00000000" w:rsidRPr="00000000" w14:paraId="000000B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Empower communities: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Make inexpensive, accessible sustainable energy a source of pride for every window and every rooftop.</w:t>
      </w:r>
    </w:p>
    <w:p w:rsidR="00000000" w:rsidDel="00000000" w:rsidP="00000000" w:rsidRDefault="00000000" w:rsidRPr="00000000" w14:paraId="000000B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Reimagine the cityscape: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Convert our cityscapes into colourful sustainable living tapestries where wind energy blends with architecture.</w:t>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SkyWeave is an intricate web of concepts, alliances, and teamwork to build a future propelled by creativity, community, and the wind's promise. Our goal is to make sustainable energy a necessity in our daily lives. </w:t>
      </w:r>
    </w:p>
    <w:p w:rsidR="00000000" w:rsidDel="00000000" w:rsidP="00000000" w:rsidRDefault="00000000" w:rsidRPr="00000000" w14:paraId="000000BF">
      <w:pPr>
        <w:rPr/>
      </w:pPr>
      <w:r w:rsidDel="00000000" w:rsidR="00000000" w:rsidRPr="00000000">
        <w:br w:type="page"/>
      </w:r>
      <w:r w:rsidDel="00000000" w:rsidR="00000000" w:rsidRPr="00000000">
        <w:rPr>
          <w:rtl w:val="0"/>
        </w:rPr>
      </w:r>
    </w:p>
    <w:p w:rsidR="00000000" w:rsidDel="00000000" w:rsidP="00000000" w:rsidRDefault="00000000" w:rsidRPr="00000000" w14:paraId="000000C0">
      <w:pPr>
        <w:pStyle w:val="Heading1"/>
        <w:rPr/>
      </w:pPr>
      <w:bookmarkStart w:colFirst="0" w:colLast="0" w:name="_heading=h.2xcytpi" w:id="25"/>
      <w:bookmarkEnd w:id="25"/>
      <w:r w:rsidDel="00000000" w:rsidR="00000000" w:rsidRPr="00000000">
        <w:rPr>
          <w:rtl w:val="0"/>
        </w:rPr>
        <w:t xml:space="preserve">References</w:t>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Alotaibi, D.M., Akrami, M., Dibaj, M. and Javadi, A.A., 2019. Smart energy solution for an optimised sustainable hospital in the green city of NEOM.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Sustainable Energy Technologies and Assessments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35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pp.32-40.</w:t>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Butler, A. and Wärnbäck, A., 2019. Landscape and wind energy.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Swedish University of Agricultural Sciences: Uppsala, Sweden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Carré, A., Gasnier, P., Roux, É. and Tabourot, L., 2022. Extending the operating limits and performances of centimetre-scale wind turbines through biomimicry.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Applied Energy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326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p.119996.</w:t>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 H., Huang, P. and Jones, P., 2019. Modular facade retrofit with renewable energy technologies: The definition and current status in Europe.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Energy and Buildings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205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p.109543.</w:t>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Haas, R., Ajanovic, A., Ramsebner, J., Perger, T., Knápek, J. and Bleyl, J.W., 2021. Financing the future infrastructure of sustainable energy systems.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Green Financ</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pp.90-118.</w:t>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Kashem, S.B.A., Chowdhury, M.E., Khandakar, A., Ahmed, J., Ashraf, A. and Shabrin, N., 2020. Wind power integration with smart grid and storage system: Prospects and limitations.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Advanced Computer Science &amp; Applications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Metin, U.Z.U.N., Özdemir, M., YILDIRIM, Ç.V. and Çoban, S., 2022. A novel biomimetic wing design and optimizing aerodynamic performance.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Aviation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pp.12-25.</w:t>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Michoud, B. and Hafner, M.,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Financing clean energy access in sub-Saharan Africa: Risk mitigation strategies and innovative financing structures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 197). Springer Nature.</w:t>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Mintel</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UK Renewable Energy Market Report - Market Forecast &amp; Growth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Mintel Store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https://store.mintel.com/report/uk-renewable-energy-market-report (Accessed: 21 December 2023).</w:t>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Naval, N., Sánchez, R. and Yusta, J.M., 2020. A virtual power plant optimal dispatch model with large and small-scale distributed renewable generation.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Renewable Energy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151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pp.57-69.</w:t>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Sánchez-Pantoja, N., Vidal, R. and Pastor, M.C., 2021. EU-funded projects with actual implementation of renewable energies in cities. Analysis of their concern for aesthetic impact.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Energies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p.1627.</w:t>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Statista.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Topic: Renewable energy industry worldwide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Statista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https://www.statista.com/topics/2608/global-renewable-energy-industry/#topicOverview (Accessed: 21 December 2023).</w:t>
      </w:r>
      <w:r w:rsidDel="00000000" w:rsidR="00000000" w:rsidRPr="00000000">
        <w:rPr>
          <w:rtl w:val="0"/>
        </w:rPr>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Worighi, I., Maach, A., Hafid, A., Hegazy, O. and Van Mierlo, J., 2019. Integrating renewable energy in smart grid system: Architecture, virtualization and analysis.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Sustainable Energy, Grids and Networks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p.100226.</w:t>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Zakaria, A., Ismail, F.B., Lipu, M.H. and Hannan, M.A., 2020. Uncertainty models for stochastic optimization in renewable energy applications.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Renewable Energy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145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pp.1543-1571.</w:t>
      </w:r>
    </w:p>
    <w:sectPr>
      <w:footerReference r:id="rId23"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360" w:lineRule="auto"/>
      <w:ind w:left="0" w:right="0" w:firstLine="0"/>
      <w:jc w:val="both"/>
    </w:pPr>
    <w:rPr>
      <w:rFonts w:ascii="Times New Roman" w:cs="Times New Roman" w:eastAsia="Times New Roman" w:hAnsi="Times New Roman"/>
      <w:b w:val="1"/>
      <w:i w:val="1"/>
      <w:smallCaps w:val="0"/>
      <w:strike w:val="0"/>
      <w:color w:val="000000"/>
      <w:sz w:val="26"/>
      <w:szCs w:val="26"/>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360" w:lineRule="auto"/>
      <w:ind w:left="0" w:right="0" w:firstLine="0"/>
      <w:jc w:val="both"/>
    </w:pPr>
    <w:rPr>
      <w:rFonts w:ascii="Times New Roman" w:cs="Times New Roman" w:eastAsia="Times New Roman" w:hAnsi="Times New Roman"/>
      <w:b w:val="0"/>
      <w:i w:val="1"/>
      <w:smallCaps w:val="0"/>
      <w:strike w:val="0"/>
      <w:color w:val="000000"/>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360" w:lineRule="auto"/>
      <w:ind w:left="0" w:right="0" w:firstLine="0"/>
      <w:jc w:val="both"/>
    </w:pPr>
    <w:rPr>
      <w:rFonts w:ascii="Times New Roman" w:cs="Times New Roman" w:eastAsia="Times New Roman" w:hAnsi="Times New Roman"/>
      <w:b w:val="1"/>
      <w:i w:val="0"/>
      <w:smallCaps w:val="0"/>
      <w:strike w:val="0"/>
      <w:color w:val="000000"/>
      <w:sz w:val="32"/>
      <w:szCs w:val="3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360" w:lineRule="auto"/>
      <w:ind w:left="0" w:right="0" w:firstLine="0"/>
      <w:jc w:val="both"/>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4.png"/><Relationship Id="rId11" Type="http://schemas.openxmlformats.org/officeDocument/2006/relationships/image" Target="media/image6.png"/><Relationship Id="rId22" Type="http://schemas.openxmlformats.org/officeDocument/2006/relationships/image" Target="media/image16.png"/><Relationship Id="rId10" Type="http://schemas.openxmlformats.org/officeDocument/2006/relationships/image" Target="media/image3.png"/><Relationship Id="rId21" Type="http://schemas.openxmlformats.org/officeDocument/2006/relationships/image" Target="media/image13.png"/><Relationship Id="rId13" Type="http://schemas.openxmlformats.org/officeDocument/2006/relationships/image" Target="media/image15.png"/><Relationship Id="rId12" Type="http://schemas.openxmlformats.org/officeDocument/2006/relationships/image" Target="media/image12.png"/><Relationship Id="rId23"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image" Target="media/image10.png"/><Relationship Id="rId14" Type="http://schemas.openxmlformats.org/officeDocument/2006/relationships/image" Target="media/image11.png"/><Relationship Id="rId17" Type="http://schemas.openxmlformats.org/officeDocument/2006/relationships/image" Target="media/image2.png"/><Relationship Id="rId16" Type="http://schemas.openxmlformats.org/officeDocument/2006/relationships/image" Target="media/image9.png"/><Relationship Id="rId5" Type="http://schemas.openxmlformats.org/officeDocument/2006/relationships/styles" Target="styles.xml"/><Relationship Id="rId19" Type="http://schemas.openxmlformats.org/officeDocument/2006/relationships/image" Target="media/image7.png"/><Relationship Id="rId6" Type="http://schemas.openxmlformats.org/officeDocument/2006/relationships/customXml" Target="../customXML/item1.xml"/><Relationship Id="rId18" Type="http://schemas.openxmlformats.org/officeDocument/2006/relationships/image" Target="media/image5.png"/><Relationship Id="rId7" Type="http://schemas.openxmlformats.org/officeDocument/2006/relationships/image" Target="media/image1.png"/><Relationship Id="rId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eeudFaB1I43mgN3MBWrGpVFFVw==">CgMxLjAyDmguMjNxazg4NHlxNW9jMg5oLmVtZGZpc3F0ZXphZTIOaC43dTY1bHQ3emdqazAyDmguZXNlMGRjOW5leWZ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4AHIhMThkYkU2R0VJSmdhRHlWazk5LWtMdWxrVlF2WW5TNXF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040baf0e160aa171a80c0a93c993d1d486daade99511f7e9a75569ff17b60196</vt:lpwstr>
  </property>
</Properties>
</file>