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D3DCE02" w14:textId="77777777" w:rsidR="004B1505" w:rsidRPr="00805244" w:rsidRDefault="004B1505">
      <w:pPr>
        <w:jc w:val="center"/>
        <w:rPr>
          <w:b/>
          <w:bCs/>
          <w:color w:val="auto"/>
          <w:sz w:val="32"/>
          <w:szCs w:val="32"/>
        </w:rPr>
      </w:pPr>
    </w:p>
    <w:p w14:paraId="61BDFCC7" w14:textId="77777777" w:rsidR="00FD40AC" w:rsidRPr="00805244" w:rsidRDefault="00FD40AC">
      <w:pPr>
        <w:jc w:val="center"/>
        <w:rPr>
          <w:b/>
          <w:bCs/>
          <w:color w:val="auto"/>
          <w:sz w:val="32"/>
          <w:szCs w:val="32"/>
        </w:rPr>
      </w:pPr>
    </w:p>
    <w:p w14:paraId="1714CBF1" w14:textId="77777777" w:rsidR="0024372E" w:rsidRPr="00805244" w:rsidRDefault="0024372E">
      <w:pPr>
        <w:jc w:val="center"/>
        <w:rPr>
          <w:b/>
          <w:bCs/>
          <w:color w:val="auto"/>
          <w:sz w:val="32"/>
          <w:szCs w:val="32"/>
        </w:rPr>
      </w:pPr>
    </w:p>
    <w:p w14:paraId="13E08C48" w14:textId="77777777" w:rsidR="004B1505" w:rsidRPr="00805244" w:rsidRDefault="004B1505">
      <w:pPr>
        <w:jc w:val="center"/>
        <w:rPr>
          <w:b/>
          <w:bCs/>
          <w:color w:val="auto"/>
          <w:sz w:val="32"/>
          <w:szCs w:val="32"/>
        </w:rPr>
      </w:pPr>
    </w:p>
    <w:p w14:paraId="287274AF" w14:textId="77777777" w:rsidR="005531EA" w:rsidRPr="00805244" w:rsidRDefault="001C7B57">
      <w:pPr>
        <w:jc w:val="center"/>
        <w:rPr>
          <w:b/>
          <w:bCs/>
          <w:color w:val="auto"/>
          <w:sz w:val="32"/>
          <w:szCs w:val="32"/>
        </w:rPr>
      </w:pPr>
      <w:r w:rsidRPr="00805244">
        <w:rPr>
          <w:b/>
          <w:bCs/>
          <w:color w:val="auto"/>
          <w:sz w:val="32"/>
          <w:szCs w:val="32"/>
        </w:rPr>
        <w:t>The role of AI tools in improving consumer trust and brand competitiveness in the UK healthcare services industry</w:t>
      </w:r>
    </w:p>
    <w:p w14:paraId="49F31ED6" w14:textId="1199531C" w:rsidR="003D2B72" w:rsidRPr="00805244" w:rsidRDefault="003D2B72">
      <w:pPr>
        <w:jc w:val="center"/>
        <w:rPr>
          <w:b/>
          <w:bCs/>
          <w:color w:val="auto"/>
        </w:rPr>
      </w:pPr>
      <w:r w:rsidRPr="00805244">
        <w:rPr>
          <w:b/>
          <w:bCs/>
          <w:color w:val="auto"/>
        </w:rPr>
        <w:t>Student Name:</w:t>
      </w:r>
      <w:r w:rsidR="00C71781" w:rsidRPr="00805244">
        <w:rPr>
          <w:b/>
          <w:bCs/>
          <w:color w:val="auto"/>
        </w:rPr>
        <w:t xml:space="preserve"> Venkata dharma reddy madana</w:t>
      </w:r>
    </w:p>
    <w:p w14:paraId="0EF2D99A" w14:textId="262DC3B1" w:rsidR="003D2B72" w:rsidRPr="00805244" w:rsidRDefault="003D2B72">
      <w:pPr>
        <w:jc w:val="center"/>
        <w:rPr>
          <w:b/>
          <w:bCs/>
          <w:color w:val="auto"/>
        </w:rPr>
      </w:pPr>
      <w:r w:rsidRPr="00805244">
        <w:rPr>
          <w:b/>
          <w:bCs/>
          <w:color w:val="auto"/>
        </w:rPr>
        <w:t xml:space="preserve">Student ID: </w:t>
      </w:r>
      <w:r w:rsidR="00C71781" w:rsidRPr="00805244">
        <w:rPr>
          <w:b/>
          <w:bCs/>
          <w:color w:val="auto"/>
        </w:rPr>
        <w:t>2507011</w:t>
      </w:r>
    </w:p>
    <w:p w14:paraId="1592A4F7" w14:textId="77777777" w:rsidR="00E54390" w:rsidRPr="00805244" w:rsidRDefault="00E54390">
      <w:pPr>
        <w:jc w:val="center"/>
        <w:rPr>
          <w:b/>
          <w:bCs/>
          <w:color w:val="auto"/>
        </w:rPr>
      </w:pPr>
      <w:r w:rsidRPr="00805244">
        <w:rPr>
          <w:b/>
          <w:bCs/>
          <w:color w:val="auto"/>
        </w:rPr>
        <w:t>Module Code:</w:t>
      </w:r>
      <w:r w:rsidR="001960E7" w:rsidRPr="00805244">
        <w:rPr>
          <w:b/>
          <w:bCs/>
          <w:color w:val="auto"/>
        </w:rPr>
        <w:t xml:space="preserve"> </w:t>
      </w:r>
      <w:r w:rsidR="001960E7" w:rsidRPr="00805244">
        <w:rPr>
          <w:color w:val="auto"/>
        </w:rPr>
        <w:t>BMMB7003</w:t>
      </w:r>
    </w:p>
    <w:p w14:paraId="35CF5E2A" w14:textId="77777777" w:rsidR="00E54390" w:rsidRPr="00805244" w:rsidRDefault="00E54390">
      <w:pPr>
        <w:jc w:val="center"/>
        <w:rPr>
          <w:b/>
          <w:bCs/>
          <w:color w:val="auto"/>
        </w:rPr>
      </w:pPr>
      <w:r w:rsidRPr="00805244">
        <w:rPr>
          <w:b/>
          <w:bCs/>
          <w:color w:val="auto"/>
        </w:rPr>
        <w:t>Module Name:</w:t>
      </w:r>
      <w:r w:rsidR="001960E7" w:rsidRPr="00805244">
        <w:rPr>
          <w:b/>
          <w:bCs/>
          <w:color w:val="auto"/>
        </w:rPr>
        <w:t xml:space="preserve"> </w:t>
      </w:r>
      <w:r w:rsidR="001960E7" w:rsidRPr="00805244">
        <w:rPr>
          <w:color w:val="auto"/>
        </w:rPr>
        <w:t>Dissertation</w:t>
      </w:r>
    </w:p>
    <w:p w14:paraId="6F5C4134" w14:textId="77777777" w:rsidR="003D2B72" w:rsidRPr="00805244" w:rsidRDefault="003D2B72">
      <w:pPr>
        <w:jc w:val="center"/>
        <w:rPr>
          <w:b/>
          <w:bCs/>
          <w:color w:val="auto"/>
        </w:rPr>
      </w:pPr>
      <w:r w:rsidRPr="00805244">
        <w:rPr>
          <w:b/>
          <w:bCs/>
          <w:color w:val="auto"/>
        </w:rPr>
        <w:t xml:space="preserve">Name of University: </w:t>
      </w:r>
      <w:r w:rsidR="001960E7" w:rsidRPr="00805244">
        <w:rPr>
          <w:color w:val="auto"/>
        </w:rPr>
        <w:t>University of Wales Trinity Saint David (UWTSD)</w:t>
      </w:r>
    </w:p>
    <w:p w14:paraId="413E60D3" w14:textId="77777777" w:rsidR="003D2B72" w:rsidRPr="00805244" w:rsidRDefault="003D2B72">
      <w:pPr>
        <w:jc w:val="center"/>
        <w:rPr>
          <w:color w:val="auto"/>
        </w:rPr>
      </w:pPr>
      <w:r w:rsidRPr="00805244">
        <w:rPr>
          <w:b/>
          <w:bCs/>
          <w:color w:val="auto"/>
        </w:rPr>
        <w:t xml:space="preserve">Year of Submission: </w:t>
      </w:r>
      <w:r w:rsidR="001960E7" w:rsidRPr="00805244">
        <w:rPr>
          <w:color w:val="auto"/>
        </w:rPr>
        <w:t>2026</w:t>
      </w:r>
    </w:p>
    <w:p w14:paraId="11155F17" w14:textId="77777777" w:rsidR="00C028FD" w:rsidRPr="00805244" w:rsidRDefault="00C028FD">
      <w:pPr>
        <w:spacing w:line="360" w:lineRule="auto"/>
        <w:rPr>
          <w:color w:val="auto"/>
        </w:rPr>
      </w:pPr>
      <w:r w:rsidRPr="00805244">
        <w:rPr>
          <w:color w:val="auto"/>
        </w:rPr>
        <w:br w:type="page"/>
      </w:r>
    </w:p>
    <w:p w14:paraId="7BEDA010" w14:textId="77777777" w:rsidR="001D3507" w:rsidRPr="00805244" w:rsidRDefault="00C028FD" w:rsidP="001D3507">
      <w:pPr>
        <w:jc w:val="center"/>
        <w:rPr>
          <w:b/>
          <w:bCs/>
          <w:color w:val="auto"/>
          <w:sz w:val="28"/>
          <w:szCs w:val="28"/>
        </w:rPr>
      </w:pPr>
      <w:r w:rsidRPr="00805244">
        <w:rPr>
          <w:b/>
          <w:bCs/>
          <w:color w:val="auto"/>
          <w:sz w:val="28"/>
          <w:szCs w:val="28"/>
        </w:rPr>
        <w:lastRenderedPageBreak/>
        <w:t>Abstract</w:t>
      </w:r>
    </w:p>
    <w:p w14:paraId="6622742E" w14:textId="77777777" w:rsidR="001D3507" w:rsidRPr="00805244" w:rsidRDefault="001D3507" w:rsidP="00083633">
      <w:pPr>
        <w:rPr>
          <w:color w:val="auto"/>
        </w:rPr>
      </w:pPr>
      <w:r w:rsidRPr="00805244">
        <w:rPr>
          <w:b/>
          <w:bCs/>
          <w:i/>
          <w:iCs/>
          <w:color w:val="auto"/>
        </w:rPr>
        <w:t>Research Question and Purpose:</w:t>
      </w:r>
      <w:r w:rsidRPr="00805244">
        <w:rPr>
          <w:color w:val="auto"/>
        </w:rPr>
        <w:t xml:space="preserve"> The dissertation discussed the relationship between consumer perceptions of AI-based healthcare services, consumer trust and perceived brand competitiveness in the UK healthcare services industry. The analysis has been carried out due to the fact that existing literature tends to view AI adoption, consumer trust, service quality and brand results independently. UK-based evidence played a crucial role in linking these pillars in a single consumer-related construct.</w:t>
      </w:r>
    </w:p>
    <w:p w14:paraId="52CFF7FB" w14:textId="77777777" w:rsidR="001D3507" w:rsidRPr="00805244" w:rsidRDefault="001D3507" w:rsidP="00083633">
      <w:pPr>
        <w:rPr>
          <w:color w:val="auto"/>
        </w:rPr>
      </w:pPr>
      <w:r w:rsidRPr="00805244">
        <w:rPr>
          <w:b/>
          <w:bCs/>
          <w:i/>
          <w:iCs/>
          <w:color w:val="auto"/>
        </w:rPr>
        <w:t>Methods:</w:t>
      </w:r>
      <w:r w:rsidRPr="00805244">
        <w:rPr>
          <w:color w:val="auto"/>
        </w:rPr>
        <w:t xml:space="preserve"> The deductive and quantitative approach, which is positivist, was based on a cross-sectional questionnaire survey of 170 UK healthcare service adult users. SPSS was used to analyse data through descriptive statistics, reliability and validity tests, Pearson correlation and regression analysis. </w:t>
      </w:r>
    </w:p>
    <w:p w14:paraId="0F6927E9" w14:textId="77777777" w:rsidR="001D3507" w:rsidRPr="00805244" w:rsidRDefault="001D3507" w:rsidP="00083633">
      <w:pPr>
        <w:rPr>
          <w:color w:val="auto"/>
        </w:rPr>
      </w:pPr>
      <w:r w:rsidRPr="00805244">
        <w:rPr>
          <w:b/>
          <w:bCs/>
          <w:i/>
          <w:iCs/>
          <w:color w:val="auto"/>
        </w:rPr>
        <w:t>Summary of Findings:</w:t>
      </w:r>
      <w:r w:rsidRPr="00805244">
        <w:rPr>
          <w:color w:val="auto"/>
        </w:rPr>
        <w:t xml:space="preserve"> The results presented positive attitudes towards AI-enhanced healthcare provision with a mean of the AI perceptions of 3.9824 and consumer trust of 4.0024. All four hypotheses were supported, with significant positive associations between AI tools and consumer trust, brand reputation and image, loyalty, and brand competitiveness. The simple regression models with AI tools accounted for 65.8% and 57.2% of the variance in consumer trust and brand competitiveness, respectively.</w:t>
      </w:r>
    </w:p>
    <w:p w14:paraId="502CD34F" w14:textId="77777777" w:rsidR="001D3507" w:rsidRPr="00805244" w:rsidRDefault="00083633" w:rsidP="00083633">
      <w:pPr>
        <w:rPr>
          <w:color w:val="auto"/>
        </w:rPr>
      </w:pPr>
      <w:r w:rsidRPr="00805244">
        <w:rPr>
          <w:b/>
          <w:bCs/>
          <w:i/>
          <w:iCs/>
          <w:color w:val="auto"/>
        </w:rPr>
        <w:t>Most Significant Finding</w:t>
      </w:r>
      <w:r w:rsidR="001D3507" w:rsidRPr="00805244">
        <w:rPr>
          <w:color w:val="auto"/>
        </w:rPr>
        <w:t>: The most significant finding was that positive AI perceptions were associated with higher trust and stronger competitive brand perceptions. However, the advantages had to be based on dependable performance, openness, data security, human controls and accessibility. The responsible and patient-centred implementation, however, seemed to be a more crucial factor than the adoption of AI.</w:t>
      </w:r>
    </w:p>
    <w:p w14:paraId="62B36A58" w14:textId="77777777" w:rsidR="00C028FD" w:rsidRPr="00805244" w:rsidRDefault="00C028FD">
      <w:pPr>
        <w:jc w:val="center"/>
        <w:rPr>
          <w:b/>
          <w:bCs/>
          <w:color w:val="auto"/>
        </w:rPr>
      </w:pPr>
    </w:p>
    <w:p w14:paraId="18039A59" w14:textId="77777777" w:rsidR="003D2B72" w:rsidRPr="00805244" w:rsidRDefault="003D2B72">
      <w:pPr>
        <w:spacing w:line="360" w:lineRule="auto"/>
        <w:rPr>
          <w:b/>
          <w:bCs/>
          <w:color w:val="auto"/>
          <w:sz w:val="32"/>
          <w:szCs w:val="32"/>
        </w:rPr>
      </w:pPr>
      <w:r w:rsidRPr="00805244">
        <w:rPr>
          <w:b/>
          <w:bCs/>
          <w:color w:val="auto"/>
          <w:sz w:val="32"/>
          <w:szCs w:val="32"/>
        </w:rPr>
        <w:br w:type="page"/>
      </w:r>
    </w:p>
    <w:p w14:paraId="5D44FCC8" w14:textId="77777777" w:rsidR="003D2B72" w:rsidRPr="00805244" w:rsidRDefault="003D2B72" w:rsidP="003D2B72">
      <w:pPr>
        <w:spacing w:line="240" w:lineRule="auto"/>
        <w:ind w:left="720"/>
        <w:rPr>
          <w:color w:val="auto"/>
          <w:spacing w:val="-2"/>
        </w:rPr>
      </w:pPr>
      <w:r w:rsidRPr="00805244">
        <w:rPr>
          <w:color w:val="auto"/>
          <w:spacing w:val="-2"/>
        </w:rPr>
        <w:lastRenderedPageBreak/>
        <w:t>DECLARATION</w:t>
      </w:r>
    </w:p>
    <w:p w14:paraId="3AA26431" w14:textId="77777777" w:rsidR="003D2B72" w:rsidRPr="00805244" w:rsidRDefault="003D2B72" w:rsidP="003D2B72">
      <w:pPr>
        <w:spacing w:line="240" w:lineRule="auto"/>
        <w:ind w:left="720" w:hanging="630"/>
        <w:rPr>
          <w:color w:val="auto"/>
          <w:spacing w:val="-2"/>
        </w:rPr>
      </w:pPr>
      <w:r w:rsidRPr="00805244">
        <w:rPr>
          <w:color w:val="auto"/>
          <w:spacing w:val="-2"/>
        </w:rPr>
        <w:tab/>
      </w:r>
    </w:p>
    <w:p w14:paraId="02EA75FC" w14:textId="77777777" w:rsidR="003D2B72" w:rsidRPr="00805244" w:rsidRDefault="003D2B72" w:rsidP="003D2B72">
      <w:pPr>
        <w:spacing w:line="240" w:lineRule="auto"/>
        <w:ind w:left="720"/>
        <w:rPr>
          <w:color w:val="auto"/>
          <w:spacing w:val="-2"/>
        </w:rPr>
      </w:pPr>
      <w:r w:rsidRPr="00805244">
        <w:rPr>
          <w:color w:val="auto"/>
          <w:spacing w:val="-2"/>
        </w:rPr>
        <w:t>This work has not previously been accepted in substance for any degree and is not being concurrently submitted in candidature for any degree.</w:t>
      </w:r>
      <w:r w:rsidRPr="00805244">
        <w:rPr>
          <w:color w:val="auto"/>
          <w:spacing w:val="-2"/>
        </w:rPr>
        <w:tab/>
      </w:r>
    </w:p>
    <w:p w14:paraId="77BCF147" w14:textId="77777777" w:rsidR="003D2B72" w:rsidRPr="00805244" w:rsidRDefault="003D2B72" w:rsidP="003D2B72">
      <w:pPr>
        <w:spacing w:line="240" w:lineRule="auto"/>
        <w:ind w:left="720"/>
        <w:rPr>
          <w:color w:val="auto"/>
          <w:spacing w:val="-2"/>
        </w:rPr>
      </w:pPr>
    </w:p>
    <w:p w14:paraId="26811B7F" w14:textId="77777777" w:rsidR="003D2B72" w:rsidRPr="00805244" w:rsidRDefault="003D2B72" w:rsidP="003D2B72">
      <w:pPr>
        <w:spacing w:line="240" w:lineRule="auto"/>
        <w:ind w:left="720"/>
        <w:rPr>
          <w:color w:val="auto"/>
          <w:spacing w:val="-2"/>
        </w:rPr>
      </w:pPr>
    </w:p>
    <w:p w14:paraId="42089481" w14:textId="7E3463E2" w:rsidR="003D2B72" w:rsidRPr="00805244" w:rsidRDefault="006215DB" w:rsidP="003D2B72">
      <w:pPr>
        <w:spacing w:line="240" w:lineRule="auto"/>
        <w:ind w:left="720"/>
        <w:rPr>
          <w:color w:val="auto"/>
          <w:spacing w:val="-2"/>
        </w:rPr>
      </w:pPr>
      <w:r w:rsidRPr="00805244">
        <w:rPr>
          <w:color w:val="auto"/>
          <w:spacing w:val="-2"/>
        </w:rPr>
        <w:t>Signed: Venkata</w:t>
      </w:r>
      <w:r w:rsidR="00653042" w:rsidRPr="00805244">
        <w:rPr>
          <w:color w:val="auto"/>
          <w:spacing w:val="-2"/>
        </w:rPr>
        <w:t xml:space="preserve"> dharma reddy madana</w:t>
      </w:r>
      <w:r w:rsidR="003D2B72" w:rsidRPr="00805244">
        <w:rPr>
          <w:color w:val="auto"/>
          <w:spacing w:val="-2"/>
        </w:rPr>
        <w:t>(candidate)</w:t>
      </w:r>
      <w:r w:rsidR="003D2B72" w:rsidRPr="00805244">
        <w:rPr>
          <w:color w:val="auto"/>
          <w:spacing w:val="-2"/>
        </w:rPr>
        <w:tab/>
      </w:r>
    </w:p>
    <w:p w14:paraId="5E35E9A2" w14:textId="7E2C5E11" w:rsidR="003D2B72" w:rsidRPr="00805244" w:rsidRDefault="003D2B72" w:rsidP="003D2B72">
      <w:pPr>
        <w:spacing w:line="240" w:lineRule="auto"/>
        <w:ind w:left="720"/>
        <w:rPr>
          <w:color w:val="auto"/>
          <w:spacing w:val="-2"/>
        </w:rPr>
      </w:pPr>
    </w:p>
    <w:p w14:paraId="5550E4B6" w14:textId="61F64671" w:rsidR="003D2B72" w:rsidRPr="00805244" w:rsidRDefault="003D2B72" w:rsidP="003D2B72">
      <w:pPr>
        <w:spacing w:line="240" w:lineRule="auto"/>
        <w:ind w:left="720"/>
        <w:rPr>
          <w:color w:val="auto"/>
          <w:spacing w:val="-2"/>
        </w:rPr>
      </w:pPr>
      <w:r w:rsidRPr="00805244">
        <w:rPr>
          <w:color w:val="auto"/>
          <w:spacing w:val="-2"/>
        </w:rPr>
        <w:t>Date</w:t>
      </w:r>
      <w:r w:rsidR="006215DB" w:rsidRPr="00805244">
        <w:rPr>
          <w:color w:val="auto"/>
          <w:spacing w:val="-2"/>
        </w:rPr>
        <w:t>:</w:t>
      </w:r>
      <w:r w:rsidRPr="00805244">
        <w:rPr>
          <w:color w:val="auto"/>
          <w:spacing w:val="-2"/>
        </w:rPr>
        <w:t xml:space="preserve"> </w:t>
      </w:r>
      <w:r w:rsidR="001622E8" w:rsidRPr="00805244">
        <w:rPr>
          <w:color w:val="auto"/>
          <w:spacing w:val="-2"/>
        </w:rPr>
        <w:t>23</w:t>
      </w:r>
      <w:r w:rsidR="006215DB" w:rsidRPr="00805244">
        <w:rPr>
          <w:color w:val="auto"/>
          <w:spacing w:val="-2"/>
        </w:rPr>
        <w:t>/09/2026</w:t>
      </w:r>
      <w:r w:rsidRPr="00805244">
        <w:rPr>
          <w:color w:val="auto"/>
          <w:spacing w:val="-2"/>
        </w:rPr>
        <w:tab/>
      </w:r>
    </w:p>
    <w:p w14:paraId="1B62F36F" w14:textId="77777777" w:rsidR="003D2B72" w:rsidRPr="00805244" w:rsidRDefault="003D2B72" w:rsidP="003D2B72">
      <w:pPr>
        <w:spacing w:line="240" w:lineRule="auto"/>
        <w:ind w:left="720"/>
        <w:rPr>
          <w:color w:val="auto"/>
          <w:spacing w:val="-2"/>
        </w:rPr>
      </w:pPr>
    </w:p>
    <w:p w14:paraId="3E21B095" w14:textId="77777777" w:rsidR="003D2B72" w:rsidRPr="00805244" w:rsidRDefault="003D2B72" w:rsidP="003D2B72">
      <w:pPr>
        <w:spacing w:line="240" w:lineRule="auto"/>
        <w:ind w:left="720"/>
        <w:rPr>
          <w:color w:val="auto"/>
          <w:spacing w:val="-2"/>
        </w:rPr>
      </w:pPr>
    </w:p>
    <w:p w14:paraId="2D801401" w14:textId="77777777" w:rsidR="003D2B72" w:rsidRPr="00805244" w:rsidRDefault="003D2B72" w:rsidP="003D2B72">
      <w:pPr>
        <w:spacing w:line="240" w:lineRule="auto"/>
        <w:ind w:left="720"/>
        <w:rPr>
          <w:color w:val="auto"/>
          <w:spacing w:val="-2"/>
        </w:rPr>
      </w:pPr>
      <w:r w:rsidRPr="00805244">
        <w:rPr>
          <w:color w:val="auto"/>
          <w:spacing w:val="-2"/>
        </w:rPr>
        <w:t>STATEMENT 1</w:t>
      </w:r>
      <w:r w:rsidRPr="00805244">
        <w:rPr>
          <w:color w:val="auto"/>
          <w:spacing w:val="-2"/>
        </w:rPr>
        <w:tab/>
      </w:r>
    </w:p>
    <w:p w14:paraId="258C35F8" w14:textId="77777777" w:rsidR="003D2B72" w:rsidRPr="00805244" w:rsidRDefault="003D2B72" w:rsidP="003D2B72">
      <w:pPr>
        <w:spacing w:line="240" w:lineRule="auto"/>
        <w:ind w:left="720"/>
        <w:rPr>
          <w:color w:val="auto"/>
          <w:spacing w:val="-2"/>
        </w:rPr>
      </w:pPr>
    </w:p>
    <w:p w14:paraId="0EFF2923" w14:textId="77777777" w:rsidR="003D2B72" w:rsidRPr="00805244" w:rsidRDefault="003D2B72" w:rsidP="003D2B72">
      <w:pPr>
        <w:spacing w:line="240" w:lineRule="auto"/>
        <w:ind w:left="720"/>
        <w:rPr>
          <w:color w:val="auto"/>
          <w:spacing w:val="-2"/>
        </w:rPr>
      </w:pPr>
      <w:r w:rsidRPr="00805244">
        <w:rPr>
          <w:color w:val="auto"/>
          <w:spacing w:val="-2"/>
        </w:rPr>
        <w:t xml:space="preserve">This work is the result of my own investigations, except where otherwise stated. </w:t>
      </w:r>
    </w:p>
    <w:p w14:paraId="6DD9E679" w14:textId="77777777" w:rsidR="003D2B72" w:rsidRPr="00805244" w:rsidRDefault="003D2B72" w:rsidP="003D2B72">
      <w:pPr>
        <w:spacing w:line="240" w:lineRule="auto"/>
        <w:ind w:left="720"/>
        <w:rPr>
          <w:color w:val="auto"/>
          <w:spacing w:val="-2"/>
        </w:rPr>
      </w:pPr>
    </w:p>
    <w:p w14:paraId="5B6BAA17" w14:textId="77777777" w:rsidR="003D2B72" w:rsidRPr="00805244" w:rsidRDefault="003D2B72" w:rsidP="003D2B72">
      <w:pPr>
        <w:spacing w:line="240" w:lineRule="auto"/>
        <w:ind w:left="720"/>
        <w:rPr>
          <w:color w:val="auto"/>
          <w:spacing w:val="-2"/>
        </w:rPr>
      </w:pPr>
      <w:r w:rsidRPr="00805244">
        <w:rPr>
          <w:color w:val="auto"/>
          <w:spacing w:val="-2"/>
        </w:rPr>
        <w:t>Other sources are acknowledged by footnotes giving explicit references.  A bibliography is appended.</w:t>
      </w:r>
    </w:p>
    <w:p w14:paraId="4C691131" w14:textId="77777777" w:rsidR="003D2B72" w:rsidRPr="00805244" w:rsidRDefault="003D2B72" w:rsidP="003D2B72">
      <w:pPr>
        <w:spacing w:line="240" w:lineRule="auto"/>
        <w:ind w:left="720"/>
        <w:rPr>
          <w:color w:val="auto"/>
          <w:spacing w:val="-2"/>
        </w:rPr>
      </w:pPr>
    </w:p>
    <w:p w14:paraId="75C560A9" w14:textId="77777777" w:rsidR="003D2B72" w:rsidRPr="00805244" w:rsidRDefault="003D2B72" w:rsidP="003D2B72">
      <w:pPr>
        <w:spacing w:line="240" w:lineRule="auto"/>
        <w:ind w:left="720"/>
        <w:rPr>
          <w:color w:val="auto"/>
          <w:spacing w:val="-2"/>
        </w:rPr>
      </w:pPr>
    </w:p>
    <w:p w14:paraId="5D5830EE" w14:textId="77777777" w:rsidR="006215DB" w:rsidRPr="00805244" w:rsidRDefault="006215DB" w:rsidP="006215DB">
      <w:pPr>
        <w:spacing w:line="240" w:lineRule="auto"/>
        <w:ind w:left="720"/>
        <w:rPr>
          <w:color w:val="auto"/>
          <w:spacing w:val="-2"/>
        </w:rPr>
      </w:pPr>
      <w:r w:rsidRPr="00805244">
        <w:rPr>
          <w:color w:val="auto"/>
          <w:spacing w:val="-2"/>
        </w:rPr>
        <w:t>Signed: Venkata dharma reddy madana(candidate)</w:t>
      </w:r>
      <w:r w:rsidRPr="00805244">
        <w:rPr>
          <w:color w:val="auto"/>
          <w:spacing w:val="-2"/>
        </w:rPr>
        <w:tab/>
      </w:r>
    </w:p>
    <w:p w14:paraId="1B5A0A42" w14:textId="77777777" w:rsidR="006215DB" w:rsidRPr="00805244" w:rsidRDefault="006215DB" w:rsidP="006215DB">
      <w:pPr>
        <w:spacing w:line="240" w:lineRule="auto"/>
        <w:ind w:left="720"/>
        <w:rPr>
          <w:color w:val="auto"/>
          <w:spacing w:val="-2"/>
        </w:rPr>
      </w:pPr>
    </w:p>
    <w:p w14:paraId="5F338A26" w14:textId="684839C0" w:rsidR="003D2B72" w:rsidRPr="00805244" w:rsidRDefault="006215DB" w:rsidP="006215DB">
      <w:pPr>
        <w:spacing w:line="240" w:lineRule="auto"/>
        <w:ind w:left="720"/>
        <w:rPr>
          <w:color w:val="auto"/>
          <w:spacing w:val="-2"/>
        </w:rPr>
      </w:pPr>
      <w:r w:rsidRPr="00805244">
        <w:rPr>
          <w:color w:val="auto"/>
          <w:spacing w:val="-2"/>
        </w:rPr>
        <w:t>Date: 23/09/2026</w:t>
      </w:r>
      <w:r w:rsidR="003D2B72" w:rsidRPr="00805244">
        <w:rPr>
          <w:color w:val="auto"/>
          <w:spacing w:val="-2"/>
        </w:rPr>
        <w:tab/>
      </w:r>
    </w:p>
    <w:p w14:paraId="5747AF71" w14:textId="77777777" w:rsidR="003D2B72" w:rsidRPr="00805244" w:rsidRDefault="003D2B72" w:rsidP="003D2B72">
      <w:pPr>
        <w:spacing w:line="240" w:lineRule="auto"/>
        <w:ind w:left="720"/>
        <w:rPr>
          <w:color w:val="auto"/>
          <w:spacing w:val="-2"/>
        </w:rPr>
      </w:pPr>
    </w:p>
    <w:p w14:paraId="74226182" w14:textId="77777777" w:rsidR="003D2B72" w:rsidRPr="00805244" w:rsidRDefault="003D2B72" w:rsidP="003D2B72">
      <w:pPr>
        <w:spacing w:line="240" w:lineRule="auto"/>
        <w:ind w:left="720"/>
        <w:rPr>
          <w:color w:val="auto"/>
          <w:spacing w:val="-2"/>
        </w:rPr>
      </w:pPr>
    </w:p>
    <w:p w14:paraId="6603A1CC" w14:textId="77777777" w:rsidR="003D2B72" w:rsidRPr="00805244" w:rsidRDefault="003D2B72" w:rsidP="003D2B72">
      <w:pPr>
        <w:spacing w:line="240" w:lineRule="auto"/>
        <w:ind w:left="720"/>
        <w:rPr>
          <w:color w:val="auto"/>
          <w:spacing w:val="-2"/>
        </w:rPr>
      </w:pPr>
      <w:r w:rsidRPr="00805244">
        <w:rPr>
          <w:color w:val="auto"/>
          <w:spacing w:val="-2"/>
        </w:rPr>
        <w:t>STATEMENT 2</w:t>
      </w:r>
      <w:r w:rsidRPr="00805244">
        <w:rPr>
          <w:color w:val="auto"/>
          <w:spacing w:val="-2"/>
        </w:rPr>
        <w:tab/>
      </w:r>
    </w:p>
    <w:p w14:paraId="34630CC4" w14:textId="77777777" w:rsidR="003D2B72" w:rsidRPr="00805244" w:rsidRDefault="003D2B72" w:rsidP="003D2B72">
      <w:pPr>
        <w:spacing w:line="240" w:lineRule="auto"/>
        <w:ind w:left="720"/>
        <w:rPr>
          <w:color w:val="auto"/>
          <w:spacing w:val="-2"/>
        </w:rPr>
      </w:pPr>
    </w:p>
    <w:p w14:paraId="56ED8621" w14:textId="77777777" w:rsidR="003D2B72" w:rsidRPr="00805244" w:rsidRDefault="003D2B72" w:rsidP="003D2B72">
      <w:pPr>
        <w:spacing w:line="240" w:lineRule="auto"/>
        <w:ind w:left="720"/>
        <w:rPr>
          <w:color w:val="auto"/>
          <w:spacing w:val="-2"/>
        </w:rPr>
      </w:pPr>
      <w:r w:rsidRPr="00805244">
        <w:rPr>
          <w:color w:val="auto"/>
          <w:spacing w:val="-2"/>
        </w:rPr>
        <w:t>I hereby give consent for my work, if accepted, to be available for photocopying and for inter-library loan, and for the title and summary to be made available to outside organisations.</w:t>
      </w:r>
      <w:r w:rsidRPr="00805244">
        <w:rPr>
          <w:color w:val="auto"/>
          <w:spacing w:val="-2"/>
        </w:rPr>
        <w:tab/>
      </w:r>
    </w:p>
    <w:p w14:paraId="713F9267" w14:textId="77777777" w:rsidR="003D2B72" w:rsidRPr="00805244" w:rsidRDefault="003D2B72" w:rsidP="003D2B72">
      <w:pPr>
        <w:spacing w:line="240" w:lineRule="auto"/>
        <w:ind w:left="720"/>
        <w:rPr>
          <w:color w:val="auto"/>
          <w:spacing w:val="-2"/>
        </w:rPr>
      </w:pPr>
    </w:p>
    <w:p w14:paraId="2EE06145" w14:textId="77777777" w:rsidR="003D2B72" w:rsidRPr="00805244" w:rsidRDefault="003D2B72" w:rsidP="003D2B72">
      <w:pPr>
        <w:spacing w:line="240" w:lineRule="auto"/>
        <w:ind w:left="720"/>
        <w:rPr>
          <w:color w:val="auto"/>
          <w:spacing w:val="-2"/>
        </w:rPr>
      </w:pPr>
    </w:p>
    <w:p w14:paraId="08B5C277" w14:textId="77777777" w:rsidR="006215DB" w:rsidRPr="00805244" w:rsidRDefault="006215DB" w:rsidP="006215DB">
      <w:pPr>
        <w:spacing w:line="240" w:lineRule="auto"/>
        <w:ind w:left="720"/>
        <w:rPr>
          <w:color w:val="auto"/>
          <w:spacing w:val="-2"/>
        </w:rPr>
      </w:pPr>
      <w:r w:rsidRPr="00805244">
        <w:rPr>
          <w:color w:val="auto"/>
          <w:spacing w:val="-2"/>
        </w:rPr>
        <w:t>Signed: Venkata dharma reddy madana(candidate)</w:t>
      </w:r>
      <w:r w:rsidRPr="00805244">
        <w:rPr>
          <w:color w:val="auto"/>
          <w:spacing w:val="-2"/>
        </w:rPr>
        <w:tab/>
      </w:r>
    </w:p>
    <w:p w14:paraId="3FF1FC7D" w14:textId="77777777" w:rsidR="006215DB" w:rsidRPr="00805244" w:rsidRDefault="006215DB" w:rsidP="006215DB">
      <w:pPr>
        <w:spacing w:line="240" w:lineRule="auto"/>
        <w:ind w:left="720"/>
        <w:rPr>
          <w:color w:val="auto"/>
          <w:spacing w:val="-2"/>
        </w:rPr>
      </w:pPr>
    </w:p>
    <w:p w14:paraId="258AE348" w14:textId="41701629" w:rsidR="005531EA" w:rsidRPr="00805244" w:rsidRDefault="006215DB" w:rsidP="00A467BB">
      <w:pPr>
        <w:spacing w:line="240" w:lineRule="auto"/>
        <w:ind w:left="720"/>
        <w:rPr>
          <w:b/>
          <w:bCs/>
          <w:color w:val="auto"/>
          <w:sz w:val="32"/>
          <w:szCs w:val="32"/>
        </w:rPr>
      </w:pPr>
      <w:r w:rsidRPr="00805244">
        <w:rPr>
          <w:color w:val="auto"/>
          <w:spacing w:val="-2"/>
        </w:rPr>
        <w:t>Date: 23/09/2026</w:t>
      </w:r>
      <w:r w:rsidR="005531EA" w:rsidRPr="00805244">
        <w:rPr>
          <w:b/>
          <w:bCs/>
          <w:color w:val="auto"/>
          <w:sz w:val="32"/>
          <w:szCs w:val="32"/>
        </w:rPr>
        <w:br w:type="page"/>
      </w:r>
    </w:p>
    <w:sdt>
      <w:sdtPr>
        <w:rPr>
          <w:rFonts w:ascii="Times New Roman" w:eastAsia="Times New Roman" w:hAnsi="Times New Roman" w:cs="Times New Roman"/>
          <w:color w:val="auto"/>
          <w:sz w:val="24"/>
          <w:szCs w:val="24"/>
          <w:lang w:val="en-GB" w:eastAsia="en-IN"/>
        </w:rPr>
        <w:id w:val="-782874409"/>
        <w:docPartObj>
          <w:docPartGallery w:val="Table of Contents"/>
          <w:docPartUnique/>
        </w:docPartObj>
      </w:sdtPr>
      <w:sdtEndPr>
        <w:rPr>
          <w:b/>
          <w:bCs/>
          <w:noProof/>
        </w:rPr>
      </w:sdtEndPr>
      <w:sdtContent>
        <w:p w14:paraId="5C3E0C88" w14:textId="77777777" w:rsidR="005531EA" w:rsidRPr="00805244" w:rsidRDefault="005531EA" w:rsidP="005531EA">
          <w:pPr>
            <w:pStyle w:val="TOCHeading"/>
            <w:spacing w:before="0" w:line="360" w:lineRule="auto"/>
            <w:jc w:val="center"/>
            <w:rPr>
              <w:rFonts w:ascii="Times New Roman" w:hAnsi="Times New Roman" w:cs="Times New Roman"/>
              <w:b/>
              <w:bCs/>
              <w:color w:val="auto"/>
              <w:sz w:val="28"/>
              <w:szCs w:val="28"/>
            </w:rPr>
          </w:pPr>
          <w:r w:rsidRPr="00805244">
            <w:rPr>
              <w:rFonts w:ascii="Times New Roman" w:hAnsi="Times New Roman" w:cs="Times New Roman"/>
              <w:b/>
              <w:bCs/>
              <w:color w:val="auto"/>
              <w:sz w:val="28"/>
              <w:szCs w:val="28"/>
            </w:rPr>
            <w:t>Table of Contents</w:t>
          </w:r>
        </w:p>
        <w:p w14:paraId="681108EE" w14:textId="2B79ED60" w:rsidR="00FD40AC" w:rsidRPr="00805244" w:rsidRDefault="005531EA">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r w:rsidRPr="00805244">
            <w:rPr>
              <w:color w:val="auto"/>
            </w:rPr>
            <w:fldChar w:fldCharType="begin"/>
          </w:r>
          <w:r w:rsidRPr="00805244">
            <w:rPr>
              <w:color w:val="auto"/>
            </w:rPr>
            <w:instrText xml:space="preserve"> TOC \o "1-3" \h \z \u </w:instrText>
          </w:r>
          <w:r w:rsidRPr="00805244">
            <w:rPr>
              <w:color w:val="auto"/>
            </w:rPr>
            <w:fldChar w:fldCharType="separate"/>
          </w:r>
          <w:hyperlink w:anchor="_Toc241072230" w:history="1">
            <w:r w:rsidR="00FD40AC" w:rsidRPr="00805244">
              <w:rPr>
                <w:rStyle w:val="Hyperlink"/>
                <w:noProof/>
                <w:color w:val="auto"/>
              </w:rPr>
              <w:t>Chapter 1: Introduction</w:t>
            </w:r>
            <w:r w:rsidR="00FD40AC" w:rsidRPr="00805244">
              <w:rPr>
                <w:noProof/>
                <w:webHidden/>
                <w:color w:val="auto"/>
              </w:rPr>
              <w:tab/>
            </w:r>
            <w:r w:rsidR="00FD40AC" w:rsidRPr="00805244">
              <w:rPr>
                <w:noProof/>
                <w:webHidden/>
                <w:color w:val="auto"/>
              </w:rPr>
              <w:fldChar w:fldCharType="begin"/>
            </w:r>
            <w:r w:rsidR="00FD40AC" w:rsidRPr="00805244">
              <w:rPr>
                <w:noProof/>
                <w:webHidden/>
                <w:color w:val="auto"/>
              </w:rPr>
              <w:instrText xml:space="preserve"> PAGEREF _Toc241072230 \h </w:instrText>
            </w:r>
            <w:r w:rsidR="00FD40AC" w:rsidRPr="00805244">
              <w:rPr>
                <w:noProof/>
                <w:webHidden/>
                <w:color w:val="auto"/>
              </w:rPr>
            </w:r>
            <w:r w:rsidR="00FD40AC" w:rsidRPr="00805244">
              <w:rPr>
                <w:noProof/>
                <w:webHidden/>
                <w:color w:val="auto"/>
              </w:rPr>
              <w:fldChar w:fldCharType="separate"/>
            </w:r>
            <w:r w:rsidR="00FD40AC" w:rsidRPr="00805244">
              <w:rPr>
                <w:noProof/>
                <w:webHidden/>
                <w:color w:val="auto"/>
              </w:rPr>
              <w:t>9</w:t>
            </w:r>
            <w:r w:rsidR="00FD40AC" w:rsidRPr="00805244">
              <w:rPr>
                <w:noProof/>
                <w:webHidden/>
                <w:color w:val="auto"/>
              </w:rPr>
              <w:fldChar w:fldCharType="end"/>
            </w:r>
          </w:hyperlink>
        </w:p>
        <w:p w14:paraId="709077C3" w14:textId="05684885"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1" w:history="1">
            <w:r w:rsidRPr="00805244">
              <w:rPr>
                <w:rStyle w:val="Hyperlink"/>
                <w:noProof/>
                <w:color w:val="auto"/>
              </w:rPr>
              <w:t>1.1 Background to AI in UK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_Toc241072231 \h </w:instrText>
            </w:r>
            <w:r w:rsidRPr="00805244">
              <w:rPr>
                <w:noProof/>
                <w:webHidden/>
                <w:color w:val="auto"/>
              </w:rPr>
            </w:r>
            <w:r w:rsidRPr="00805244">
              <w:rPr>
                <w:noProof/>
                <w:webHidden/>
                <w:color w:val="auto"/>
              </w:rPr>
              <w:fldChar w:fldCharType="separate"/>
            </w:r>
            <w:r w:rsidRPr="00805244">
              <w:rPr>
                <w:noProof/>
                <w:webHidden/>
                <w:color w:val="auto"/>
              </w:rPr>
              <w:t>9</w:t>
            </w:r>
            <w:r w:rsidRPr="00805244">
              <w:rPr>
                <w:noProof/>
                <w:webHidden/>
                <w:color w:val="auto"/>
              </w:rPr>
              <w:fldChar w:fldCharType="end"/>
            </w:r>
          </w:hyperlink>
        </w:p>
        <w:p w14:paraId="714F63DB" w14:textId="0BBE83D4"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2" w:history="1">
            <w:r w:rsidRPr="00805244">
              <w:rPr>
                <w:rStyle w:val="Hyperlink"/>
                <w:noProof/>
                <w:color w:val="auto"/>
              </w:rPr>
              <w:t>1.2 Research Focus and Key Concepts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_Toc241072232 \h </w:instrText>
            </w:r>
            <w:r w:rsidRPr="00805244">
              <w:rPr>
                <w:noProof/>
                <w:webHidden/>
                <w:color w:val="auto"/>
              </w:rPr>
            </w:r>
            <w:r w:rsidRPr="00805244">
              <w:rPr>
                <w:noProof/>
                <w:webHidden/>
                <w:color w:val="auto"/>
              </w:rPr>
              <w:fldChar w:fldCharType="separate"/>
            </w:r>
            <w:r w:rsidRPr="00805244">
              <w:rPr>
                <w:noProof/>
                <w:webHidden/>
                <w:color w:val="auto"/>
              </w:rPr>
              <w:t>11</w:t>
            </w:r>
            <w:r w:rsidRPr="00805244">
              <w:rPr>
                <w:noProof/>
                <w:webHidden/>
                <w:color w:val="auto"/>
              </w:rPr>
              <w:fldChar w:fldCharType="end"/>
            </w:r>
          </w:hyperlink>
        </w:p>
        <w:p w14:paraId="0DB6B7AE" w14:textId="3FA4E590"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3" w:history="1">
            <w:r w:rsidRPr="00805244">
              <w:rPr>
                <w:rStyle w:val="Hyperlink"/>
                <w:noProof/>
                <w:color w:val="auto"/>
              </w:rPr>
              <w:t>1.3 Research Problem and Knowledge Gap</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_Toc241072233 \h </w:instrText>
            </w:r>
            <w:r w:rsidRPr="00805244">
              <w:rPr>
                <w:noProof/>
                <w:webHidden/>
                <w:color w:val="auto"/>
              </w:rPr>
            </w:r>
            <w:r w:rsidRPr="00805244">
              <w:rPr>
                <w:noProof/>
                <w:webHidden/>
                <w:color w:val="auto"/>
              </w:rPr>
              <w:fldChar w:fldCharType="separate"/>
            </w:r>
            <w:r w:rsidRPr="00805244">
              <w:rPr>
                <w:noProof/>
                <w:webHidden/>
                <w:color w:val="auto"/>
              </w:rPr>
              <w:t>12</w:t>
            </w:r>
            <w:r w:rsidRPr="00805244">
              <w:rPr>
                <w:noProof/>
                <w:webHidden/>
                <w:color w:val="auto"/>
              </w:rPr>
              <w:fldChar w:fldCharType="end"/>
            </w:r>
          </w:hyperlink>
        </w:p>
        <w:p w14:paraId="35B15013" w14:textId="62C58C48"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4" w:history="1">
            <w:r w:rsidRPr="00805244">
              <w:rPr>
                <w:rStyle w:val="Hyperlink"/>
                <w:noProof/>
                <w:color w:val="auto"/>
              </w:rPr>
              <w:t>1.4 Research Aim and Objectives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_Toc241072234 \h </w:instrText>
            </w:r>
            <w:r w:rsidRPr="00805244">
              <w:rPr>
                <w:noProof/>
                <w:webHidden/>
                <w:color w:val="auto"/>
              </w:rPr>
            </w:r>
            <w:r w:rsidRPr="00805244">
              <w:rPr>
                <w:noProof/>
                <w:webHidden/>
                <w:color w:val="auto"/>
              </w:rPr>
              <w:fldChar w:fldCharType="separate"/>
            </w:r>
            <w:r w:rsidRPr="00805244">
              <w:rPr>
                <w:noProof/>
                <w:webHidden/>
                <w:color w:val="auto"/>
              </w:rPr>
              <w:t>13</w:t>
            </w:r>
            <w:r w:rsidRPr="00805244">
              <w:rPr>
                <w:noProof/>
                <w:webHidden/>
                <w:color w:val="auto"/>
              </w:rPr>
              <w:fldChar w:fldCharType="end"/>
            </w:r>
          </w:hyperlink>
        </w:p>
        <w:p w14:paraId="6E59B5C7" w14:textId="124BA3F6"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5" w:history="1">
            <w:r w:rsidRPr="00805244">
              <w:rPr>
                <w:rStyle w:val="Hyperlink"/>
                <w:noProof/>
                <w:color w:val="auto"/>
              </w:rPr>
              <w:t>1.5 Research Questions and Hypotheses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_Toc241072235 \h </w:instrText>
            </w:r>
            <w:r w:rsidRPr="00805244">
              <w:rPr>
                <w:noProof/>
                <w:webHidden/>
                <w:color w:val="auto"/>
              </w:rPr>
            </w:r>
            <w:r w:rsidRPr="00805244">
              <w:rPr>
                <w:noProof/>
                <w:webHidden/>
                <w:color w:val="auto"/>
              </w:rPr>
              <w:fldChar w:fldCharType="separate"/>
            </w:r>
            <w:r w:rsidRPr="00805244">
              <w:rPr>
                <w:noProof/>
                <w:webHidden/>
                <w:color w:val="auto"/>
              </w:rPr>
              <w:t>14</w:t>
            </w:r>
            <w:r w:rsidRPr="00805244">
              <w:rPr>
                <w:noProof/>
                <w:webHidden/>
                <w:color w:val="auto"/>
              </w:rPr>
              <w:fldChar w:fldCharType="end"/>
            </w:r>
          </w:hyperlink>
        </w:p>
        <w:p w14:paraId="029F7B13" w14:textId="1913E8E2"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6" w:history="1">
            <w:r w:rsidRPr="00805244">
              <w:rPr>
                <w:rStyle w:val="Hyperlink"/>
                <w:noProof/>
                <w:color w:val="auto"/>
              </w:rPr>
              <w:t>1.6 Scope and Delimitations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_Toc241072236 \h </w:instrText>
            </w:r>
            <w:r w:rsidRPr="00805244">
              <w:rPr>
                <w:noProof/>
                <w:webHidden/>
                <w:color w:val="auto"/>
              </w:rPr>
            </w:r>
            <w:r w:rsidRPr="00805244">
              <w:rPr>
                <w:noProof/>
                <w:webHidden/>
                <w:color w:val="auto"/>
              </w:rPr>
              <w:fldChar w:fldCharType="separate"/>
            </w:r>
            <w:r w:rsidRPr="00805244">
              <w:rPr>
                <w:noProof/>
                <w:webHidden/>
                <w:color w:val="auto"/>
              </w:rPr>
              <w:t>15</w:t>
            </w:r>
            <w:r w:rsidRPr="00805244">
              <w:rPr>
                <w:noProof/>
                <w:webHidden/>
                <w:color w:val="auto"/>
              </w:rPr>
              <w:fldChar w:fldCharType="end"/>
            </w:r>
          </w:hyperlink>
        </w:p>
        <w:p w14:paraId="3B412B0B" w14:textId="351108F2"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7" w:history="1">
            <w:r w:rsidRPr="00805244">
              <w:rPr>
                <w:rStyle w:val="Hyperlink"/>
                <w:noProof/>
                <w:color w:val="auto"/>
              </w:rPr>
              <w:t>1.7 Research Significance and Contribution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_Toc241072237 \h </w:instrText>
            </w:r>
            <w:r w:rsidRPr="00805244">
              <w:rPr>
                <w:noProof/>
                <w:webHidden/>
                <w:color w:val="auto"/>
              </w:rPr>
            </w:r>
            <w:r w:rsidRPr="00805244">
              <w:rPr>
                <w:noProof/>
                <w:webHidden/>
                <w:color w:val="auto"/>
              </w:rPr>
              <w:fldChar w:fldCharType="separate"/>
            </w:r>
            <w:r w:rsidRPr="00805244">
              <w:rPr>
                <w:noProof/>
                <w:webHidden/>
                <w:color w:val="auto"/>
              </w:rPr>
              <w:t>15</w:t>
            </w:r>
            <w:r w:rsidRPr="00805244">
              <w:rPr>
                <w:noProof/>
                <w:webHidden/>
                <w:color w:val="auto"/>
              </w:rPr>
              <w:fldChar w:fldCharType="end"/>
            </w:r>
          </w:hyperlink>
        </w:p>
        <w:p w14:paraId="4E1D261B" w14:textId="6652CFA5"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8" w:history="1">
            <w:r w:rsidRPr="00805244">
              <w:rPr>
                <w:rStyle w:val="Hyperlink"/>
                <w:noProof/>
                <w:color w:val="auto"/>
              </w:rPr>
              <w:t>1.8 Dissertation Structure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_Toc241072238 \h </w:instrText>
            </w:r>
            <w:r w:rsidRPr="00805244">
              <w:rPr>
                <w:noProof/>
                <w:webHidden/>
                <w:color w:val="auto"/>
              </w:rPr>
            </w:r>
            <w:r w:rsidRPr="00805244">
              <w:rPr>
                <w:noProof/>
                <w:webHidden/>
                <w:color w:val="auto"/>
              </w:rPr>
              <w:fldChar w:fldCharType="separate"/>
            </w:r>
            <w:r w:rsidRPr="00805244">
              <w:rPr>
                <w:noProof/>
                <w:webHidden/>
                <w:color w:val="auto"/>
              </w:rPr>
              <w:t>16</w:t>
            </w:r>
            <w:r w:rsidRPr="00805244">
              <w:rPr>
                <w:noProof/>
                <w:webHidden/>
                <w:color w:val="auto"/>
              </w:rPr>
              <w:fldChar w:fldCharType="end"/>
            </w:r>
          </w:hyperlink>
        </w:p>
        <w:p w14:paraId="4F4BB3DF" w14:textId="77DCFB03" w:rsidR="00FD40AC" w:rsidRPr="00805244" w:rsidRDefault="00FD40AC">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39" w:history="1">
            <w:r w:rsidRPr="00805244">
              <w:rPr>
                <w:rStyle w:val="Hyperlink"/>
                <w:noProof/>
                <w:color w:val="auto"/>
              </w:rPr>
              <w:t>Chapter 2: Literature Review</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_Toc241072239 \h </w:instrText>
            </w:r>
            <w:r w:rsidRPr="00805244">
              <w:rPr>
                <w:noProof/>
                <w:webHidden/>
                <w:color w:val="auto"/>
              </w:rPr>
            </w:r>
            <w:r w:rsidRPr="00805244">
              <w:rPr>
                <w:noProof/>
                <w:webHidden/>
                <w:color w:val="auto"/>
              </w:rPr>
              <w:fldChar w:fldCharType="separate"/>
            </w:r>
            <w:r w:rsidRPr="00805244">
              <w:rPr>
                <w:noProof/>
                <w:webHidden/>
                <w:color w:val="auto"/>
              </w:rPr>
              <w:t>17</w:t>
            </w:r>
            <w:r w:rsidRPr="00805244">
              <w:rPr>
                <w:noProof/>
                <w:webHidden/>
                <w:color w:val="auto"/>
              </w:rPr>
              <w:fldChar w:fldCharType="end"/>
            </w:r>
          </w:hyperlink>
        </w:p>
        <w:p w14:paraId="26405897" w14:textId="5691E501"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0" w:history="1">
            <w:r w:rsidRPr="00805244">
              <w:rPr>
                <w:rStyle w:val="Hyperlink"/>
                <w:noProof/>
                <w:color w:val="auto"/>
              </w:rPr>
              <w:t>2.1 Introduction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_Toc241072240 \h </w:instrText>
            </w:r>
            <w:r w:rsidRPr="00805244">
              <w:rPr>
                <w:noProof/>
                <w:webHidden/>
                <w:color w:val="auto"/>
              </w:rPr>
            </w:r>
            <w:r w:rsidRPr="00805244">
              <w:rPr>
                <w:noProof/>
                <w:webHidden/>
                <w:color w:val="auto"/>
              </w:rPr>
              <w:fldChar w:fldCharType="separate"/>
            </w:r>
            <w:r w:rsidRPr="00805244">
              <w:rPr>
                <w:noProof/>
                <w:webHidden/>
                <w:color w:val="auto"/>
              </w:rPr>
              <w:t>17</w:t>
            </w:r>
            <w:r w:rsidRPr="00805244">
              <w:rPr>
                <w:noProof/>
                <w:webHidden/>
                <w:color w:val="auto"/>
              </w:rPr>
              <w:fldChar w:fldCharType="end"/>
            </w:r>
          </w:hyperlink>
        </w:p>
        <w:p w14:paraId="0D9365E3" w14:textId="6C8E14F6"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1" w:history="1">
            <w:r w:rsidRPr="00805244">
              <w:rPr>
                <w:rStyle w:val="Hyperlink"/>
                <w:noProof/>
                <w:color w:val="auto"/>
              </w:rPr>
              <w:t>2.2 Conceptual and UK Healthcare Services Context</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_Toc241072241 \h </w:instrText>
            </w:r>
            <w:r w:rsidRPr="00805244">
              <w:rPr>
                <w:noProof/>
                <w:webHidden/>
                <w:color w:val="auto"/>
              </w:rPr>
            </w:r>
            <w:r w:rsidRPr="00805244">
              <w:rPr>
                <w:noProof/>
                <w:webHidden/>
                <w:color w:val="auto"/>
              </w:rPr>
              <w:fldChar w:fldCharType="separate"/>
            </w:r>
            <w:r w:rsidRPr="00805244">
              <w:rPr>
                <w:noProof/>
                <w:webHidden/>
                <w:color w:val="auto"/>
              </w:rPr>
              <w:t>17</w:t>
            </w:r>
            <w:r w:rsidRPr="00805244">
              <w:rPr>
                <w:noProof/>
                <w:webHidden/>
                <w:color w:val="auto"/>
              </w:rPr>
              <w:fldChar w:fldCharType="end"/>
            </w:r>
          </w:hyperlink>
        </w:p>
        <w:p w14:paraId="6AB85E73" w14:textId="2FD9C8B3"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2" w:history="1">
            <w:r w:rsidRPr="00805244">
              <w:rPr>
                <w:rStyle w:val="Hyperlink"/>
                <w:noProof/>
                <w:color w:val="auto"/>
              </w:rPr>
              <w:t>2.2.1 AI Tools in UK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_Toc241072242 \h </w:instrText>
            </w:r>
            <w:r w:rsidRPr="00805244">
              <w:rPr>
                <w:noProof/>
                <w:webHidden/>
                <w:color w:val="auto"/>
              </w:rPr>
            </w:r>
            <w:r w:rsidRPr="00805244">
              <w:rPr>
                <w:noProof/>
                <w:webHidden/>
                <w:color w:val="auto"/>
              </w:rPr>
              <w:fldChar w:fldCharType="separate"/>
            </w:r>
            <w:r w:rsidRPr="00805244">
              <w:rPr>
                <w:noProof/>
                <w:webHidden/>
                <w:color w:val="auto"/>
              </w:rPr>
              <w:t>17</w:t>
            </w:r>
            <w:r w:rsidRPr="00805244">
              <w:rPr>
                <w:noProof/>
                <w:webHidden/>
                <w:color w:val="auto"/>
              </w:rPr>
              <w:fldChar w:fldCharType="end"/>
            </w:r>
          </w:hyperlink>
        </w:p>
        <w:p w14:paraId="3E0C4954" w14:textId="02ED92EC"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3" w:history="1">
            <w:r w:rsidRPr="00805244">
              <w:rPr>
                <w:rStyle w:val="Hyperlink"/>
                <w:noProof/>
                <w:color w:val="auto"/>
              </w:rPr>
              <w:t>2.2.2 Consumer Trust in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_Toc241072243 \h </w:instrText>
            </w:r>
            <w:r w:rsidRPr="00805244">
              <w:rPr>
                <w:noProof/>
                <w:webHidden/>
                <w:color w:val="auto"/>
              </w:rPr>
            </w:r>
            <w:r w:rsidRPr="00805244">
              <w:rPr>
                <w:noProof/>
                <w:webHidden/>
                <w:color w:val="auto"/>
              </w:rPr>
              <w:fldChar w:fldCharType="separate"/>
            </w:r>
            <w:r w:rsidRPr="00805244">
              <w:rPr>
                <w:noProof/>
                <w:webHidden/>
                <w:color w:val="auto"/>
              </w:rPr>
              <w:t>18</w:t>
            </w:r>
            <w:r w:rsidRPr="00805244">
              <w:rPr>
                <w:noProof/>
                <w:webHidden/>
                <w:color w:val="auto"/>
              </w:rPr>
              <w:fldChar w:fldCharType="end"/>
            </w:r>
          </w:hyperlink>
        </w:p>
        <w:p w14:paraId="7865F667" w14:textId="0951F8F3"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4" w:history="1">
            <w:r w:rsidRPr="00805244">
              <w:rPr>
                <w:rStyle w:val="Hyperlink"/>
                <w:noProof/>
                <w:color w:val="auto"/>
              </w:rPr>
              <w:t>2.2.3 Brand Competitiveness in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_Toc241072244 \h </w:instrText>
            </w:r>
            <w:r w:rsidRPr="00805244">
              <w:rPr>
                <w:noProof/>
                <w:webHidden/>
                <w:color w:val="auto"/>
              </w:rPr>
            </w:r>
            <w:r w:rsidRPr="00805244">
              <w:rPr>
                <w:noProof/>
                <w:webHidden/>
                <w:color w:val="auto"/>
              </w:rPr>
              <w:fldChar w:fldCharType="separate"/>
            </w:r>
            <w:r w:rsidRPr="00805244">
              <w:rPr>
                <w:noProof/>
                <w:webHidden/>
                <w:color w:val="auto"/>
              </w:rPr>
              <w:t>19</w:t>
            </w:r>
            <w:r w:rsidRPr="00805244">
              <w:rPr>
                <w:noProof/>
                <w:webHidden/>
                <w:color w:val="auto"/>
              </w:rPr>
              <w:fldChar w:fldCharType="end"/>
            </w:r>
          </w:hyperlink>
        </w:p>
        <w:p w14:paraId="7AAAB3EB" w14:textId="18A10C65"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5" w:history="1">
            <w:r w:rsidRPr="00805244">
              <w:rPr>
                <w:rStyle w:val="Hyperlink"/>
                <w:noProof/>
                <w:color w:val="auto"/>
              </w:rPr>
              <w:t>2.3 Current Role of AI Tools in UK Healthcare Service Delivery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_Toc241072245 \h </w:instrText>
            </w:r>
            <w:r w:rsidRPr="00805244">
              <w:rPr>
                <w:noProof/>
                <w:webHidden/>
                <w:color w:val="auto"/>
              </w:rPr>
            </w:r>
            <w:r w:rsidRPr="00805244">
              <w:rPr>
                <w:noProof/>
                <w:webHidden/>
                <w:color w:val="auto"/>
              </w:rPr>
              <w:fldChar w:fldCharType="separate"/>
            </w:r>
            <w:r w:rsidRPr="00805244">
              <w:rPr>
                <w:noProof/>
                <w:webHidden/>
                <w:color w:val="auto"/>
              </w:rPr>
              <w:t>19</w:t>
            </w:r>
            <w:r w:rsidRPr="00805244">
              <w:rPr>
                <w:noProof/>
                <w:webHidden/>
                <w:color w:val="auto"/>
              </w:rPr>
              <w:fldChar w:fldCharType="end"/>
            </w:r>
          </w:hyperlink>
        </w:p>
        <w:p w14:paraId="01C52ACC" w14:textId="0B3460AA"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6" w:history="1">
            <w:r w:rsidRPr="00805244">
              <w:rPr>
                <w:rStyle w:val="Hyperlink"/>
                <w:noProof/>
                <w:color w:val="auto"/>
              </w:rPr>
              <w:t>2.3.1 AI Tools and Service Accessibility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_Toc241072246 \h </w:instrText>
            </w:r>
            <w:r w:rsidRPr="00805244">
              <w:rPr>
                <w:noProof/>
                <w:webHidden/>
                <w:color w:val="auto"/>
              </w:rPr>
            </w:r>
            <w:r w:rsidRPr="00805244">
              <w:rPr>
                <w:noProof/>
                <w:webHidden/>
                <w:color w:val="auto"/>
              </w:rPr>
              <w:fldChar w:fldCharType="separate"/>
            </w:r>
            <w:r w:rsidRPr="00805244">
              <w:rPr>
                <w:noProof/>
                <w:webHidden/>
                <w:color w:val="auto"/>
              </w:rPr>
              <w:t>19</w:t>
            </w:r>
            <w:r w:rsidRPr="00805244">
              <w:rPr>
                <w:noProof/>
                <w:webHidden/>
                <w:color w:val="auto"/>
              </w:rPr>
              <w:fldChar w:fldCharType="end"/>
            </w:r>
          </w:hyperlink>
        </w:p>
        <w:p w14:paraId="0407814C" w14:textId="2483840B"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7" w:history="1">
            <w:r w:rsidRPr="00805244">
              <w:rPr>
                <w:rStyle w:val="Hyperlink"/>
                <w:noProof/>
                <w:color w:val="auto"/>
              </w:rPr>
              <w:t>2.3.2 AI-Supported Communication and Patient Assistance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_Toc241072247 \h </w:instrText>
            </w:r>
            <w:r w:rsidRPr="00805244">
              <w:rPr>
                <w:noProof/>
                <w:webHidden/>
                <w:color w:val="auto"/>
              </w:rPr>
            </w:r>
            <w:r w:rsidRPr="00805244">
              <w:rPr>
                <w:noProof/>
                <w:webHidden/>
                <w:color w:val="auto"/>
              </w:rPr>
              <w:fldChar w:fldCharType="separate"/>
            </w:r>
            <w:r w:rsidRPr="00805244">
              <w:rPr>
                <w:noProof/>
                <w:webHidden/>
                <w:color w:val="auto"/>
              </w:rPr>
              <w:t>20</w:t>
            </w:r>
            <w:r w:rsidRPr="00805244">
              <w:rPr>
                <w:noProof/>
                <w:webHidden/>
                <w:color w:val="auto"/>
              </w:rPr>
              <w:fldChar w:fldCharType="end"/>
            </w:r>
          </w:hyperlink>
        </w:p>
        <w:p w14:paraId="2EF7E208" w14:textId="01853B9A"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8" w:history="1">
            <w:r w:rsidRPr="00805244">
              <w:rPr>
                <w:rStyle w:val="Hyperlink"/>
                <w:noProof/>
                <w:color w:val="auto"/>
              </w:rPr>
              <w:t>2.3.3 AI-Enabled Personalisation and Predictive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_Toc241072248 \h </w:instrText>
            </w:r>
            <w:r w:rsidRPr="00805244">
              <w:rPr>
                <w:noProof/>
                <w:webHidden/>
                <w:color w:val="auto"/>
              </w:rPr>
            </w:r>
            <w:r w:rsidRPr="00805244">
              <w:rPr>
                <w:noProof/>
                <w:webHidden/>
                <w:color w:val="auto"/>
              </w:rPr>
              <w:fldChar w:fldCharType="separate"/>
            </w:r>
            <w:r w:rsidRPr="00805244">
              <w:rPr>
                <w:noProof/>
                <w:webHidden/>
                <w:color w:val="auto"/>
              </w:rPr>
              <w:t>21</w:t>
            </w:r>
            <w:r w:rsidRPr="00805244">
              <w:rPr>
                <w:noProof/>
                <w:webHidden/>
                <w:color w:val="auto"/>
              </w:rPr>
              <w:fldChar w:fldCharType="end"/>
            </w:r>
          </w:hyperlink>
        </w:p>
        <w:p w14:paraId="76A717D2" w14:textId="06776EAD"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49" w:history="1">
            <w:r w:rsidRPr="00805244">
              <w:rPr>
                <w:rStyle w:val="Hyperlink"/>
                <w:noProof/>
                <w:color w:val="auto"/>
              </w:rPr>
              <w:t>2.3.4 AI Tools, Patient Experience and Perceived Service Quality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_Toc241072249 \h </w:instrText>
            </w:r>
            <w:r w:rsidRPr="00805244">
              <w:rPr>
                <w:noProof/>
                <w:webHidden/>
                <w:color w:val="auto"/>
              </w:rPr>
            </w:r>
            <w:r w:rsidRPr="00805244">
              <w:rPr>
                <w:noProof/>
                <w:webHidden/>
                <w:color w:val="auto"/>
              </w:rPr>
              <w:fldChar w:fldCharType="separate"/>
            </w:r>
            <w:r w:rsidRPr="00805244">
              <w:rPr>
                <w:noProof/>
                <w:webHidden/>
                <w:color w:val="auto"/>
              </w:rPr>
              <w:t>24</w:t>
            </w:r>
            <w:r w:rsidRPr="00805244">
              <w:rPr>
                <w:noProof/>
                <w:webHidden/>
                <w:color w:val="auto"/>
              </w:rPr>
              <w:fldChar w:fldCharType="end"/>
            </w:r>
          </w:hyperlink>
        </w:p>
        <w:p w14:paraId="0349DCD3" w14:textId="6D1760DE"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0" w:history="1">
            <w:r w:rsidRPr="00805244">
              <w:rPr>
                <w:rStyle w:val="Hyperlink"/>
                <w:noProof/>
                <w:color w:val="auto"/>
              </w:rPr>
              <w:t>2.4 Influence of AI Tools on Consumer Trust in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_Toc241072250 \h </w:instrText>
            </w:r>
            <w:r w:rsidRPr="00805244">
              <w:rPr>
                <w:noProof/>
                <w:webHidden/>
                <w:color w:val="auto"/>
              </w:rPr>
            </w:r>
            <w:r w:rsidRPr="00805244">
              <w:rPr>
                <w:noProof/>
                <w:webHidden/>
                <w:color w:val="auto"/>
              </w:rPr>
              <w:fldChar w:fldCharType="separate"/>
            </w:r>
            <w:r w:rsidRPr="00805244">
              <w:rPr>
                <w:noProof/>
                <w:webHidden/>
                <w:color w:val="auto"/>
              </w:rPr>
              <w:t>25</w:t>
            </w:r>
            <w:r w:rsidRPr="00805244">
              <w:rPr>
                <w:noProof/>
                <w:webHidden/>
                <w:color w:val="auto"/>
              </w:rPr>
              <w:fldChar w:fldCharType="end"/>
            </w:r>
          </w:hyperlink>
        </w:p>
        <w:p w14:paraId="43A93A62" w14:textId="5456CDFD"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1" w:history="1">
            <w:r w:rsidRPr="00805244">
              <w:rPr>
                <w:rStyle w:val="Hyperlink"/>
                <w:noProof/>
                <w:color w:val="auto"/>
              </w:rPr>
              <w:t>2.5 Contribution of AI-Enabled Services to Brand Competitiveness in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_Toc241072251 \h </w:instrText>
            </w:r>
            <w:r w:rsidRPr="00805244">
              <w:rPr>
                <w:noProof/>
                <w:webHidden/>
                <w:color w:val="auto"/>
              </w:rPr>
            </w:r>
            <w:r w:rsidRPr="00805244">
              <w:rPr>
                <w:noProof/>
                <w:webHidden/>
                <w:color w:val="auto"/>
              </w:rPr>
              <w:fldChar w:fldCharType="separate"/>
            </w:r>
            <w:r w:rsidRPr="00805244">
              <w:rPr>
                <w:noProof/>
                <w:webHidden/>
                <w:color w:val="auto"/>
              </w:rPr>
              <w:t>27</w:t>
            </w:r>
            <w:r w:rsidRPr="00805244">
              <w:rPr>
                <w:noProof/>
                <w:webHidden/>
                <w:color w:val="auto"/>
              </w:rPr>
              <w:fldChar w:fldCharType="end"/>
            </w:r>
          </w:hyperlink>
        </w:p>
        <w:p w14:paraId="4E319021" w14:textId="6004C311"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2" w:history="1">
            <w:r w:rsidRPr="00805244">
              <w:rPr>
                <w:rStyle w:val="Hyperlink"/>
                <w:noProof/>
                <w:color w:val="auto"/>
              </w:rPr>
              <w:t>2.6 Relationship Between AI Tools, Consumer Trust and Brand Competitiveness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_Toc241072252 \h </w:instrText>
            </w:r>
            <w:r w:rsidRPr="00805244">
              <w:rPr>
                <w:noProof/>
                <w:webHidden/>
                <w:color w:val="auto"/>
              </w:rPr>
            </w:r>
            <w:r w:rsidRPr="00805244">
              <w:rPr>
                <w:noProof/>
                <w:webHidden/>
                <w:color w:val="auto"/>
              </w:rPr>
              <w:fldChar w:fldCharType="separate"/>
            </w:r>
            <w:r w:rsidRPr="00805244">
              <w:rPr>
                <w:noProof/>
                <w:webHidden/>
                <w:color w:val="auto"/>
              </w:rPr>
              <w:t>29</w:t>
            </w:r>
            <w:r w:rsidRPr="00805244">
              <w:rPr>
                <w:noProof/>
                <w:webHidden/>
                <w:color w:val="auto"/>
              </w:rPr>
              <w:fldChar w:fldCharType="end"/>
            </w:r>
          </w:hyperlink>
        </w:p>
        <w:p w14:paraId="5E731A41" w14:textId="0EBF552B"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3" w:history="1">
            <w:r w:rsidRPr="00805244">
              <w:rPr>
                <w:rStyle w:val="Hyperlink"/>
                <w:noProof/>
                <w:color w:val="auto"/>
              </w:rPr>
              <w:t>2.7 Theoretical Framework</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_Toc241072253 \h </w:instrText>
            </w:r>
            <w:r w:rsidRPr="00805244">
              <w:rPr>
                <w:noProof/>
                <w:webHidden/>
                <w:color w:val="auto"/>
              </w:rPr>
            </w:r>
            <w:r w:rsidRPr="00805244">
              <w:rPr>
                <w:noProof/>
                <w:webHidden/>
                <w:color w:val="auto"/>
              </w:rPr>
              <w:fldChar w:fldCharType="separate"/>
            </w:r>
            <w:r w:rsidRPr="00805244">
              <w:rPr>
                <w:noProof/>
                <w:webHidden/>
                <w:color w:val="auto"/>
              </w:rPr>
              <w:t>31</w:t>
            </w:r>
            <w:r w:rsidRPr="00805244">
              <w:rPr>
                <w:noProof/>
                <w:webHidden/>
                <w:color w:val="auto"/>
              </w:rPr>
              <w:fldChar w:fldCharType="end"/>
            </w:r>
          </w:hyperlink>
        </w:p>
        <w:p w14:paraId="00C30868" w14:textId="5734BB2A"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4" w:history="1">
            <w:r w:rsidRPr="00805244">
              <w:rPr>
                <w:rStyle w:val="Hyperlink"/>
                <w:noProof/>
                <w:color w:val="auto"/>
              </w:rPr>
              <w:t>2.8 Literature Gap</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_Toc241072254 \h </w:instrText>
            </w:r>
            <w:r w:rsidRPr="00805244">
              <w:rPr>
                <w:noProof/>
                <w:webHidden/>
                <w:color w:val="auto"/>
              </w:rPr>
            </w:r>
            <w:r w:rsidRPr="00805244">
              <w:rPr>
                <w:noProof/>
                <w:webHidden/>
                <w:color w:val="auto"/>
              </w:rPr>
              <w:fldChar w:fldCharType="separate"/>
            </w:r>
            <w:r w:rsidRPr="00805244">
              <w:rPr>
                <w:noProof/>
                <w:webHidden/>
                <w:color w:val="auto"/>
              </w:rPr>
              <w:t>34</w:t>
            </w:r>
            <w:r w:rsidRPr="00805244">
              <w:rPr>
                <w:noProof/>
                <w:webHidden/>
                <w:color w:val="auto"/>
              </w:rPr>
              <w:fldChar w:fldCharType="end"/>
            </w:r>
          </w:hyperlink>
        </w:p>
        <w:p w14:paraId="55263A9F" w14:textId="365D92C0"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5" w:history="1">
            <w:r w:rsidRPr="00805244">
              <w:rPr>
                <w:rStyle w:val="Hyperlink"/>
                <w:noProof/>
                <w:color w:val="auto"/>
              </w:rPr>
              <w:t>2.9 Conceptual Framework</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_Toc241072255 \h </w:instrText>
            </w:r>
            <w:r w:rsidRPr="00805244">
              <w:rPr>
                <w:noProof/>
                <w:webHidden/>
                <w:color w:val="auto"/>
              </w:rPr>
            </w:r>
            <w:r w:rsidRPr="00805244">
              <w:rPr>
                <w:noProof/>
                <w:webHidden/>
                <w:color w:val="auto"/>
              </w:rPr>
              <w:fldChar w:fldCharType="separate"/>
            </w:r>
            <w:r w:rsidRPr="00805244">
              <w:rPr>
                <w:noProof/>
                <w:webHidden/>
                <w:color w:val="auto"/>
              </w:rPr>
              <w:t>34</w:t>
            </w:r>
            <w:r w:rsidRPr="00805244">
              <w:rPr>
                <w:noProof/>
                <w:webHidden/>
                <w:color w:val="auto"/>
              </w:rPr>
              <w:fldChar w:fldCharType="end"/>
            </w:r>
          </w:hyperlink>
        </w:p>
        <w:p w14:paraId="36A3D27C" w14:textId="7176A88A"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6" w:history="1">
            <w:r w:rsidRPr="00805244">
              <w:rPr>
                <w:rStyle w:val="Hyperlink"/>
                <w:noProof/>
                <w:color w:val="auto"/>
              </w:rPr>
              <w:t>2.10 Summary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_Toc241072256 \h </w:instrText>
            </w:r>
            <w:r w:rsidRPr="00805244">
              <w:rPr>
                <w:noProof/>
                <w:webHidden/>
                <w:color w:val="auto"/>
              </w:rPr>
            </w:r>
            <w:r w:rsidRPr="00805244">
              <w:rPr>
                <w:noProof/>
                <w:webHidden/>
                <w:color w:val="auto"/>
              </w:rPr>
              <w:fldChar w:fldCharType="separate"/>
            </w:r>
            <w:r w:rsidRPr="00805244">
              <w:rPr>
                <w:noProof/>
                <w:webHidden/>
                <w:color w:val="auto"/>
              </w:rPr>
              <w:t>35</w:t>
            </w:r>
            <w:r w:rsidRPr="00805244">
              <w:rPr>
                <w:noProof/>
                <w:webHidden/>
                <w:color w:val="auto"/>
              </w:rPr>
              <w:fldChar w:fldCharType="end"/>
            </w:r>
          </w:hyperlink>
        </w:p>
        <w:p w14:paraId="45CEB37E" w14:textId="3D4A950D" w:rsidR="00FD40AC" w:rsidRPr="00805244" w:rsidRDefault="00FD40AC">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7" w:history="1">
            <w:r w:rsidRPr="00805244">
              <w:rPr>
                <w:rStyle w:val="Hyperlink"/>
                <w:noProof/>
                <w:color w:val="auto"/>
                <w:lang w:val="en-US"/>
              </w:rPr>
              <w:t>Chapter 3: Research Methodology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_Toc241072257 \h </w:instrText>
            </w:r>
            <w:r w:rsidRPr="00805244">
              <w:rPr>
                <w:noProof/>
                <w:webHidden/>
                <w:color w:val="auto"/>
              </w:rPr>
            </w:r>
            <w:r w:rsidRPr="00805244">
              <w:rPr>
                <w:noProof/>
                <w:webHidden/>
                <w:color w:val="auto"/>
              </w:rPr>
              <w:fldChar w:fldCharType="separate"/>
            </w:r>
            <w:r w:rsidRPr="00805244">
              <w:rPr>
                <w:noProof/>
                <w:webHidden/>
                <w:color w:val="auto"/>
              </w:rPr>
              <w:t>36</w:t>
            </w:r>
            <w:r w:rsidRPr="00805244">
              <w:rPr>
                <w:noProof/>
                <w:webHidden/>
                <w:color w:val="auto"/>
              </w:rPr>
              <w:fldChar w:fldCharType="end"/>
            </w:r>
          </w:hyperlink>
        </w:p>
        <w:p w14:paraId="25C8B773" w14:textId="6FE00AA5"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8" w:history="1">
            <w:r w:rsidRPr="00805244">
              <w:rPr>
                <w:rStyle w:val="Hyperlink"/>
                <w:noProof/>
                <w:color w:val="auto"/>
                <w:lang w:val="en-US"/>
              </w:rPr>
              <w:t>3.1 Introduction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_Toc241072258 \h </w:instrText>
            </w:r>
            <w:r w:rsidRPr="00805244">
              <w:rPr>
                <w:noProof/>
                <w:webHidden/>
                <w:color w:val="auto"/>
              </w:rPr>
            </w:r>
            <w:r w:rsidRPr="00805244">
              <w:rPr>
                <w:noProof/>
                <w:webHidden/>
                <w:color w:val="auto"/>
              </w:rPr>
              <w:fldChar w:fldCharType="separate"/>
            </w:r>
            <w:r w:rsidRPr="00805244">
              <w:rPr>
                <w:noProof/>
                <w:webHidden/>
                <w:color w:val="auto"/>
              </w:rPr>
              <w:t>36</w:t>
            </w:r>
            <w:r w:rsidRPr="00805244">
              <w:rPr>
                <w:noProof/>
                <w:webHidden/>
                <w:color w:val="auto"/>
              </w:rPr>
              <w:fldChar w:fldCharType="end"/>
            </w:r>
          </w:hyperlink>
        </w:p>
        <w:p w14:paraId="203285FB" w14:textId="76FC991C"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59" w:history="1">
            <w:r w:rsidRPr="00805244">
              <w:rPr>
                <w:rStyle w:val="Hyperlink"/>
                <w:noProof/>
                <w:color w:val="auto"/>
                <w:lang w:val="en-US"/>
              </w:rPr>
              <w:t>3.2 Philosophy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_Toc241072259 \h </w:instrText>
            </w:r>
            <w:r w:rsidRPr="00805244">
              <w:rPr>
                <w:noProof/>
                <w:webHidden/>
                <w:color w:val="auto"/>
              </w:rPr>
            </w:r>
            <w:r w:rsidRPr="00805244">
              <w:rPr>
                <w:noProof/>
                <w:webHidden/>
                <w:color w:val="auto"/>
              </w:rPr>
              <w:fldChar w:fldCharType="separate"/>
            </w:r>
            <w:r w:rsidRPr="00805244">
              <w:rPr>
                <w:noProof/>
                <w:webHidden/>
                <w:color w:val="auto"/>
              </w:rPr>
              <w:t>36</w:t>
            </w:r>
            <w:r w:rsidRPr="00805244">
              <w:rPr>
                <w:noProof/>
                <w:webHidden/>
                <w:color w:val="auto"/>
              </w:rPr>
              <w:fldChar w:fldCharType="end"/>
            </w:r>
          </w:hyperlink>
        </w:p>
        <w:p w14:paraId="4D4AA16F" w14:textId="68A4E6C6"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0" w:history="1">
            <w:r w:rsidRPr="00805244">
              <w:rPr>
                <w:rStyle w:val="Hyperlink"/>
                <w:noProof/>
                <w:color w:val="auto"/>
                <w:lang w:val="en-US"/>
              </w:rPr>
              <w:t>3.3 Approach</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_Toc241072260 \h </w:instrText>
            </w:r>
            <w:r w:rsidRPr="00805244">
              <w:rPr>
                <w:noProof/>
                <w:webHidden/>
                <w:color w:val="auto"/>
              </w:rPr>
            </w:r>
            <w:r w:rsidRPr="00805244">
              <w:rPr>
                <w:noProof/>
                <w:webHidden/>
                <w:color w:val="auto"/>
              </w:rPr>
              <w:fldChar w:fldCharType="separate"/>
            </w:r>
            <w:r w:rsidRPr="00805244">
              <w:rPr>
                <w:noProof/>
                <w:webHidden/>
                <w:color w:val="auto"/>
              </w:rPr>
              <w:t>37</w:t>
            </w:r>
            <w:r w:rsidRPr="00805244">
              <w:rPr>
                <w:noProof/>
                <w:webHidden/>
                <w:color w:val="auto"/>
              </w:rPr>
              <w:fldChar w:fldCharType="end"/>
            </w:r>
          </w:hyperlink>
        </w:p>
        <w:p w14:paraId="43200274" w14:textId="2C53F587"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1" w:history="1">
            <w:r w:rsidRPr="00805244">
              <w:rPr>
                <w:rStyle w:val="Hyperlink"/>
                <w:noProof/>
                <w:color w:val="auto"/>
                <w:lang w:val="en-US"/>
              </w:rPr>
              <w:t>3.4 Design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_Toc241072261 \h </w:instrText>
            </w:r>
            <w:r w:rsidRPr="00805244">
              <w:rPr>
                <w:noProof/>
                <w:webHidden/>
                <w:color w:val="auto"/>
              </w:rPr>
            </w:r>
            <w:r w:rsidRPr="00805244">
              <w:rPr>
                <w:noProof/>
                <w:webHidden/>
                <w:color w:val="auto"/>
              </w:rPr>
              <w:fldChar w:fldCharType="separate"/>
            </w:r>
            <w:r w:rsidRPr="00805244">
              <w:rPr>
                <w:noProof/>
                <w:webHidden/>
                <w:color w:val="auto"/>
              </w:rPr>
              <w:t>37</w:t>
            </w:r>
            <w:r w:rsidRPr="00805244">
              <w:rPr>
                <w:noProof/>
                <w:webHidden/>
                <w:color w:val="auto"/>
              </w:rPr>
              <w:fldChar w:fldCharType="end"/>
            </w:r>
          </w:hyperlink>
        </w:p>
        <w:p w14:paraId="3E0B01E5" w14:textId="2EE9221E"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2" w:history="1">
            <w:r w:rsidRPr="00805244">
              <w:rPr>
                <w:rStyle w:val="Hyperlink"/>
                <w:noProof/>
                <w:color w:val="auto"/>
                <w:lang w:val="en-US"/>
              </w:rPr>
              <w:t>3.5 Sampling Technique and Sample Size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_Toc241072262 \h </w:instrText>
            </w:r>
            <w:r w:rsidRPr="00805244">
              <w:rPr>
                <w:noProof/>
                <w:webHidden/>
                <w:color w:val="auto"/>
              </w:rPr>
            </w:r>
            <w:r w:rsidRPr="00805244">
              <w:rPr>
                <w:noProof/>
                <w:webHidden/>
                <w:color w:val="auto"/>
              </w:rPr>
              <w:fldChar w:fldCharType="separate"/>
            </w:r>
            <w:r w:rsidRPr="00805244">
              <w:rPr>
                <w:noProof/>
                <w:webHidden/>
                <w:color w:val="auto"/>
              </w:rPr>
              <w:t>39</w:t>
            </w:r>
            <w:r w:rsidRPr="00805244">
              <w:rPr>
                <w:noProof/>
                <w:webHidden/>
                <w:color w:val="auto"/>
              </w:rPr>
              <w:fldChar w:fldCharType="end"/>
            </w:r>
          </w:hyperlink>
        </w:p>
        <w:p w14:paraId="47547B4B" w14:textId="4A960F34"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3" w:history="1">
            <w:r w:rsidRPr="00805244">
              <w:rPr>
                <w:rStyle w:val="Hyperlink"/>
                <w:noProof/>
                <w:color w:val="auto"/>
                <w:lang w:val="en-US"/>
              </w:rPr>
              <w:t>3.6 Data Collection Method</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_Toc241072263 \h </w:instrText>
            </w:r>
            <w:r w:rsidRPr="00805244">
              <w:rPr>
                <w:noProof/>
                <w:webHidden/>
                <w:color w:val="auto"/>
              </w:rPr>
            </w:r>
            <w:r w:rsidRPr="00805244">
              <w:rPr>
                <w:noProof/>
                <w:webHidden/>
                <w:color w:val="auto"/>
              </w:rPr>
              <w:fldChar w:fldCharType="separate"/>
            </w:r>
            <w:r w:rsidRPr="00805244">
              <w:rPr>
                <w:noProof/>
                <w:webHidden/>
                <w:color w:val="auto"/>
              </w:rPr>
              <w:t>40</w:t>
            </w:r>
            <w:r w:rsidRPr="00805244">
              <w:rPr>
                <w:noProof/>
                <w:webHidden/>
                <w:color w:val="auto"/>
              </w:rPr>
              <w:fldChar w:fldCharType="end"/>
            </w:r>
          </w:hyperlink>
        </w:p>
        <w:p w14:paraId="0F0AC291" w14:textId="597E1768"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4" w:history="1">
            <w:r w:rsidRPr="00805244">
              <w:rPr>
                <w:rStyle w:val="Hyperlink"/>
                <w:noProof/>
                <w:color w:val="auto"/>
                <w:lang w:val="en-US"/>
              </w:rPr>
              <w:t>3.7 Data Analysis Method</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_Toc241072264 \h </w:instrText>
            </w:r>
            <w:r w:rsidRPr="00805244">
              <w:rPr>
                <w:noProof/>
                <w:webHidden/>
                <w:color w:val="auto"/>
              </w:rPr>
            </w:r>
            <w:r w:rsidRPr="00805244">
              <w:rPr>
                <w:noProof/>
                <w:webHidden/>
                <w:color w:val="auto"/>
              </w:rPr>
              <w:fldChar w:fldCharType="separate"/>
            </w:r>
            <w:r w:rsidRPr="00805244">
              <w:rPr>
                <w:noProof/>
                <w:webHidden/>
                <w:color w:val="auto"/>
              </w:rPr>
              <w:t>42</w:t>
            </w:r>
            <w:r w:rsidRPr="00805244">
              <w:rPr>
                <w:noProof/>
                <w:webHidden/>
                <w:color w:val="auto"/>
              </w:rPr>
              <w:fldChar w:fldCharType="end"/>
            </w:r>
          </w:hyperlink>
        </w:p>
        <w:p w14:paraId="2AD6F1BE" w14:textId="1C9031B6"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5" w:history="1">
            <w:r w:rsidRPr="00805244">
              <w:rPr>
                <w:rStyle w:val="Hyperlink"/>
                <w:noProof/>
                <w:color w:val="auto"/>
                <w:lang w:val="en-US"/>
              </w:rPr>
              <w:t>3.8 Ethical Consideration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_Toc241072265 \h </w:instrText>
            </w:r>
            <w:r w:rsidRPr="00805244">
              <w:rPr>
                <w:noProof/>
                <w:webHidden/>
                <w:color w:val="auto"/>
              </w:rPr>
            </w:r>
            <w:r w:rsidRPr="00805244">
              <w:rPr>
                <w:noProof/>
                <w:webHidden/>
                <w:color w:val="auto"/>
              </w:rPr>
              <w:fldChar w:fldCharType="separate"/>
            </w:r>
            <w:r w:rsidRPr="00805244">
              <w:rPr>
                <w:noProof/>
                <w:webHidden/>
                <w:color w:val="auto"/>
              </w:rPr>
              <w:t>44</w:t>
            </w:r>
            <w:r w:rsidRPr="00805244">
              <w:rPr>
                <w:noProof/>
                <w:webHidden/>
                <w:color w:val="auto"/>
              </w:rPr>
              <w:fldChar w:fldCharType="end"/>
            </w:r>
          </w:hyperlink>
        </w:p>
        <w:p w14:paraId="1304E14A" w14:textId="1364DC19"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6" w:history="1">
            <w:r w:rsidRPr="00805244">
              <w:rPr>
                <w:rStyle w:val="Hyperlink"/>
                <w:noProof/>
                <w:color w:val="auto"/>
                <w:lang w:val="en-US"/>
              </w:rPr>
              <w:t>3.9 Summary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_Toc241072266 \h </w:instrText>
            </w:r>
            <w:r w:rsidRPr="00805244">
              <w:rPr>
                <w:noProof/>
                <w:webHidden/>
                <w:color w:val="auto"/>
              </w:rPr>
            </w:r>
            <w:r w:rsidRPr="00805244">
              <w:rPr>
                <w:noProof/>
                <w:webHidden/>
                <w:color w:val="auto"/>
              </w:rPr>
              <w:fldChar w:fldCharType="separate"/>
            </w:r>
            <w:r w:rsidRPr="00805244">
              <w:rPr>
                <w:noProof/>
                <w:webHidden/>
                <w:color w:val="auto"/>
              </w:rPr>
              <w:t>45</w:t>
            </w:r>
            <w:r w:rsidRPr="00805244">
              <w:rPr>
                <w:noProof/>
                <w:webHidden/>
                <w:color w:val="auto"/>
              </w:rPr>
              <w:fldChar w:fldCharType="end"/>
            </w:r>
          </w:hyperlink>
        </w:p>
        <w:p w14:paraId="3D439080" w14:textId="573D127C" w:rsidR="00FD40AC" w:rsidRPr="00805244" w:rsidRDefault="00FD40AC">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7" w:history="1">
            <w:r w:rsidRPr="00805244">
              <w:rPr>
                <w:rStyle w:val="Hyperlink"/>
                <w:noProof/>
                <w:color w:val="auto"/>
              </w:rPr>
              <w:t>Chapter 4: Findings and Discussion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_Toc241072267 \h </w:instrText>
            </w:r>
            <w:r w:rsidRPr="00805244">
              <w:rPr>
                <w:noProof/>
                <w:webHidden/>
                <w:color w:val="auto"/>
              </w:rPr>
            </w:r>
            <w:r w:rsidRPr="00805244">
              <w:rPr>
                <w:noProof/>
                <w:webHidden/>
                <w:color w:val="auto"/>
              </w:rPr>
              <w:fldChar w:fldCharType="separate"/>
            </w:r>
            <w:r w:rsidRPr="00805244">
              <w:rPr>
                <w:noProof/>
                <w:webHidden/>
                <w:color w:val="auto"/>
              </w:rPr>
              <w:t>46</w:t>
            </w:r>
            <w:r w:rsidRPr="00805244">
              <w:rPr>
                <w:noProof/>
                <w:webHidden/>
                <w:color w:val="auto"/>
              </w:rPr>
              <w:fldChar w:fldCharType="end"/>
            </w:r>
          </w:hyperlink>
        </w:p>
        <w:p w14:paraId="640B5650" w14:textId="29712EB3"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8" w:history="1">
            <w:r w:rsidRPr="00805244">
              <w:rPr>
                <w:rStyle w:val="Hyperlink"/>
                <w:noProof/>
                <w:color w:val="auto"/>
              </w:rPr>
              <w:t>4.1 Introduction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_Toc241072268 \h </w:instrText>
            </w:r>
            <w:r w:rsidRPr="00805244">
              <w:rPr>
                <w:noProof/>
                <w:webHidden/>
                <w:color w:val="auto"/>
              </w:rPr>
            </w:r>
            <w:r w:rsidRPr="00805244">
              <w:rPr>
                <w:noProof/>
                <w:webHidden/>
                <w:color w:val="auto"/>
              </w:rPr>
              <w:fldChar w:fldCharType="separate"/>
            </w:r>
            <w:r w:rsidRPr="00805244">
              <w:rPr>
                <w:noProof/>
                <w:webHidden/>
                <w:color w:val="auto"/>
              </w:rPr>
              <w:t>46</w:t>
            </w:r>
            <w:r w:rsidRPr="00805244">
              <w:rPr>
                <w:noProof/>
                <w:webHidden/>
                <w:color w:val="auto"/>
              </w:rPr>
              <w:fldChar w:fldCharType="end"/>
            </w:r>
          </w:hyperlink>
        </w:p>
        <w:p w14:paraId="21FB36C5" w14:textId="2CFE192A"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69" w:history="1">
            <w:r w:rsidRPr="00805244">
              <w:rPr>
                <w:rStyle w:val="Hyperlink"/>
                <w:noProof/>
                <w:color w:val="auto"/>
              </w:rPr>
              <w:t>4.2 Demographic Analysis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_Toc241072269 \h </w:instrText>
            </w:r>
            <w:r w:rsidRPr="00805244">
              <w:rPr>
                <w:noProof/>
                <w:webHidden/>
                <w:color w:val="auto"/>
              </w:rPr>
            </w:r>
            <w:r w:rsidRPr="00805244">
              <w:rPr>
                <w:noProof/>
                <w:webHidden/>
                <w:color w:val="auto"/>
              </w:rPr>
              <w:fldChar w:fldCharType="separate"/>
            </w:r>
            <w:r w:rsidRPr="00805244">
              <w:rPr>
                <w:noProof/>
                <w:webHidden/>
                <w:color w:val="auto"/>
              </w:rPr>
              <w:t>46</w:t>
            </w:r>
            <w:r w:rsidRPr="00805244">
              <w:rPr>
                <w:noProof/>
                <w:webHidden/>
                <w:color w:val="auto"/>
              </w:rPr>
              <w:fldChar w:fldCharType="end"/>
            </w:r>
          </w:hyperlink>
        </w:p>
        <w:p w14:paraId="3D70F923" w14:textId="31DA6FE2"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0" w:history="1">
            <w:r w:rsidRPr="00805244">
              <w:rPr>
                <w:rStyle w:val="Hyperlink"/>
                <w:noProof/>
                <w:color w:val="auto"/>
              </w:rPr>
              <w:t>4.3 Descriptive Analysis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_Toc241072270 \h </w:instrText>
            </w:r>
            <w:r w:rsidRPr="00805244">
              <w:rPr>
                <w:noProof/>
                <w:webHidden/>
                <w:color w:val="auto"/>
              </w:rPr>
            </w:r>
            <w:r w:rsidRPr="00805244">
              <w:rPr>
                <w:noProof/>
                <w:webHidden/>
                <w:color w:val="auto"/>
              </w:rPr>
              <w:fldChar w:fldCharType="separate"/>
            </w:r>
            <w:r w:rsidRPr="00805244">
              <w:rPr>
                <w:noProof/>
                <w:webHidden/>
                <w:color w:val="auto"/>
              </w:rPr>
              <w:t>50</w:t>
            </w:r>
            <w:r w:rsidRPr="00805244">
              <w:rPr>
                <w:noProof/>
                <w:webHidden/>
                <w:color w:val="auto"/>
              </w:rPr>
              <w:fldChar w:fldCharType="end"/>
            </w:r>
          </w:hyperlink>
        </w:p>
        <w:p w14:paraId="321277D3" w14:textId="1F3C5DFE"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1" w:history="1">
            <w:r w:rsidRPr="00805244">
              <w:rPr>
                <w:rStyle w:val="Hyperlink"/>
                <w:noProof/>
                <w:color w:val="auto"/>
              </w:rPr>
              <w:t>4.4 Reliability Analysis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_Toc241072271 \h </w:instrText>
            </w:r>
            <w:r w:rsidRPr="00805244">
              <w:rPr>
                <w:noProof/>
                <w:webHidden/>
                <w:color w:val="auto"/>
              </w:rPr>
            </w:r>
            <w:r w:rsidRPr="00805244">
              <w:rPr>
                <w:noProof/>
                <w:webHidden/>
                <w:color w:val="auto"/>
              </w:rPr>
              <w:fldChar w:fldCharType="separate"/>
            </w:r>
            <w:r w:rsidRPr="00805244">
              <w:rPr>
                <w:noProof/>
                <w:webHidden/>
                <w:color w:val="auto"/>
              </w:rPr>
              <w:t>52</w:t>
            </w:r>
            <w:r w:rsidRPr="00805244">
              <w:rPr>
                <w:noProof/>
                <w:webHidden/>
                <w:color w:val="auto"/>
              </w:rPr>
              <w:fldChar w:fldCharType="end"/>
            </w:r>
          </w:hyperlink>
        </w:p>
        <w:p w14:paraId="098BB7C4" w14:textId="4B9E531C"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2" w:history="1">
            <w:r w:rsidRPr="00805244">
              <w:rPr>
                <w:rStyle w:val="Hyperlink"/>
                <w:noProof/>
                <w:color w:val="auto"/>
              </w:rPr>
              <w:t>4.5 Validity Analysis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_Toc241072272 \h </w:instrText>
            </w:r>
            <w:r w:rsidRPr="00805244">
              <w:rPr>
                <w:noProof/>
                <w:webHidden/>
                <w:color w:val="auto"/>
              </w:rPr>
            </w:r>
            <w:r w:rsidRPr="00805244">
              <w:rPr>
                <w:noProof/>
                <w:webHidden/>
                <w:color w:val="auto"/>
              </w:rPr>
              <w:fldChar w:fldCharType="separate"/>
            </w:r>
            <w:r w:rsidRPr="00805244">
              <w:rPr>
                <w:noProof/>
                <w:webHidden/>
                <w:color w:val="auto"/>
              </w:rPr>
              <w:t>52</w:t>
            </w:r>
            <w:r w:rsidRPr="00805244">
              <w:rPr>
                <w:noProof/>
                <w:webHidden/>
                <w:color w:val="auto"/>
              </w:rPr>
              <w:fldChar w:fldCharType="end"/>
            </w:r>
          </w:hyperlink>
        </w:p>
        <w:p w14:paraId="50159313" w14:textId="0A41459B"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3" w:history="1">
            <w:r w:rsidRPr="00805244">
              <w:rPr>
                <w:rStyle w:val="Hyperlink"/>
                <w:noProof/>
                <w:color w:val="auto"/>
              </w:rPr>
              <w:t>4.6 Hypothesis Testing using Correlation and Regression Analysis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_Toc241072273 \h </w:instrText>
            </w:r>
            <w:r w:rsidRPr="00805244">
              <w:rPr>
                <w:noProof/>
                <w:webHidden/>
                <w:color w:val="auto"/>
              </w:rPr>
            </w:r>
            <w:r w:rsidRPr="00805244">
              <w:rPr>
                <w:noProof/>
                <w:webHidden/>
                <w:color w:val="auto"/>
              </w:rPr>
              <w:fldChar w:fldCharType="separate"/>
            </w:r>
            <w:r w:rsidRPr="00805244">
              <w:rPr>
                <w:noProof/>
                <w:webHidden/>
                <w:color w:val="auto"/>
              </w:rPr>
              <w:t>53</w:t>
            </w:r>
            <w:r w:rsidRPr="00805244">
              <w:rPr>
                <w:noProof/>
                <w:webHidden/>
                <w:color w:val="auto"/>
              </w:rPr>
              <w:fldChar w:fldCharType="end"/>
            </w:r>
          </w:hyperlink>
        </w:p>
        <w:p w14:paraId="66B81492" w14:textId="32EBEE87"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4" w:history="1">
            <w:r w:rsidRPr="00805244">
              <w:rPr>
                <w:rStyle w:val="Hyperlink"/>
                <w:noProof/>
                <w:color w:val="auto"/>
              </w:rPr>
              <w:t>4.6.1 Hypothesis Model 1</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_Toc241072274 \h </w:instrText>
            </w:r>
            <w:r w:rsidRPr="00805244">
              <w:rPr>
                <w:noProof/>
                <w:webHidden/>
                <w:color w:val="auto"/>
              </w:rPr>
            </w:r>
            <w:r w:rsidRPr="00805244">
              <w:rPr>
                <w:noProof/>
                <w:webHidden/>
                <w:color w:val="auto"/>
              </w:rPr>
              <w:fldChar w:fldCharType="separate"/>
            </w:r>
            <w:r w:rsidRPr="00805244">
              <w:rPr>
                <w:noProof/>
                <w:webHidden/>
                <w:color w:val="auto"/>
              </w:rPr>
              <w:t>53</w:t>
            </w:r>
            <w:r w:rsidRPr="00805244">
              <w:rPr>
                <w:noProof/>
                <w:webHidden/>
                <w:color w:val="auto"/>
              </w:rPr>
              <w:fldChar w:fldCharType="end"/>
            </w:r>
          </w:hyperlink>
        </w:p>
        <w:p w14:paraId="3EFA089F" w14:textId="50037966"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5" w:history="1">
            <w:r w:rsidRPr="00805244">
              <w:rPr>
                <w:rStyle w:val="Hyperlink"/>
                <w:noProof/>
                <w:color w:val="auto"/>
              </w:rPr>
              <w:t>4.6.2 Hypothesis Model 2</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_Toc241072275 \h </w:instrText>
            </w:r>
            <w:r w:rsidRPr="00805244">
              <w:rPr>
                <w:noProof/>
                <w:webHidden/>
                <w:color w:val="auto"/>
              </w:rPr>
            </w:r>
            <w:r w:rsidRPr="00805244">
              <w:rPr>
                <w:noProof/>
                <w:webHidden/>
                <w:color w:val="auto"/>
              </w:rPr>
              <w:fldChar w:fldCharType="separate"/>
            </w:r>
            <w:r w:rsidRPr="00805244">
              <w:rPr>
                <w:noProof/>
                <w:webHidden/>
                <w:color w:val="auto"/>
              </w:rPr>
              <w:t>55</w:t>
            </w:r>
            <w:r w:rsidRPr="00805244">
              <w:rPr>
                <w:noProof/>
                <w:webHidden/>
                <w:color w:val="auto"/>
              </w:rPr>
              <w:fldChar w:fldCharType="end"/>
            </w:r>
          </w:hyperlink>
        </w:p>
        <w:p w14:paraId="19297E9A" w14:textId="3CF58718"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6" w:history="1">
            <w:r w:rsidRPr="00805244">
              <w:rPr>
                <w:rStyle w:val="Hyperlink"/>
                <w:noProof/>
                <w:color w:val="auto"/>
              </w:rPr>
              <w:t>4.6.3 Hypothesis Model 3</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_Toc241072276 \h </w:instrText>
            </w:r>
            <w:r w:rsidRPr="00805244">
              <w:rPr>
                <w:noProof/>
                <w:webHidden/>
                <w:color w:val="auto"/>
              </w:rPr>
            </w:r>
            <w:r w:rsidRPr="00805244">
              <w:rPr>
                <w:noProof/>
                <w:webHidden/>
                <w:color w:val="auto"/>
              </w:rPr>
              <w:fldChar w:fldCharType="separate"/>
            </w:r>
            <w:r w:rsidRPr="00805244">
              <w:rPr>
                <w:noProof/>
                <w:webHidden/>
                <w:color w:val="auto"/>
              </w:rPr>
              <w:t>57</w:t>
            </w:r>
            <w:r w:rsidRPr="00805244">
              <w:rPr>
                <w:noProof/>
                <w:webHidden/>
                <w:color w:val="auto"/>
              </w:rPr>
              <w:fldChar w:fldCharType="end"/>
            </w:r>
          </w:hyperlink>
        </w:p>
        <w:p w14:paraId="67EA8E51" w14:textId="35932037" w:rsidR="00FD40AC" w:rsidRPr="00805244" w:rsidRDefault="00FD40AC">
          <w:pPr>
            <w:pStyle w:val="TOC3"/>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7" w:history="1">
            <w:r w:rsidRPr="00805244">
              <w:rPr>
                <w:rStyle w:val="Hyperlink"/>
                <w:noProof/>
                <w:color w:val="auto"/>
              </w:rPr>
              <w:t>4.6.4 Hypothesis Model 4</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_Toc241072277 \h </w:instrText>
            </w:r>
            <w:r w:rsidRPr="00805244">
              <w:rPr>
                <w:noProof/>
                <w:webHidden/>
                <w:color w:val="auto"/>
              </w:rPr>
            </w:r>
            <w:r w:rsidRPr="00805244">
              <w:rPr>
                <w:noProof/>
                <w:webHidden/>
                <w:color w:val="auto"/>
              </w:rPr>
              <w:fldChar w:fldCharType="separate"/>
            </w:r>
            <w:r w:rsidRPr="00805244">
              <w:rPr>
                <w:noProof/>
                <w:webHidden/>
                <w:color w:val="auto"/>
              </w:rPr>
              <w:t>59</w:t>
            </w:r>
            <w:r w:rsidRPr="00805244">
              <w:rPr>
                <w:noProof/>
                <w:webHidden/>
                <w:color w:val="auto"/>
              </w:rPr>
              <w:fldChar w:fldCharType="end"/>
            </w:r>
          </w:hyperlink>
        </w:p>
        <w:p w14:paraId="2C62B85B" w14:textId="5563E503"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8" w:history="1">
            <w:r w:rsidRPr="00805244">
              <w:rPr>
                <w:rStyle w:val="Hyperlink"/>
                <w:noProof/>
                <w:color w:val="auto"/>
              </w:rPr>
              <w:t>4.7 Discussion</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_Toc241072278 \h </w:instrText>
            </w:r>
            <w:r w:rsidRPr="00805244">
              <w:rPr>
                <w:noProof/>
                <w:webHidden/>
                <w:color w:val="auto"/>
              </w:rPr>
            </w:r>
            <w:r w:rsidRPr="00805244">
              <w:rPr>
                <w:noProof/>
                <w:webHidden/>
                <w:color w:val="auto"/>
              </w:rPr>
              <w:fldChar w:fldCharType="separate"/>
            </w:r>
            <w:r w:rsidRPr="00805244">
              <w:rPr>
                <w:noProof/>
                <w:webHidden/>
                <w:color w:val="auto"/>
              </w:rPr>
              <w:t>61</w:t>
            </w:r>
            <w:r w:rsidRPr="00805244">
              <w:rPr>
                <w:noProof/>
                <w:webHidden/>
                <w:color w:val="auto"/>
              </w:rPr>
              <w:fldChar w:fldCharType="end"/>
            </w:r>
          </w:hyperlink>
        </w:p>
        <w:p w14:paraId="6247495B" w14:textId="67A44104"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79" w:history="1">
            <w:r w:rsidRPr="00805244">
              <w:rPr>
                <w:rStyle w:val="Hyperlink"/>
                <w:noProof/>
                <w:color w:val="auto"/>
              </w:rPr>
              <w:t>4.8 Summary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_Toc241072279 \h </w:instrText>
            </w:r>
            <w:r w:rsidRPr="00805244">
              <w:rPr>
                <w:noProof/>
                <w:webHidden/>
                <w:color w:val="auto"/>
              </w:rPr>
            </w:r>
            <w:r w:rsidRPr="00805244">
              <w:rPr>
                <w:noProof/>
                <w:webHidden/>
                <w:color w:val="auto"/>
              </w:rPr>
              <w:fldChar w:fldCharType="separate"/>
            </w:r>
            <w:r w:rsidRPr="00805244">
              <w:rPr>
                <w:noProof/>
                <w:webHidden/>
                <w:color w:val="auto"/>
              </w:rPr>
              <w:t>65</w:t>
            </w:r>
            <w:r w:rsidRPr="00805244">
              <w:rPr>
                <w:noProof/>
                <w:webHidden/>
                <w:color w:val="auto"/>
              </w:rPr>
              <w:fldChar w:fldCharType="end"/>
            </w:r>
          </w:hyperlink>
        </w:p>
        <w:p w14:paraId="63D62124" w14:textId="4933C123" w:rsidR="00FD40AC" w:rsidRPr="00805244" w:rsidRDefault="00FD40AC">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0" w:history="1">
            <w:r w:rsidRPr="00805244">
              <w:rPr>
                <w:rStyle w:val="Hyperlink"/>
                <w:noProof/>
                <w:color w:val="auto"/>
              </w:rPr>
              <w:t>Chapter 5: Recommendations and Conclusions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_Toc241072280 \h </w:instrText>
            </w:r>
            <w:r w:rsidRPr="00805244">
              <w:rPr>
                <w:noProof/>
                <w:webHidden/>
                <w:color w:val="auto"/>
              </w:rPr>
            </w:r>
            <w:r w:rsidRPr="00805244">
              <w:rPr>
                <w:noProof/>
                <w:webHidden/>
                <w:color w:val="auto"/>
              </w:rPr>
              <w:fldChar w:fldCharType="separate"/>
            </w:r>
            <w:r w:rsidRPr="00805244">
              <w:rPr>
                <w:noProof/>
                <w:webHidden/>
                <w:color w:val="auto"/>
              </w:rPr>
              <w:t>66</w:t>
            </w:r>
            <w:r w:rsidRPr="00805244">
              <w:rPr>
                <w:noProof/>
                <w:webHidden/>
                <w:color w:val="auto"/>
              </w:rPr>
              <w:fldChar w:fldCharType="end"/>
            </w:r>
          </w:hyperlink>
        </w:p>
        <w:p w14:paraId="28C2504D" w14:textId="61B1661B"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1" w:history="1">
            <w:r w:rsidRPr="00805244">
              <w:rPr>
                <w:rStyle w:val="Hyperlink"/>
                <w:noProof/>
                <w:color w:val="auto"/>
              </w:rPr>
              <w:t>5.1 Conclusions and Answers to the Research Questions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_Toc241072281 \h </w:instrText>
            </w:r>
            <w:r w:rsidRPr="00805244">
              <w:rPr>
                <w:noProof/>
                <w:webHidden/>
                <w:color w:val="auto"/>
              </w:rPr>
            </w:r>
            <w:r w:rsidRPr="00805244">
              <w:rPr>
                <w:noProof/>
                <w:webHidden/>
                <w:color w:val="auto"/>
              </w:rPr>
              <w:fldChar w:fldCharType="separate"/>
            </w:r>
            <w:r w:rsidRPr="00805244">
              <w:rPr>
                <w:noProof/>
                <w:webHidden/>
                <w:color w:val="auto"/>
              </w:rPr>
              <w:t>66</w:t>
            </w:r>
            <w:r w:rsidRPr="00805244">
              <w:rPr>
                <w:noProof/>
                <w:webHidden/>
                <w:color w:val="auto"/>
              </w:rPr>
              <w:fldChar w:fldCharType="end"/>
            </w:r>
          </w:hyperlink>
        </w:p>
        <w:p w14:paraId="418F54DE" w14:textId="1A707501"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2" w:history="1">
            <w:r w:rsidRPr="00805244">
              <w:rPr>
                <w:rStyle w:val="Hyperlink"/>
                <w:noProof/>
                <w:color w:val="auto"/>
              </w:rPr>
              <w:t>5.2 Achievement of Research Objectives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_Toc241072282 \h </w:instrText>
            </w:r>
            <w:r w:rsidRPr="00805244">
              <w:rPr>
                <w:noProof/>
                <w:webHidden/>
                <w:color w:val="auto"/>
              </w:rPr>
            </w:r>
            <w:r w:rsidRPr="00805244">
              <w:rPr>
                <w:noProof/>
                <w:webHidden/>
                <w:color w:val="auto"/>
              </w:rPr>
              <w:fldChar w:fldCharType="separate"/>
            </w:r>
            <w:r w:rsidRPr="00805244">
              <w:rPr>
                <w:noProof/>
                <w:webHidden/>
                <w:color w:val="auto"/>
              </w:rPr>
              <w:t>67</w:t>
            </w:r>
            <w:r w:rsidRPr="00805244">
              <w:rPr>
                <w:noProof/>
                <w:webHidden/>
                <w:color w:val="auto"/>
              </w:rPr>
              <w:fldChar w:fldCharType="end"/>
            </w:r>
          </w:hyperlink>
        </w:p>
        <w:p w14:paraId="32B799A6" w14:textId="3030DCFC"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3" w:history="1">
            <w:r w:rsidRPr="00805244">
              <w:rPr>
                <w:rStyle w:val="Hyperlink"/>
                <w:noProof/>
                <w:color w:val="auto"/>
              </w:rPr>
              <w:t>5.3 Recommendations for Managerial Practice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_Toc241072283 \h </w:instrText>
            </w:r>
            <w:r w:rsidRPr="00805244">
              <w:rPr>
                <w:noProof/>
                <w:webHidden/>
                <w:color w:val="auto"/>
              </w:rPr>
            </w:r>
            <w:r w:rsidRPr="00805244">
              <w:rPr>
                <w:noProof/>
                <w:webHidden/>
                <w:color w:val="auto"/>
              </w:rPr>
              <w:fldChar w:fldCharType="separate"/>
            </w:r>
            <w:r w:rsidRPr="00805244">
              <w:rPr>
                <w:noProof/>
                <w:webHidden/>
                <w:color w:val="auto"/>
              </w:rPr>
              <w:t>69</w:t>
            </w:r>
            <w:r w:rsidRPr="00805244">
              <w:rPr>
                <w:noProof/>
                <w:webHidden/>
                <w:color w:val="auto"/>
              </w:rPr>
              <w:fldChar w:fldCharType="end"/>
            </w:r>
          </w:hyperlink>
        </w:p>
        <w:p w14:paraId="488E3658" w14:textId="7F26E909"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4" w:history="1">
            <w:r w:rsidRPr="00805244">
              <w:rPr>
                <w:rStyle w:val="Hyperlink"/>
                <w:noProof/>
                <w:color w:val="auto"/>
              </w:rPr>
              <w:t>5.4 Contribution to Theory and New Knowledge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_Toc241072284 \h </w:instrText>
            </w:r>
            <w:r w:rsidRPr="00805244">
              <w:rPr>
                <w:noProof/>
                <w:webHidden/>
                <w:color w:val="auto"/>
              </w:rPr>
            </w:r>
            <w:r w:rsidRPr="00805244">
              <w:rPr>
                <w:noProof/>
                <w:webHidden/>
                <w:color w:val="auto"/>
              </w:rPr>
              <w:fldChar w:fldCharType="separate"/>
            </w:r>
            <w:r w:rsidRPr="00805244">
              <w:rPr>
                <w:noProof/>
                <w:webHidden/>
                <w:color w:val="auto"/>
              </w:rPr>
              <w:t>71</w:t>
            </w:r>
            <w:r w:rsidRPr="00805244">
              <w:rPr>
                <w:noProof/>
                <w:webHidden/>
                <w:color w:val="auto"/>
              </w:rPr>
              <w:fldChar w:fldCharType="end"/>
            </w:r>
          </w:hyperlink>
        </w:p>
        <w:p w14:paraId="12C79AEC" w14:textId="31E15A02" w:rsidR="00FD40AC" w:rsidRPr="00805244" w:rsidRDefault="00FD40AC">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5" w:history="1">
            <w:r w:rsidRPr="00805244">
              <w:rPr>
                <w:rStyle w:val="Hyperlink"/>
                <w:noProof/>
                <w:color w:val="auto"/>
              </w:rPr>
              <w:t>5.5 Limitations and Directions for Future Research</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_Toc241072285 \h </w:instrText>
            </w:r>
            <w:r w:rsidRPr="00805244">
              <w:rPr>
                <w:noProof/>
                <w:webHidden/>
                <w:color w:val="auto"/>
              </w:rPr>
            </w:r>
            <w:r w:rsidRPr="00805244">
              <w:rPr>
                <w:noProof/>
                <w:webHidden/>
                <w:color w:val="auto"/>
              </w:rPr>
              <w:fldChar w:fldCharType="separate"/>
            </w:r>
            <w:r w:rsidRPr="00805244">
              <w:rPr>
                <w:noProof/>
                <w:webHidden/>
                <w:color w:val="auto"/>
              </w:rPr>
              <w:t>71</w:t>
            </w:r>
            <w:r w:rsidRPr="00805244">
              <w:rPr>
                <w:noProof/>
                <w:webHidden/>
                <w:color w:val="auto"/>
              </w:rPr>
              <w:fldChar w:fldCharType="end"/>
            </w:r>
          </w:hyperlink>
        </w:p>
        <w:p w14:paraId="0E8F181E" w14:textId="3D380A28" w:rsidR="00FD40AC" w:rsidRPr="00805244" w:rsidRDefault="00FD40AC">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6" w:history="1">
            <w:r w:rsidRPr="00805244">
              <w:rPr>
                <w:rStyle w:val="Hyperlink"/>
                <w:noProof/>
                <w:color w:val="auto"/>
              </w:rPr>
              <w:t>References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_Toc241072286 \h </w:instrText>
            </w:r>
            <w:r w:rsidRPr="00805244">
              <w:rPr>
                <w:noProof/>
                <w:webHidden/>
                <w:color w:val="auto"/>
              </w:rPr>
            </w:r>
            <w:r w:rsidRPr="00805244">
              <w:rPr>
                <w:noProof/>
                <w:webHidden/>
                <w:color w:val="auto"/>
              </w:rPr>
              <w:fldChar w:fldCharType="separate"/>
            </w:r>
            <w:r w:rsidRPr="00805244">
              <w:rPr>
                <w:noProof/>
                <w:webHidden/>
                <w:color w:val="auto"/>
              </w:rPr>
              <w:t>73</w:t>
            </w:r>
            <w:r w:rsidRPr="00805244">
              <w:rPr>
                <w:noProof/>
                <w:webHidden/>
                <w:color w:val="auto"/>
              </w:rPr>
              <w:fldChar w:fldCharType="end"/>
            </w:r>
          </w:hyperlink>
        </w:p>
        <w:p w14:paraId="229CFC36" w14:textId="7DD06F97" w:rsidR="00FD40AC" w:rsidRPr="00805244" w:rsidRDefault="00FD40AC">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87" w:history="1">
            <w:r w:rsidRPr="00805244">
              <w:rPr>
                <w:rStyle w:val="Hyperlink"/>
                <w:noProof/>
                <w:color w:val="auto"/>
                <w:lang w:val="en-US"/>
              </w:rPr>
              <w:t>Appendix 1: Survey Questionnaire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_Toc241072287 \h </w:instrText>
            </w:r>
            <w:r w:rsidRPr="00805244">
              <w:rPr>
                <w:noProof/>
                <w:webHidden/>
                <w:color w:val="auto"/>
              </w:rPr>
            </w:r>
            <w:r w:rsidRPr="00805244">
              <w:rPr>
                <w:noProof/>
                <w:webHidden/>
                <w:color w:val="auto"/>
              </w:rPr>
              <w:fldChar w:fldCharType="separate"/>
            </w:r>
            <w:r w:rsidRPr="00805244">
              <w:rPr>
                <w:noProof/>
                <w:webHidden/>
                <w:color w:val="auto"/>
              </w:rPr>
              <w:t>89</w:t>
            </w:r>
            <w:r w:rsidRPr="00805244">
              <w:rPr>
                <w:noProof/>
                <w:webHidden/>
                <w:color w:val="auto"/>
              </w:rPr>
              <w:fldChar w:fldCharType="end"/>
            </w:r>
          </w:hyperlink>
        </w:p>
        <w:p w14:paraId="5CEE5E0E" w14:textId="7B8457C4" w:rsidR="003F4E9C" w:rsidRPr="00805244" w:rsidRDefault="005531EA" w:rsidP="003F4E9C">
          <w:pPr>
            <w:rPr>
              <w:b/>
              <w:bCs/>
              <w:noProof/>
              <w:color w:val="auto"/>
            </w:rPr>
          </w:pPr>
          <w:r w:rsidRPr="00805244">
            <w:rPr>
              <w:b/>
              <w:bCs/>
              <w:noProof/>
              <w:color w:val="auto"/>
            </w:rPr>
            <w:fldChar w:fldCharType="end"/>
          </w:r>
        </w:p>
      </w:sdtContent>
    </w:sdt>
    <w:p w14:paraId="3F9B1926" w14:textId="77777777" w:rsidR="00935B65" w:rsidRPr="00805244" w:rsidRDefault="00935B65">
      <w:pPr>
        <w:spacing w:line="360" w:lineRule="auto"/>
        <w:rPr>
          <w:b/>
          <w:bCs/>
          <w:color w:val="auto"/>
          <w:sz w:val="28"/>
          <w:szCs w:val="28"/>
        </w:rPr>
      </w:pPr>
      <w:r w:rsidRPr="00805244">
        <w:rPr>
          <w:b/>
          <w:bCs/>
          <w:color w:val="auto"/>
          <w:sz w:val="28"/>
          <w:szCs w:val="28"/>
        </w:rPr>
        <w:br w:type="page"/>
      </w:r>
    </w:p>
    <w:p w14:paraId="3C20AD62" w14:textId="77777777" w:rsidR="003F4E9C" w:rsidRPr="00805244" w:rsidRDefault="003F4E9C" w:rsidP="003F4E9C">
      <w:pPr>
        <w:jc w:val="center"/>
        <w:rPr>
          <w:b/>
          <w:bCs/>
          <w:color w:val="auto"/>
          <w:sz w:val="28"/>
          <w:szCs w:val="28"/>
        </w:rPr>
      </w:pPr>
      <w:r w:rsidRPr="00805244">
        <w:rPr>
          <w:b/>
          <w:bCs/>
          <w:color w:val="auto"/>
          <w:sz w:val="28"/>
          <w:szCs w:val="28"/>
        </w:rPr>
        <w:lastRenderedPageBreak/>
        <w:t>List of Figures</w:t>
      </w:r>
    </w:p>
    <w:p w14:paraId="676ACBE6" w14:textId="05AF73D0" w:rsidR="00FD40AC" w:rsidRPr="00805244" w:rsidRDefault="007036B2">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r w:rsidRPr="00805244">
        <w:rPr>
          <w:b/>
          <w:bCs/>
          <w:color w:val="auto"/>
          <w:sz w:val="28"/>
          <w:szCs w:val="28"/>
        </w:rPr>
        <w:fldChar w:fldCharType="begin"/>
      </w:r>
      <w:r w:rsidRPr="00805244">
        <w:rPr>
          <w:b/>
          <w:bCs/>
          <w:color w:val="auto"/>
          <w:sz w:val="28"/>
          <w:szCs w:val="28"/>
        </w:rPr>
        <w:instrText xml:space="preserve"> TOC \h \z \t "Heading 4" \c </w:instrText>
      </w:r>
      <w:r w:rsidRPr="00805244">
        <w:rPr>
          <w:b/>
          <w:bCs/>
          <w:color w:val="auto"/>
          <w:sz w:val="28"/>
          <w:szCs w:val="28"/>
        </w:rPr>
        <w:fldChar w:fldCharType="separate"/>
      </w:r>
      <w:hyperlink w:anchor="_Toc241072217" w:history="1">
        <w:r w:rsidR="00FD40AC" w:rsidRPr="00805244">
          <w:rPr>
            <w:rStyle w:val="Hyperlink"/>
            <w:noProof/>
            <w:color w:val="auto"/>
          </w:rPr>
          <w:t>Figure 1: AI-Generated vs Surgeon-Written Medical Reports</w:t>
        </w:r>
        <w:r w:rsidR="00FD40AC" w:rsidRPr="00805244">
          <w:rPr>
            <w:noProof/>
            <w:webHidden/>
            <w:color w:val="auto"/>
          </w:rPr>
          <w:tab/>
        </w:r>
        <w:r w:rsidR="00FD40AC" w:rsidRPr="00805244">
          <w:rPr>
            <w:noProof/>
            <w:webHidden/>
            <w:color w:val="auto"/>
          </w:rPr>
          <w:fldChar w:fldCharType="begin"/>
        </w:r>
        <w:r w:rsidR="00FD40AC" w:rsidRPr="00805244">
          <w:rPr>
            <w:noProof/>
            <w:webHidden/>
            <w:color w:val="auto"/>
          </w:rPr>
          <w:instrText xml:space="preserve"> PAGEREF _Toc241072217 \h </w:instrText>
        </w:r>
        <w:r w:rsidR="00FD40AC" w:rsidRPr="00805244">
          <w:rPr>
            <w:noProof/>
            <w:webHidden/>
            <w:color w:val="auto"/>
          </w:rPr>
        </w:r>
        <w:r w:rsidR="00FD40AC" w:rsidRPr="00805244">
          <w:rPr>
            <w:noProof/>
            <w:webHidden/>
            <w:color w:val="auto"/>
          </w:rPr>
          <w:fldChar w:fldCharType="separate"/>
        </w:r>
        <w:r w:rsidR="00FD40AC" w:rsidRPr="00805244">
          <w:rPr>
            <w:noProof/>
            <w:webHidden/>
            <w:color w:val="auto"/>
          </w:rPr>
          <w:t>21</w:t>
        </w:r>
        <w:r w:rsidR="00FD40AC" w:rsidRPr="00805244">
          <w:rPr>
            <w:noProof/>
            <w:webHidden/>
            <w:color w:val="auto"/>
          </w:rPr>
          <w:fldChar w:fldCharType="end"/>
        </w:r>
      </w:hyperlink>
    </w:p>
    <w:p w14:paraId="071D14E5" w14:textId="229330CB"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8" w:history="1">
        <w:r w:rsidRPr="00805244">
          <w:rPr>
            <w:rStyle w:val="Hyperlink"/>
            <w:noProof/>
            <w:color w:val="auto"/>
          </w:rPr>
          <w:t>Figure 2: AI-Based Personalised Treatment Framework</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_Toc241072218 \h </w:instrText>
        </w:r>
        <w:r w:rsidRPr="00805244">
          <w:rPr>
            <w:noProof/>
            <w:webHidden/>
            <w:color w:val="auto"/>
          </w:rPr>
        </w:r>
        <w:r w:rsidRPr="00805244">
          <w:rPr>
            <w:noProof/>
            <w:webHidden/>
            <w:color w:val="auto"/>
          </w:rPr>
          <w:fldChar w:fldCharType="separate"/>
        </w:r>
        <w:r w:rsidRPr="00805244">
          <w:rPr>
            <w:noProof/>
            <w:webHidden/>
            <w:color w:val="auto"/>
          </w:rPr>
          <w:t>23</w:t>
        </w:r>
        <w:r w:rsidRPr="00805244">
          <w:rPr>
            <w:noProof/>
            <w:webHidden/>
            <w:color w:val="auto"/>
          </w:rPr>
          <w:fldChar w:fldCharType="end"/>
        </w:r>
      </w:hyperlink>
    </w:p>
    <w:p w14:paraId="01B7539C" w14:textId="68846CE4"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9" w:history="1">
        <w:r w:rsidRPr="00805244">
          <w:rPr>
            <w:rStyle w:val="Hyperlink"/>
            <w:noProof/>
            <w:color w:val="auto"/>
          </w:rPr>
          <w:t>Figure 3: Global AI in Healthcare Market Size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_Toc241072219 \h </w:instrText>
        </w:r>
        <w:r w:rsidRPr="00805244">
          <w:rPr>
            <w:noProof/>
            <w:webHidden/>
            <w:color w:val="auto"/>
          </w:rPr>
        </w:r>
        <w:r w:rsidRPr="00805244">
          <w:rPr>
            <w:noProof/>
            <w:webHidden/>
            <w:color w:val="auto"/>
          </w:rPr>
          <w:fldChar w:fldCharType="separate"/>
        </w:r>
        <w:r w:rsidRPr="00805244">
          <w:rPr>
            <w:noProof/>
            <w:webHidden/>
            <w:color w:val="auto"/>
          </w:rPr>
          <w:t>28</w:t>
        </w:r>
        <w:r w:rsidRPr="00805244">
          <w:rPr>
            <w:noProof/>
            <w:webHidden/>
            <w:color w:val="auto"/>
          </w:rPr>
          <w:fldChar w:fldCharType="end"/>
        </w:r>
      </w:hyperlink>
    </w:p>
    <w:p w14:paraId="710F46E9" w14:textId="5C07BDA6"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0" w:history="1">
        <w:r w:rsidRPr="00805244">
          <w:rPr>
            <w:rStyle w:val="Hyperlink"/>
            <w:noProof/>
            <w:color w:val="auto"/>
          </w:rPr>
          <w:t>Figure 4: Technology Acceptance Model</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_Toc241072220 \h </w:instrText>
        </w:r>
        <w:r w:rsidRPr="00805244">
          <w:rPr>
            <w:noProof/>
            <w:webHidden/>
            <w:color w:val="auto"/>
          </w:rPr>
        </w:r>
        <w:r w:rsidRPr="00805244">
          <w:rPr>
            <w:noProof/>
            <w:webHidden/>
            <w:color w:val="auto"/>
          </w:rPr>
          <w:fldChar w:fldCharType="separate"/>
        </w:r>
        <w:r w:rsidRPr="00805244">
          <w:rPr>
            <w:noProof/>
            <w:webHidden/>
            <w:color w:val="auto"/>
          </w:rPr>
          <w:t>31</w:t>
        </w:r>
        <w:r w:rsidRPr="00805244">
          <w:rPr>
            <w:noProof/>
            <w:webHidden/>
            <w:color w:val="auto"/>
          </w:rPr>
          <w:fldChar w:fldCharType="end"/>
        </w:r>
      </w:hyperlink>
    </w:p>
    <w:p w14:paraId="72203E2C" w14:textId="55E417AC"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1" w:history="1">
        <w:r w:rsidRPr="00805244">
          <w:rPr>
            <w:rStyle w:val="Hyperlink"/>
            <w:noProof/>
            <w:color w:val="auto"/>
          </w:rPr>
          <w:t>Figure 5: Customer-Based Brand Equity Theory</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_Toc241072221 \h </w:instrText>
        </w:r>
        <w:r w:rsidRPr="00805244">
          <w:rPr>
            <w:noProof/>
            <w:webHidden/>
            <w:color w:val="auto"/>
          </w:rPr>
        </w:r>
        <w:r w:rsidRPr="00805244">
          <w:rPr>
            <w:noProof/>
            <w:webHidden/>
            <w:color w:val="auto"/>
          </w:rPr>
          <w:fldChar w:fldCharType="separate"/>
        </w:r>
        <w:r w:rsidRPr="00805244">
          <w:rPr>
            <w:noProof/>
            <w:webHidden/>
            <w:color w:val="auto"/>
          </w:rPr>
          <w:t>33</w:t>
        </w:r>
        <w:r w:rsidRPr="00805244">
          <w:rPr>
            <w:noProof/>
            <w:webHidden/>
            <w:color w:val="auto"/>
          </w:rPr>
          <w:fldChar w:fldCharType="end"/>
        </w:r>
      </w:hyperlink>
    </w:p>
    <w:p w14:paraId="59FE138C" w14:textId="0F0FBBC2"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2" w:history="1">
        <w:r w:rsidRPr="00805244">
          <w:rPr>
            <w:rStyle w:val="Hyperlink"/>
            <w:noProof/>
            <w:color w:val="auto"/>
          </w:rPr>
          <w:t>Figure 6: Conceptual Framework</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_Toc241072222 \h </w:instrText>
        </w:r>
        <w:r w:rsidRPr="00805244">
          <w:rPr>
            <w:noProof/>
            <w:webHidden/>
            <w:color w:val="auto"/>
          </w:rPr>
        </w:r>
        <w:r w:rsidRPr="00805244">
          <w:rPr>
            <w:noProof/>
            <w:webHidden/>
            <w:color w:val="auto"/>
          </w:rPr>
          <w:fldChar w:fldCharType="separate"/>
        </w:r>
        <w:r w:rsidRPr="00805244">
          <w:rPr>
            <w:noProof/>
            <w:webHidden/>
            <w:color w:val="auto"/>
          </w:rPr>
          <w:t>35</w:t>
        </w:r>
        <w:r w:rsidRPr="00805244">
          <w:rPr>
            <w:noProof/>
            <w:webHidden/>
            <w:color w:val="auto"/>
          </w:rPr>
          <w:fldChar w:fldCharType="end"/>
        </w:r>
      </w:hyperlink>
    </w:p>
    <w:p w14:paraId="0340BB8D" w14:textId="68E1F9ED"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3" w:history="1">
        <w:r w:rsidRPr="00805244">
          <w:rPr>
            <w:rStyle w:val="Hyperlink"/>
            <w:noProof/>
            <w:color w:val="auto"/>
          </w:rPr>
          <w:t>Figure 7: Age</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_Toc241072223 \h </w:instrText>
        </w:r>
        <w:r w:rsidRPr="00805244">
          <w:rPr>
            <w:noProof/>
            <w:webHidden/>
            <w:color w:val="auto"/>
          </w:rPr>
        </w:r>
        <w:r w:rsidRPr="00805244">
          <w:rPr>
            <w:noProof/>
            <w:webHidden/>
            <w:color w:val="auto"/>
          </w:rPr>
          <w:fldChar w:fldCharType="separate"/>
        </w:r>
        <w:r w:rsidRPr="00805244">
          <w:rPr>
            <w:noProof/>
            <w:webHidden/>
            <w:color w:val="auto"/>
          </w:rPr>
          <w:t>47</w:t>
        </w:r>
        <w:r w:rsidRPr="00805244">
          <w:rPr>
            <w:noProof/>
            <w:webHidden/>
            <w:color w:val="auto"/>
          </w:rPr>
          <w:fldChar w:fldCharType="end"/>
        </w:r>
      </w:hyperlink>
    </w:p>
    <w:p w14:paraId="6567D3F5" w14:textId="5A02819F"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4" w:history="1">
        <w:r w:rsidRPr="00805244">
          <w:rPr>
            <w:rStyle w:val="Hyperlink"/>
            <w:noProof/>
            <w:color w:val="auto"/>
          </w:rPr>
          <w:t>Figure 8: Gender</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_Toc241072224 \h </w:instrText>
        </w:r>
        <w:r w:rsidRPr="00805244">
          <w:rPr>
            <w:noProof/>
            <w:webHidden/>
            <w:color w:val="auto"/>
          </w:rPr>
        </w:r>
        <w:r w:rsidRPr="00805244">
          <w:rPr>
            <w:noProof/>
            <w:webHidden/>
            <w:color w:val="auto"/>
          </w:rPr>
          <w:fldChar w:fldCharType="separate"/>
        </w:r>
        <w:r w:rsidRPr="00805244">
          <w:rPr>
            <w:noProof/>
            <w:webHidden/>
            <w:color w:val="auto"/>
          </w:rPr>
          <w:t>48</w:t>
        </w:r>
        <w:r w:rsidRPr="00805244">
          <w:rPr>
            <w:noProof/>
            <w:webHidden/>
            <w:color w:val="auto"/>
          </w:rPr>
          <w:fldChar w:fldCharType="end"/>
        </w:r>
      </w:hyperlink>
    </w:p>
    <w:p w14:paraId="5B3B3FA3" w14:textId="35A15C3B"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5" w:history="1">
        <w:r w:rsidRPr="00805244">
          <w:rPr>
            <w:rStyle w:val="Hyperlink"/>
            <w:noProof/>
            <w:color w:val="auto"/>
          </w:rPr>
          <w:t>Figure 9: Education Level</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_Toc241072225 \h </w:instrText>
        </w:r>
        <w:r w:rsidRPr="00805244">
          <w:rPr>
            <w:noProof/>
            <w:webHidden/>
            <w:color w:val="auto"/>
          </w:rPr>
        </w:r>
        <w:r w:rsidRPr="00805244">
          <w:rPr>
            <w:noProof/>
            <w:webHidden/>
            <w:color w:val="auto"/>
          </w:rPr>
          <w:fldChar w:fldCharType="separate"/>
        </w:r>
        <w:r w:rsidRPr="00805244">
          <w:rPr>
            <w:noProof/>
            <w:webHidden/>
            <w:color w:val="auto"/>
          </w:rPr>
          <w:t>49</w:t>
        </w:r>
        <w:r w:rsidRPr="00805244">
          <w:rPr>
            <w:noProof/>
            <w:webHidden/>
            <w:color w:val="auto"/>
          </w:rPr>
          <w:fldChar w:fldCharType="end"/>
        </w:r>
      </w:hyperlink>
    </w:p>
    <w:p w14:paraId="0B0534B2" w14:textId="7010C5F9"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6" w:history="1">
        <w:r w:rsidRPr="00805244">
          <w:rPr>
            <w:rStyle w:val="Hyperlink"/>
            <w:noProof/>
            <w:color w:val="auto"/>
          </w:rPr>
          <w:t>Figure 10: Employment Status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_Toc241072226 \h </w:instrText>
        </w:r>
        <w:r w:rsidRPr="00805244">
          <w:rPr>
            <w:noProof/>
            <w:webHidden/>
            <w:color w:val="auto"/>
          </w:rPr>
        </w:r>
        <w:r w:rsidRPr="00805244">
          <w:rPr>
            <w:noProof/>
            <w:webHidden/>
            <w:color w:val="auto"/>
          </w:rPr>
          <w:fldChar w:fldCharType="separate"/>
        </w:r>
        <w:r w:rsidRPr="00805244">
          <w:rPr>
            <w:noProof/>
            <w:webHidden/>
            <w:color w:val="auto"/>
          </w:rPr>
          <w:t>49</w:t>
        </w:r>
        <w:r w:rsidRPr="00805244">
          <w:rPr>
            <w:noProof/>
            <w:webHidden/>
            <w:color w:val="auto"/>
          </w:rPr>
          <w:fldChar w:fldCharType="end"/>
        </w:r>
      </w:hyperlink>
    </w:p>
    <w:p w14:paraId="61C35A64" w14:textId="7AF30E13"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27" w:history="1">
        <w:r w:rsidRPr="00805244">
          <w:rPr>
            <w:rStyle w:val="Hyperlink"/>
            <w:noProof/>
            <w:color w:val="auto"/>
          </w:rPr>
          <w:t>Figure 11: Use of AI-enabled Healthcare Services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_Toc241072227 \h </w:instrText>
        </w:r>
        <w:r w:rsidRPr="00805244">
          <w:rPr>
            <w:noProof/>
            <w:webHidden/>
            <w:color w:val="auto"/>
          </w:rPr>
        </w:r>
        <w:r w:rsidRPr="00805244">
          <w:rPr>
            <w:noProof/>
            <w:webHidden/>
            <w:color w:val="auto"/>
          </w:rPr>
          <w:fldChar w:fldCharType="separate"/>
        </w:r>
        <w:r w:rsidRPr="00805244">
          <w:rPr>
            <w:noProof/>
            <w:webHidden/>
            <w:color w:val="auto"/>
          </w:rPr>
          <w:t>50</w:t>
        </w:r>
        <w:r w:rsidRPr="00805244">
          <w:rPr>
            <w:noProof/>
            <w:webHidden/>
            <w:color w:val="auto"/>
          </w:rPr>
          <w:fldChar w:fldCharType="end"/>
        </w:r>
      </w:hyperlink>
    </w:p>
    <w:p w14:paraId="31906B3B" w14:textId="1E6FA458" w:rsidR="003F4E9C" w:rsidRPr="00805244" w:rsidRDefault="007036B2" w:rsidP="003F4E9C">
      <w:pPr>
        <w:jc w:val="center"/>
        <w:rPr>
          <w:b/>
          <w:bCs/>
          <w:color w:val="auto"/>
          <w:sz w:val="28"/>
          <w:szCs w:val="28"/>
        </w:rPr>
      </w:pPr>
      <w:r w:rsidRPr="00805244">
        <w:rPr>
          <w:b/>
          <w:bCs/>
          <w:color w:val="auto"/>
          <w:sz w:val="28"/>
          <w:szCs w:val="28"/>
        </w:rPr>
        <w:fldChar w:fldCharType="end"/>
      </w:r>
    </w:p>
    <w:p w14:paraId="0C6E7A66" w14:textId="77777777" w:rsidR="007036B2" w:rsidRPr="00805244" w:rsidRDefault="007036B2">
      <w:pPr>
        <w:rPr>
          <w:b/>
          <w:bCs/>
          <w:color w:val="auto"/>
          <w:sz w:val="28"/>
          <w:szCs w:val="28"/>
        </w:rPr>
      </w:pPr>
      <w:r w:rsidRPr="00805244">
        <w:rPr>
          <w:b/>
          <w:bCs/>
          <w:color w:val="auto"/>
          <w:sz w:val="28"/>
          <w:szCs w:val="28"/>
        </w:rPr>
        <w:br w:type="page"/>
      </w:r>
    </w:p>
    <w:p w14:paraId="055A44DE" w14:textId="77777777" w:rsidR="007036B2" w:rsidRPr="00805244" w:rsidRDefault="003F4E9C" w:rsidP="003F4E9C">
      <w:pPr>
        <w:jc w:val="center"/>
        <w:rPr>
          <w:b/>
          <w:bCs/>
          <w:color w:val="auto"/>
          <w:sz w:val="28"/>
          <w:szCs w:val="28"/>
        </w:rPr>
      </w:pPr>
      <w:r w:rsidRPr="00805244">
        <w:rPr>
          <w:b/>
          <w:bCs/>
          <w:color w:val="auto"/>
          <w:sz w:val="28"/>
          <w:szCs w:val="28"/>
        </w:rPr>
        <w:lastRenderedPageBreak/>
        <w:t>List of Tables</w:t>
      </w:r>
    </w:p>
    <w:p w14:paraId="75BDDA17" w14:textId="2E84FF35" w:rsidR="00FD40AC" w:rsidRPr="00805244" w:rsidRDefault="007036B2">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r w:rsidRPr="00805244">
        <w:rPr>
          <w:b/>
          <w:bCs/>
          <w:color w:val="auto"/>
          <w:sz w:val="28"/>
          <w:szCs w:val="28"/>
        </w:rPr>
        <w:fldChar w:fldCharType="begin"/>
      </w:r>
      <w:r w:rsidRPr="00805244">
        <w:rPr>
          <w:b/>
          <w:bCs/>
          <w:color w:val="auto"/>
          <w:sz w:val="28"/>
          <w:szCs w:val="28"/>
        </w:rPr>
        <w:instrText xml:space="preserve"> TOC \h \z \t "Heading 5" \c </w:instrText>
      </w:r>
      <w:r w:rsidRPr="00805244">
        <w:rPr>
          <w:b/>
          <w:bCs/>
          <w:color w:val="auto"/>
          <w:sz w:val="28"/>
          <w:szCs w:val="28"/>
        </w:rPr>
        <w:fldChar w:fldCharType="separate"/>
      </w:r>
      <w:hyperlink w:anchor="_Toc241072205" w:history="1">
        <w:r w:rsidR="00FD40AC" w:rsidRPr="00805244">
          <w:rPr>
            <w:rStyle w:val="Hyperlink"/>
            <w:noProof/>
            <w:color w:val="auto"/>
          </w:rPr>
          <w:t>Table 1: Demographic Frequency</w:t>
        </w:r>
        <w:r w:rsidR="00FD40AC" w:rsidRPr="00805244">
          <w:rPr>
            <w:noProof/>
            <w:webHidden/>
            <w:color w:val="auto"/>
          </w:rPr>
          <w:tab/>
        </w:r>
        <w:r w:rsidR="00FD40AC" w:rsidRPr="00805244">
          <w:rPr>
            <w:noProof/>
            <w:webHidden/>
            <w:color w:val="auto"/>
          </w:rPr>
          <w:fldChar w:fldCharType="begin"/>
        </w:r>
        <w:r w:rsidR="00FD40AC" w:rsidRPr="00805244">
          <w:rPr>
            <w:noProof/>
            <w:webHidden/>
            <w:color w:val="auto"/>
          </w:rPr>
          <w:instrText xml:space="preserve"> PAGEREF _Toc241072205 \h </w:instrText>
        </w:r>
        <w:r w:rsidR="00FD40AC" w:rsidRPr="00805244">
          <w:rPr>
            <w:noProof/>
            <w:webHidden/>
            <w:color w:val="auto"/>
          </w:rPr>
        </w:r>
        <w:r w:rsidR="00FD40AC" w:rsidRPr="00805244">
          <w:rPr>
            <w:noProof/>
            <w:webHidden/>
            <w:color w:val="auto"/>
          </w:rPr>
          <w:fldChar w:fldCharType="separate"/>
        </w:r>
        <w:r w:rsidR="00FD40AC" w:rsidRPr="00805244">
          <w:rPr>
            <w:noProof/>
            <w:webHidden/>
            <w:color w:val="auto"/>
          </w:rPr>
          <w:t>46</w:t>
        </w:r>
        <w:r w:rsidR="00FD40AC" w:rsidRPr="00805244">
          <w:rPr>
            <w:noProof/>
            <w:webHidden/>
            <w:color w:val="auto"/>
          </w:rPr>
          <w:fldChar w:fldCharType="end"/>
        </w:r>
      </w:hyperlink>
    </w:p>
    <w:p w14:paraId="0F649739" w14:textId="4996C28B"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06" w:history="1">
        <w:r w:rsidRPr="00805244">
          <w:rPr>
            <w:rStyle w:val="Hyperlink"/>
            <w:noProof/>
            <w:color w:val="auto"/>
          </w:rPr>
          <w:t>Table 2: Descriptive Statistics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_Toc241072206 \h </w:instrText>
        </w:r>
        <w:r w:rsidRPr="00805244">
          <w:rPr>
            <w:noProof/>
            <w:webHidden/>
            <w:color w:val="auto"/>
          </w:rPr>
        </w:r>
        <w:r w:rsidRPr="00805244">
          <w:rPr>
            <w:noProof/>
            <w:webHidden/>
            <w:color w:val="auto"/>
          </w:rPr>
          <w:fldChar w:fldCharType="separate"/>
        </w:r>
        <w:r w:rsidRPr="00805244">
          <w:rPr>
            <w:noProof/>
            <w:webHidden/>
            <w:color w:val="auto"/>
          </w:rPr>
          <w:t>51</w:t>
        </w:r>
        <w:r w:rsidRPr="00805244">
          <w:rPr>
            <w:noProof/>
            <w:webHidden/>
            <w:color w:val="auto"/>
          </w:rPr>
          <w:fldChar w:fldCharType="end"/>
        </w:r>
      </w:hyperlink>
    </w:p>
    <w:p w14:paraId="210A2AB8" w14:textId="493F7544"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07" w:history="1">
        <w:r w:rsidRPr="00805244">
          <w:rPr>
            <w:rStyle w:val="Hyperlink"/>
            <w:noProof/>
            <w:color w:val="auto"/>
          </w:rPr>
          <w:t>Table 3: Reliability Statistics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_Toc241072207 \h </w:instrText>
        </w:r>
        <w:r w:rsidRPr="00805244">
          <w:rPr>
            <w:noProof/>
            <w:webHidden/>
            <w:color w:val="auto"/>
          </w:rPr>
        </w:r>
        <w:r w:rsidRPr="00805244">
          <w:rPr>
            <w:noProof/>
            <w:webHidden/>
            <w:color w:val="auto"/>
          </w:rPr>
          <w:fldChar w:fldCharType="separate"/>
        </w:r>
        <w:r w:rsidRPr="00805244">
          <w:rPr>
            <w:noProof/>
            <w:webHidden/>
            <w:color w:val="auto"/>
          </w:rPr>
          <w:t>52</w:t>
        </w:r>
        <w:r w:rsidRPr="00805244">
          <w:rPr>
            <w:noProof/>
            <w:webHidden/>
            <w:color w:val="auto"/>
          </w:rPr>
          <w:fldChar w:fldCharType="end"/>
        </w:r>
      </w:hyperlink>
    </w:p>
    <w:p w14:paraId="1E15937C" w14:textId="0D0AE959"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08" w:history="1">
        <w:r w:rsidRPr="00805244">
          <w:rPr>
            <w:rStyle w:val="Hyperlink"/>
            <w:noProof/>
            <w:color w:val="auto"/>
          </w:rPr>
          <w:t>Table 4: Validity Statistics</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_Toc241072208 \h </w:instrText>
        </w:r>
        <w:r w:rsidRPr="00805244">
          <w:rPr>
            <w:noProof/>
            <w:webHidden/>
            <w:color w:val="auto"/>
          </w:rPr>
        </w:r>
        <w:r w:rsidRPr="00805244">
          <w:rPr>
            <w:noProof/>
            <w:webHidden/>
            <w:color w:val="auto"/>
          </w:rPr>
          <w:fldChar w:fldCharType="separate"/>
        </w:r>
        <w:r w:rsidRPr="00805244">
          <w:rPr>
            <w:noProof/>
            <w:webHidden/>
            <w:color w:val="auto"/>
          </w:rPr>
          <w:t>52</w:t>
        </w:r>
        <w:r w:rsidRPr="00805244">
          <w:rPr>
            <w:noProof/>
            <w:webHidden/>
            <w:color w:val="auto"/>
          </w:rPr>
          <w:fldChar w:fldCharType="end"/>
        </w:r>
      </w:hyperlink>
    </w:p>
    <w:p w14:paraId="3CC7D031" w14:textId="45AA9E01"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09" w:history="1">
        <w:r w:rsidRPr="00805244">
          <w:rPr>
            <w:rStyle w:val="Hyperlink"/>
            <w:noProof/>
            <w:color w:val="auto"/>
          </w:rPr>
          <w:t>Table 5: Correlation Analysis 1</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_Toc241072209 \h </w:instrText>
        </w:r>
        <w:r w:rsidRPr="00805244">
          <w:rPr>
            <w:noProof/>
            <w:webHidden/>
            <w:color w:val="auto"/>
          </w:rPr>
        </w:r>
        <w:r w:rsidRPr="00805244">
          <w:rPr>
            <w:noProof/>
            <w:webHidden/>
            <w:color w:val="auto"/>
          </w:rPr>
          <w:fldChar w:fldCharType="separate"/>
        </w:r>
        <w:r w:rsidRPr="00805244">
          <w:rPr>
            <w:noProof/>
            <w:webHidden/>
            <w:color w:val="auto"/>
          </w:rPr>
          <w:t>53</w:t>
        </w:r>
        <w:r w:rsidRPr="00805244">
          <w:rPr>
            <w:noProof/>
            <w:webHidden/>
            <w:color w:val="auto"/>
          </w:rPr>
          <w:fldChar w:fldCharType="end"/>
        </w:r>
      </w:hyperlink>
    </w:p>
    <w:p w14:paraId="588AC0F7" w14:textId="0B10E087"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0" w:history="1">
        <w:r w:rsidRPr="00805244">
          <w:rPr>
            <w:rStyle w:val="Hyperlink"/>
            <w:noProof/>
            <w:color w:val="auto"/>
          </w:rPr>
          <w:t>Table 6: Regression Analysis 1</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_Toc241072210 \h </w:instrText>
        </w:r>
        <w:r w:rsidRPr="00805244">
          <w:rPr>
            <w:noProof/>
            <w:webHidden/>
            <w:color w:val="auto"/>
          </w:rPr>
        </w:r>
        <w:r w:rsidRPr="00805244">
          <w:rPr>
            <w:noProof/>
            <w:webHidden/>
            <w:color w:val="auto"/>
          </w:rPr>
          <w:fldChar w:fldCharType="separate"/>
        </w:r>
        <w:r w:rsidRPr="00805244">
          <w:rPr>
            <w:noProof/>
            <w:webHidden/>
            <w:color w:val="auto"/>
          </w:rPr>
          <w:t>54</w:t>
        </w:r>
        <w:r w:rsidRPr="00805244">
          <w:rPr>
            <w:noProof/>
            <w:webHidden/>
            <w:color w:val="auto"/>
          </w:rPr>
          <w:fldChar w:fldCharType="end"/>
        </w:r>
      </w:hyperlink>
    </w:p>
    <w:p w14:paraId="5E19A36A" w14:textId="32E29534"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1" w:history="1">
        <w:r w:rsidRPr="00805244">
          <w:rPr>
            <w:rStyle w:val="Hyperlink"/>
            <w:noProof/>
            <w:color w:val="auto"/>
          </w:rPr>
          <w:t>Table 7: Correlation Analysis 2</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_Toc241072211 \h </w:instrText>
        </w:r>
        <w:r w:rsidRPr="00805244">
          <w:rPr>
            <w:noProof/>
            <w:webHidden/>
            <w:color w:val="auto"/>
          </w:rPr>
        </w:r>
        <w:r w:rsidRPr="00805244">
          <w:rPr>
            <w:noProof/>
            <w:webHidden/>
            <w:color w:val="auto"/>
          </w:rPr>
          <w:fldChar w:fldCharType="separate"/>
        </w:r>
        <w:r w:rsidRPr="00805244">
          <w:rPr>
            <w:noProof/>
            <w:webHidden/>
            <w:color w:val="auto"/>
          </w:rPr>
          <w:t>55</w:t>
        </w:r>
        <w:r w:rsidRPr="00805244">
          <w:rPr>
            <w:noProof/>
            <w:webHidden/>
            <w:color w:val="auto"/>
          </w:rPr>
          <w:fldChar w:fldCharType="end"/>
        </w:r>
      </w:hyperlink>
    </w:p>
    <w:p w14:paraId="189EF1A0" w14:textId="58EB7B2C"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2" w:history="1">
        <w:r w:rsidRPr="00805244">
          <w:rPr>
            <w:rStyle w:val="Hyperlink"/>
            <w:noProof/>
            <w:color w:val="auto"/>
          </w:rPr>
          <w:t>Table 8: Regression Analysis 2</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_Toc241072212 \h </w:instrText>
        </w:r>
        <w:r w:rsidRPr="00805244">
          <w:rPr>
            <w:noProof/>
            <w:webHidden/>
            <w:color w:val="auto"/>
          </w:rPr>
        </w:r>
        <w:r w:rsidRPr="00805244">
          <w:rPr>
            <w:noProof/>
            <w:webHidden/>
            <w:color w:val="auto"/>
          </w:rPr>
          <w:fldChar w:fldCharType="separate"/>
        </w:r>
        <w:r w:rsidRPr="00805244">
          <w:rPr>
            <w:noProof/>
            <w:webHidden/>
            <w:color w:val="auto"/>
          </w:rPr>
          <w:t>56</w:t>
        </w:r>
        <w:r w:rsidRPr="00805244">
          <w:rPr>
            <w:noProof/>
            <w:webHidden/>
            <w:color w:val="auto"/>
          </w:rPr>
          <w:fldChar w:fldCharType="end"/>
        </w:r>
      </w:hyperlink>
    </w:p>
    <w:p w14:paraId="24A851FB" w14:textId="1FA971ED"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3" w:history="1">
        <w:r w:rsidRPr="00805244">
          <w:rPr>
            <w:rStyle w:val="Hyperlink"/>
            <w:noProof/>
            <w:color w:val="auto"/>
          </w:rPr>
          <w:t>Table 9: Correlation Analysis 3</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_Toc241072213 \h </w:instrText>
        </w:r>
        <w:r w:rsidRPr="00805244">
          <w:rPr>
            <w:noProof/>
            <w:webHidden/>
            <w:color w:val="auto"/>
          </w:rPr>
        </w:r>
        <w:r w:rsidRPr="00805244">
          <w:rPr>
            <w:noProof/>
            <w:webHidden/>
            <w:color w:val="auto"/>
          </w:rPr>
          <w:fldChar w:fldCharType="separate"/>
        </w:r>
        <w:r w:rsidRPr="00805244">
          <w:rPr>
            <w:noProof/>
            <w:webHidden/>
            <w:color w:val="auto"/>
          </w:rPr>
          <w:t>57</w:t>
        </w:r>
        <w:r w:rsidRPr="00805244">
          <w:rPr>
            <w:noProof/>
            <w:webHidden/>
            <w:color w:val="auto"/>
          </w:rPr>
          <w:fldChar w:fldCharType="end"/>
        </w:r>
      </w:hyperlink>
    </w:p>
    <w:p w14:paraId="685DCF44" w14:textId="2694C023"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4" w:history="1">
        <w:r w:rsidRPr="00805244">
          <w:rPr>
            <w:rStyle w:val="Hyperlink"/>
            <w:noProof/>
            <w:color w:val="auto"/>
          </w:rPr>
          <w:t>Table 10: Regression Analysis 3</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_Toc241072214 \h </w:instrText>
        </w:r>
        <w:r w:rsidRPr="00805244">
          <w:rPr>
            <w:noProof/>
            <w:webHidden/>
            <w:color w:val="auto"/>
          </w:rPr>
        </w:r>
        <w:r w:rsidRPr="00805244">
          <w:rPr>
            <w:noProof/>
            <w:webHidden/>
            <w:color w:val="auto"/>
          </w:rPr>
          <w:fldChar w:fldCharType="separate"/>
        </w:r>
        <w:r w:rsidRPr="00805244">
          <w:rPr>
            <w:noProof/>
            <w:webHidden/>
            <w:color w:val="auto"/>
          </w:rPr>
          <w:t>58</w:t>
        </w:r>
        <w:r w:rsidRPr="00805244">
          <w:rPr>
            <w:noProof/>
            <w:webHidden/>
            <w:color w:val="auto"/>
          </w:rPr>
          <w:fldChar w:fldCharType="end"/>
        </w:r>
      </w:hyperlink>
    </w:p>
    <w:p w14:paraId="71E54FAC" w14:textId="2C9C293D"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5" w:history="1">
        <w:r w:rsidRPr="00805244">
          <w:rPr>
            <w:rStyle w:val="Hyperlink"/>
            <w:noProof/>
            <w:color w:val="auto"/>
          </w:rPr>
          <w:t>Table 11: Correlation Analysis 4</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_Toc241072215 \h </w:instrText>
        </w:r>
        <w:r w:rsidRPr="00805244">
          <w:rPr>
            <w:noProof/>
            <w:webHidden/>
            <w:color w:val="auto"/>
          </w:rPr>
        </w:r>
        <w:r w:rsidRPr="00805244">
          <w:rPr>
            <w:noProof/>
            <w:webHidden/>
            <w:color w:val="auto"/>
          </w:rPr>
          <w:fldChar w:fldCharType="separate"/>
        </w:r>
        <w:r w:rsidRPr="00805244">
          <w:rPr>
            <w:noProof/>
            <w:webHidden/>
            <w:color w:val="auto"/>
          </w:rPr>
          <w:t>59</w:t>
        </w:r>
        <w:r w:rsidRPr="00805244">
          <w:rPr>
            <w:noProof/>
            <w:webHidden/>
            <w:color w:val="auto"/>
          </w:rPr>
          <w:fldChar w:fldCharType="end"/>
        </w:r>
      </w:hyperlink>
    </w:p>
    <w:p w14:paraId="052E6FE0" w14:textId="4E229714" w:rsidR="00FD40AC" w:rsidRPr="00805244" w:rsidRDefault="00FD40AC">
      <w:pPr>
        <w:pStyle w:val="TableofFigures"/>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41072216" w:history="1">
        <w:r w:rsidRPr="00805244">
          <w:rPr>
            <w:rStyle w:val="Hyperlink"/>
            <w:noProof/>
            <w:color w:val="auto"/>
          </w:rPr>
          <w:t>Table 12: Regression Analysis 4</w:t>
        </w:r>
        <w:r w:rsidRPr="00805244">
          <w:rPr>
            <w:noProof/>
            <w:webHidden/>
            <w:color w:val="auto"/>
          </w:rPr>
          <w:tab/>
        </w:r>
        <w:r w:rsidRPr="00805244">
          <w:rPr>
            <w:noProof/>
            <w:webHidden/>
            <w:color w:val="auto"/>
          </w:rPr>
          <w:fldChar w:fldCharType="begin"/>
        </w:r>
        <w:r w:rsidRPr="00805244">
          <w:rPr>
            <w:noProof/>
            <w:webHidden/>
            <w:color w:val="auto"/>
          </w:rPr>
          <w:instrText xml:space="preserve"> PAGEREF _Toc241072216 \h </w:instrText>
        </w:r>
        <w:r w:rsidRPr="00805244">
          <w:rPr>
            <w:noProof/>
            <w:webHidden/>
            <w:color w:val="auto"/>
          </w:rPr>
        </w:r>
        <w:r w:rsidRPr="00805244">
          <w:rPr>
            <w:noProof/>
            <w:webHidden/>
            <w:color w:val="auto"/>
          </w:rPr>
          <w:fldChar w:fldCharType="separate"/>
        </w:r>
        <w:r w:rsidRPr="00805244">
          <w:rPr>
            <w:noProof/>
            <w:webHidden/>
            <w:color w:val="auto"/>
          </w:rPr>
          <w:t>60</w:t>
        </w:r>
        <w:r w:rsidRPr="00805244">
          <w:rPr>
            <w:noProof/>
            <w:webHidden/>
            <w:color w:val="auto"/>
          </w:rPr>
          <w:fldChar w:fldCharType="end"/>
        </w:r>
      </w:hyperlink>
    </w:p>
    <w:p w14:paraId="624B7339" w14:textId="6186978D" w:rsidR="004B1505" w:rsidRPr="00805244" w:rsidRDefault="007036B2" w:rsidP="003F4E9C">
      <w:pPr>
        <w:jc w:val="center"/>
        <w:rPr>
          <w:b/>
          <w:bCs/>
          <w:color w:val="auto"/>
          <w:sz w:val="28"/>
          <w:szCs w:val="28"/>
        </w:rPr>
      </w:pPr>
      <w:r w:rsidRPr="00805244">
        <w:rPr>
          <w:b/>
          <w:bCs/>
          <w:color w:val="auto"/>
          <w:sz w:val="28"/>
          <w:szCs w:val="28"/>
        </w:rPr>
        <w:fldChar w:fldCharType="end"/>
      </w:r>
      <w:r w:rsidRPr="00805244">
        <w:rPr>
          <w:b/>
          <w:bCs/>
          <w:color w:val="auto"/>
          <w:sz w:val="28"/>
          <w:szCs w:val="28"/>
        </w:rPr>
        <w:br w:type="page"/>
      </w:r>
    </w:p>
    <w:p w14:paraId="0390476C" w14:textId="77777777" w:rsidR="00BA4099" w:rsidRPr="00805244" w:rsidRDefault="00BA4099" w:rsidP="00BA4099">
      <w:pPr>
        <w:pStyle w:val="Heading1"/>
        <w:rPr>
          <w:color w:val="auto"/>
        </w:rPr>
      </w:pPr>
      <w:bookmarkStart w:id="0" w:name="_Toc241072230"/>
      <w:r w:rsidRPr="00805244">
        <w:rPr>
          <w:color w:val="auto"/>
        </w:rPr>
        <w:lastRenderedPageBreak/>
        <w:t>Chapter 1: Introduction</w:t>
      </w:r>
      <w:bookmarkEnd w:id="0"/>
    </w:p>
    <w:p w14:paraId="5110BB6C" w14:textId="77777777" w:rsidR="00BA4099" w:rsidRPr="00805244" w:rsidRDefault="00BA4099" w:rsidP="00BA4099">
      <w:pPr>
        <w:pStyle w:val="Heading2"/>
        <w:rPr>
          <w:color w:val="auto"/>
        </w:rPr>
      </w:pPr>
      <w:bookmarkStart w:id="1" w:name="_Toc241072231"/>
      <w:r w:rsidRPr="00805244">
        <w:rPr>
          <w:color w:val="auto"/>
        </w:rPr>
        <w:t>1.1 Background to AI in UK Healthcare Services</w:t>
      </w:r>
      <w:bookmarkEnd w:id="1"/>
    </w:p>
    <w:p w14:paraId="09F2F920" w14:textId="77777777" w:rsidR="00606754" w:rsidRPr="00805244" w:rsidRDefault="00606754" w:rsidP="00405B39">
      <w:pPr>
        <w:rPr>
          <w:color w:val="auto"/>
        </w:rPr>
      </w:pPr>
      <w:r w:rsidRPr="00805244">
        <w:rPr>
          <w:color w:val="auto"/>
        </w:rPr>
        <w:t xml:space="preserve">Chatbots, virtual triage, predictive systems, intelligent appointment scheduling and personalised communication are some of the increasingly implemented methods of artificial intelligence (AI) in </w:t>
      </w:r>
      <w:r w:rsidR="004879C2" w:rsidRPr="00805244">
        <w:rPr>
          <w:color w:val="auto"/>
        </w:rPr>
        <w:t>healthcare service</w:t>
      </w:r>
      <w:r w:rsidRPr="00805244">
        <w:rPr>
          <w:color w:val="auto"/>
        </w:rPr>
        <w:t xml:space="preserve"> delivery. Such consumer applications can potentially bring services closer to the consumer and make them more accessible, responsive and relevant, but healthcare is a sensitive, high-risk environment where convenience cannot be used instead of safety, privacy or proper human judgement. The impact of AI-assisted service quality on trust in a provider can potentially affect its reputation, differentiation and consumers’ readiness to be loyal. The relationships within the UK NHS and private healthcare services are discussed in this dissertation. This chapter provides the background, outlines the key concepts, the research problem and knowledge gap, the aim, objectives, questions, hypotheses, scope, significance and structure of the dissertation.</w:t>
      </w:r>
    </w:p>
    <w:p w14:paraId="494C00C3" w14:textId="77777777" w:rsidR="00606754" w:rsidRPr="00805244" w:rsidRDefault="00606754" w:rsidP="00405B39">
      <w:pPr>
        <w:rPr>
          <w:color w:val="auto"/>
        </w:rPr>
      </w:pPr>
      <w:r w:rsidRPr="00805244">
        <w:rPr>
          <w:color w:val="auto"/>
        </w:rPr>
        <w:t>The use of AI in healthcare has expanded beyond mainly clinical uses (image interpretation and risk prediction) to consumer-facing and service-support roles. AI, in contrast to digital healthcare in general, is defined in this dissertation as involving automated analysis, prediction, recommendation or intelligent interaction. A patient portal, video consultation or online booking facility is digital, but it becomes AI-enabled only with the addition of one of these functions. The discussion presented by Brown et al. (2023) affirmed that integrated digital outpatient solutions can decrease the pressure on the services and enhance the patient experience but cautioned that the evidence base is incomplete, and unequal access to the appropriate devices can recreate the existing inequalities. This implies that digital access provides relevant service infrastructure, but the benefits of AI cannot be automatically ascribed to it, and not all consumers in the UK can be presumed to have access.</w:t>
      </w:r>
    </w:p>
    <w:p w14:paraId="03C62544" w14:textId="77777777" w:rsidR="00606754" w:rsidRPr="00805244" w:rsidRDefault="00606754" w:rsidP="00405B39">
      <w:pPr>
        <w:rPr>
          <w:color w:val="auto"/>
        </w:rPr>
      </w:pPr>
      <w:r w:rsidRPr="00805244">
        <w:rPr>
          <w:color w:val="auto"/>
        </w:rPr>
        <w:lastRenderedPageBreak/>
        <w:t>Service-support innovation is appealing in the face of pressure in UK healthcare. According to NHS England (2025), in April 2025, there were 7.39 million cases in England on the elective waiting list, yet there was more treatment activity with shorter average waits. This means that there is still a need to have tools that enhance capacity, navigation and responsiveness without compromising the quality of care. According to NHS England (2024), an AI scheduling pilot helped to cut down the number of missed appointments by 30% and allowed unused slots to be made available to other patients. This outcome indicates a realistic practical advantage of predictive scheduling, though a pilot outcome is not a guarantee of the same performance across the NHS.</w:t>
      </w:r>
    </w:p>
    <w:p w14:paraId="63904ECF" w14:textId="77777777" w:rsidR="00606754" w:rsidRPr="00805244" w:rsidRDefault="00606754" w:rsidP="00405B39">
      <w:pPr>
        <w:rPr>
          <w:color w:val="auto"/>
        </w:rPr>
      </w:pPr>
      <w:r w:rsidRPr="00805244">
        <w:rPr>
          <w:color w:val="auto"/>
        </w:rPr>
        <w:t>The provider context is not homogeneous. The NHS is tax-funded and structured around universal access, whereas private providers compete more directly for insured and self-paying consumers based on convenience, choice and service experience. In 2025, the Private Healthcare Information Network (2026) recorded the highest number of 953,000 UK private-hospital admissions (insured 670,000 and self-pay 283,000). As a result, perceived innovation and responsiveness may become more visible differentiators among private brands, whereas NHS competitiveness may be understood more through public preference, reputation and trust than through traditional market competition.</w:t>
      </w:r>
    </w:p>
    <w:p w14:paraId="322C4260" w14:textId="77777777" w:rsidR="00BA4099" w:rsidRPr="00805244" w:rsidRDefault="00606754" w:rsidP="00405B39">
      <w:pPr>
        <w:rPr>
          <w:color w:val="auto"/>
          <w:lang w:val="en-US"/>
        </w:rPr>
      </w:pPr>
      <w:r w:rsidRPr="00805244">
        <w:rPr>
          <w:color w:val="auto"/>
        </w:rPr>
        <w:t xml:space="preserve">AI-supported services should, however, be accessible to individuals with low digital confidence, disabilities, language needs or poor connectivity. In their discussion, Ko et al. (2025) discovered that telehealth was usually more convenient and satisfying for disabled users, but technical obstacles, data-security issues and a preference for face-to-face communication persisted in the UK. This implies that AI-supported services need accessible alternatives and hybrid human pathways; most crucially, the evidence on telehealth is about digital delivery and should not necessarily be classified as AI. World Health Organization (2021) suggested safeguarding autonomy, safety, transparency, accountability, inclusiveness </w:t>
      </w:r>
      <w:r w:rsidRPr="00805244">
        <w:rPr>
          <w:color w:val="auto"/>
        </w:rPr>
        <w:lastRenderedPageBreak/>
        <w:t>and sustainability of health AI. Brought to bear on this study, these principles demonstrate the need to balance potential benefits in increased access, communication and personalisation against errors in outcomes, poor explanations, bias, invasion of privacy, cybersecurity breaches and reduced human interaction.</w:t>
      </w:r>
    </w:p>
    <w:p w14:paraId="66FB3B48" w14:textId="77777777" w:rsidR="00BA4099" w:rsidRPr="00805244" w:rsidRDefault="00BA4099" w:rsidP="00606754">
      <w:pPr>
        <w:pStyle w:val="Heading2"/>
        <w:rPr>
          <w:color w:val="auto"/>
        </w:rPr>
      </w:pPr>
      <w:bookmarkStart w:id="2" w:name="_Toc241072232"/>
      <w:r w:rsidRPr="00805244">
        <w:rPr>
          <w:color w:val="auto"/>
        </w:rPr>
        <w:t>1.2 Research Focus and Key Concepts</w:t>
      </w:r>
      <w:bookmarkEnd w:id="2"/>
    </w:p>
    <w:p w14:paraId="4F1E3443" w14:textId="77777777" w:rsidR="00606754" w:rsidRPr="00805244" w:rsidRDefault="00606754" w:rsidP="00405B39">
      <w:pPr>
        <w:rPr>
          <w:color w:val="auto"/>
        </w:rPr>
      </w:pPr>
      <w:r w:rsidRPr="00805244">
        <w:rPr>
          <w:color w:val="auto"/>
        </w:rPr>
        <w:t>The AI tools in this study refer to consumer-facing or service-support technologies which apply automated data analysis, prediction or intelligent interaction. The research encompasses chatbots in healthcare, artificial intelligence-assisted virtual triage, predictive appointment and demand systems, intelligent scheduling, automated service suggestions and AI-personalised communication. It does not include regular websites, electronic records, video consultations and online booking systems where there is no use of AI functionality.</w:t>
      </w:r>
    </w:p>
    <w:p w14:paraId="54C7D8E3" w14:textId="77777777" w:rsidR="00606754" w:rsidRPr="00805244" w:rsidRDefault="00606754" w:rsidP="00405B39">
      <w:pPr>
        <w:rPr>
          <w:color w:val="auto"/>
        </w:rPr>
      </w:pPr>
      <w:r w:rsidRPr="00805244">
        <w:rPr>
          <w:color w:val="auto"/>
        </w:rPr>
        <w:t>Consumer trust refers to a consumer’s belief that the healthcare provider and its AI system are reliable, safe, competent and act in the interests of the consumer in the face of uncertainty and vulnerability. It thus includes reliability, transparency, intelligibility, privacy, accountability, fairness and proper human control. In their discussion, Dlugatch et al. (2023) identified public good, reliability, fairness, personalised and holistic care, human mediation and empathy as requisites of trustworthy healthcare AI, even though they thought that people must make final decisions. This implies that trust in this dissertation does not merely involve confidence in technical correctness, but also includes an assessment of the provider, its systems and the safeguards linking the two.</w:t>
      </w:r>
    </w:p>
    <w:p w14:paraId="11D8618C" w14:textId="77777777" w:rsidR="00606754" w:rsidRPr="00805244" w:rsidRDefault="00606754" w:rsidP="00405B39">
      <w:pPr>
        <w:rPr>
          <w:color w:val="auto"/>
        </w:rPr>
      </w:pPr>
      <w:r w:rsidRPr="00805244">
        <w:rPr>
          <w:color w:val="auto"/>
        </w:rPr>
        <w:t xml:space="preserve">The perceived brand competitiveness refers to how the consumer believes that a healthcare provider is reputable, differentiated, innovative, preferable and has the ability to maintain loyalty. The word ‘perceived’ is crucial since the questionnaire will gauge consumer ratings as opposed to market share, revenues or objective competitiveness. Ali Mohamad et al. (2023) inferred, based on a case study of a Dubai hospital, that AI-related benefits in care quality, </w:t>
      </w:r>
      <w:r w:rsidRPr="00805244">
        <w:rPr>
          <w:color w:val="auto"/>
        </w:rPr>
        <w:lastRenderedPageBreak/>
        <w:t>resource utilisation, financial performance and technological competence have the potential to enhance organisational competitive position. It implies that AI can provide indications of provider competence, yet the unique private-hospital context and its focus on surgical robots cannot determine how consumers in the UK perceive NHS or private service-support AI.</w:t>
      </w:r>
    </w:p>
    <w:p w14:paraId="3522EC9C" w14:textId="77777777" w:rsidR="00BA4099" w:rsidRPr="00805244" w:rsidRDefault="00606754" w:rsidP="00405B39">
      <w:pPr>
        <w:rPr>
          <w:color w:val="auto"/>
        </w:rPr>
      </w:pPr>
      <w:r w:rsidRPr="00805244">
        <w:rPr>
          <w:color w:val="auto"/>
        </w:rPr>
        <w:t>The proposed relationships are grounded in three theories. In their discussion, Alsyouf et al. (2023) discovered that perceived usefulness and ease of use were essential to patients’ intention to use personal health records, whereas security and privacy also had an impact on acceptance. It implies that the Technology Acceptance Model (TAM) can be used to clarify whether consumers perceive an AI service as helpful and controllable, but trust-related protection has to be extended to the model in the healthcare sector. Trust Theory describes confidence when consumers are vulnerable to the judgements of another actor, and Customer-Based Brand Equity (CBBE) Theory relates positive experiences and associations to reputation, preference and loyalty. These theories are assessed in more detail in Chapter 2 and serve only to contextualize the relationships between perceived AI service and governance characteristics, consumer trust and perceived brand competitiveness in Chapter 1.</w:t>
      </w:r>
    </w:p>
    <w:p w14:paraId="17DBF1B8" w14:textId="77777777" w:rsidR="00BA4099" w:rsidRPr="00805244" w:rsidRDefault="00BA4099" w:rsidP="00606754">
      <w:pPr>
        <w:pStyle w:val="Heading2"/>
        <w:rPr>
          <w:color w:val="auto"/>
        </w:rPr>
      </w:pPr>
      <w:bookmarkStart w:id="3" w:name="_Toc241072233"/>
      <w:r w:rsidRPr="00805244">
        <w:rPr>
          <w:color w:val="auto"/>
        </w:rPr>
        <w:t>1.3 Research Problem and Knowledge Gap</w:t>
      </w:r>
      <w:bookmarkEnd w:id="3"/>
    </w:p>
    <w:p w14:paraId="6BD4D989" w14:textId="77777777" w:rsidR="00606754" w:rsidRPr="00805244" w:rsidRDefault="00606754" w:rsidP="00405B39">
      <w:pPr>
        <w:rPr>
          <w:color w:val="auto"/>
        </w:rPr>
      </w:pPr>
      <w:r w:rsidRPr="00805244">
        <w:rPr>
          <w:color w:val="auto"/>
        </w:rPr>
        <w:t>The research problem arises because AI can enhance efficiency and access and at the same time produce uncertainty regarding privacy, safety, transparency and accountability. In their study, Nong and Ji (2025) discovered that a minority of US adults anticipated that AI would improve costs, patient-provider relationships or accessibility, whereas greater provider and system trust was significantly associated with more positive expectations. This implies that technical capability or organisational enthusiasm cannot be considered equivalent to consumer confidence, and the UK cannot be presumed to have the same expectations as the US.</w:t>
      </w:r>
    </w:p>
    <w:p w14:paraId="5FAA57BA" w14:textId="77777777" w:rsidR="00606754" w:rsidRPr="00805244" w:rsidRDefault="00606754" w:rsidP="00405B39">
      <w:pPr>
        <w:rPr>
          <w:color w:val="auto"/>
        </w:rPr>
      </w:pPr>
      <w:r w:rsidRPr="00805244">
        <w:rPr>
          <w:color w:val="auto"/>
        </w:rPr>
        <w:t xml:space="preserve">Nor is digital innovation guaranteed to lead to satisfaction or loyalty. In their discussion of Ghanaian hospitals, Yeboah and Amponsah (2025) discovered that service innovation failed to </w:t>
      </w:r>
      <w:r w:rsidRPr="00805244">
        <w:rPr>
          <w:color w:val="auto"/>
        </w:rPr>
        <w:lastRenderedPageBreak/>
        <w:t>significantly enhance patient satisfaction and that innovation that lacked interpersonal quality and engagement with patients might seem impersonal. It implies that AI-enhanced accessibility or effectiveness does not necessarily contribute to an increase in perceived brand competitiveness unless the service is still reliable, communicative and human-centred.</w:t>
      </w:r>
    </w:p>
    <w:p w14:paraId="24F45742" w14:textId="77777777" w:rsidR="00606754" w:rsidRPr="00805244" w:rsidRDefault="00606754" w:rsidP="00405B39">
      <w:pPr>
        <w:rPr>
          <w:color w:val="auto"/>
        </w:rPr>
      </w:pPr>
      <w:r w:rsidRPr="00805244">
        <w:rPr>
          <w:color w:val="auto"/>
        </w:rPr>
        <w:t>Existing evidence also isolates variables or populations that this dissertation must connect. Nouis et al. (2025) noted that their UK study did not directly survey patients, limiting their ability to understand fully the impact of AI on satisfaction, autonomy and trust, and direct surveys of patients were suggested. This omission creates a clear need for UK consumer-level evidence alongside professional evaluation of accountability, transparency and bias. In the Chinese home-sharing industry, Chen et al. (2022) discovered that trust positively influenced engagement and loyalty, but AI moderated aspects of such relationships. This implies that cross-sector evidence can be used to consider trust and loyalty in conjunction, but it cannot be directly applied to healthcare, where vulnerability, information asymmetry and consequences of failure are more significant.</w:t>
      </w:r>
    </w:p>
    <w:p w14:paraId="4CC44CE7" w14:textId="77777777" w:rsidR="00606754" w:rsidRPr="00805244" w:rsidRDefault="00606754" w:rsidP="00405B39">
      <w:pPr>
        <w:rPr>
          <w:color w:val="auto"/>
        </w:rPr>
      </w:pPr>
      <w:r w:rsidRPr="00805244">
        <w:rPr>
          <w:color w:val="auto"/>
        </w:rPr>
        <w:t>In line with this, recent studies usually consider adoption, trust, service quality and brand outcomes individually; the literature on the combination of AI-enabled service quality, consumer trust and perceived brand competitiveness in UK healthcare is scarce. International evidence may also be unable to reflect the NHS’s public-service structure and its interaction with a separate private market. Primary survey measures of these constructs are therefore needed to assess them consistently among adult UK healthcare consumers and statistically test their relationships.</w:t>
      </w:r>
    </w:p>
    <w:p w14:paraId="21C7102A" w14:textId="77777777" w:rsidR="00BA4099" w:rsidRPr="00805244" w:rsidRDefault="00BA4099" w:rsidP="00606754">
      <w:pPr>
        <w:pStyle w:val="Heading2"/>
        <w:rPr>
          <w:color w:val="auto"/>
        </w:rPr>
      </w:pPr>
      <w:bookmarkStart w:id="4" w:name="_Toc241072234"/>
      <w:r w:rsidRPr="00805244">
        <w:rPr>
          <w:color w:val="auto"/>
        </w:rPr>
        <w:t>1.4 Research Aim and Objectives</w:t>
      </w:r>
      <w:bookmarkEnd w:id="4"/>
    </w:p>
    <w:p w14:paraId="6CC3D15B" w14:textId="77777777" w:rsidR="00BA4099" w:rsidRPr="00805244" w:rsidRDefault="00BA4099" w:rsidP="00BA4099">
      <w:pPr>
        <w:rPr>
          <w:b/>
          <w:bCs/>
          <w:i/>
          <w:iCs/>
          <w:color w:val="auto"/>
        </w:rPr>
      </w:pPr>
      <w:r w:rsidRPr="00805244">
        <w:rPr>
          <w:b/>
          <w:bCs/>
          <w:i/>
          <w:iCs/>
          <w:color w:val="auto"/>
        </w:rPr>
        <w:t>Research aim</w:t>
      </w:r>
    </w:p>
    <w:p w14:paraId="2F436F72" w14:textId="77777777" w:rsidR="00BA4099" w:rsidRPr="00805244" w:rsidRDefault="00BA4099" w:rsidP="00405B39">
      <w:pPr>
        <w:rPr>
          <w:color w:val="auto"/>
        </w:rPr>
      </w:pPr>
      <w:r w:rsidRPr="00805244">
        <w:rPr>
          <w:color w:val="auto"/>
        </w:rPr>
        <w:lastRenderedPageBreak/>
        <w:t>To critically examine how consumer-facing AI tools are associated with consumer trust and perceived brand competitiveness in UK healthcare services and to develop recommendations for their responsible implementation.</w:t>
      </w:r>
    </w:p>
    <w:p w14:paraId="491724BB" w14:textId="77777777" w:rsidR="00BA4099" w:rsidRPr="00805244" w:rsidRDefault="00BA4099" w:rsidP="00BA4099">
      <w:pPr>
        <w:rPr>
          <w:b/>
          <w:bCs/>
          <w:i/>
          <w:iCs/>
          <w:color w:val="auto"/>
        </w:rPr>
      </w:pPr>
      <w:r w:rsidRPr="00805244">
        <w:rPr>
          <w:b/>
          <w:bCs/>
          <w:i/>
          <w:iCs/>
          <w:color w:val="auto"/>
        </w:rPr>
        <w:t>Research objectives</w:t>
      </w:r>
    </w:p>
    <w:p w14:paraId="17E8FC3E" w14:textId="77777777" w:rsidR="00BA4099" w:rsidRPr="00805244" w:rsidRDefault="00BA4099" w:rsidP="00405B39">
      <w:pPr>
        <w:pStyle w:val="ListParagraph"/>
        <w:numPr>
          <w:ilvl w:val="0"/>
          <w:numId w:val="6"/>
        </w:numPr>
        <w:rPr>
          <w:color w:val="auto"/>
        </w:rPr>
      </w:pPr>
      <w:r w:rsidRPr="00805244">
        <w:rPr>
          <w:color w:val="auto"/>
        </w:rPr>
        <w:t>To examine consumers’ perceptions of AI-supported accessibility, communication, personalisation and patient experience in UK healthcare services.</w:t>
      </w:r>
    </w:p>
    <w:p w14:paraId="602195FC" w14:textId="77777777" w:rsidR="00BA4099" w:rsidRPr="00805244" w:rsidRDefault="00BA4099" w:rsidP="00405B39">
      <w:pPr>
        <w:pStyle w:val="ListParagraph"/>
        <w:numPr>
          <w:ilvl w:val="0"/>
          <w:numId w:val="6"/>
        </w:numPr>
        <w:rPr>
          <w:color w:val="auto"/>
        </w:rPr>
      </w:pPr>
      <w:r w:rsidRPr="00805244">
        <w:rPr>
          <w:color w:val="auto"/>
        </w:rPr>
        <w:t>To analyse the relationship between consumers’ overall perceptions of AI-supported services and consumer trust.</w:t>
      </w:r>
    </w:p>
    <w:p w14:paraId="0383DEFC" w14:textId="77777777" w:rsidR="00BA4099" w:rsidRPr="00805244" w:rsidRDefault="00BA4099" w:rsidP="00405B39">
      <w:pPr>
        <w:pStyle w:val="ListParagraph"/>
        <w:numPr>
          <w:ilvl w:val="0"/>
          <w:numId w:val="6"/>
        </w:numPr>
        <w:rPr>
          <w:color w:val="auto"/>
        </w:rPr>
      </w:pPr>
      <w:r w:rsidRPr="00805244">
        <w:rPr>
          <w:color w:val="auto"/>
        </w:rPr>
        <w:t>To evaluate the relationships between consumers’ perceptions of AI tools and perceived healthcare-provider competitiveness, including reputation, differentiation, loyalty and service innovation.</w:t>
      </w:r>
    </w:p>
    <w:p w14:paraId="750E1561" w14:textId="77777777" w:rsidR="00BA4099" w:rsidRPr="00805244" w:rsidRDefault="00BA4099" w:rsidP="00405B39">
      <w:pPr>
        <w:pStyle w:val="ListParagraph"/>
        <w:numPr>
          <w:ilvl w:val="0"/>
          <w:numId w:val="6"/>
        </w:numPr>
        <w:rPr>
          <w:color w:val="auto"/>
        </w:rPr>
      </w:pPr>
      <w:r w:rsidRPr="00805244">
        <w:rPr>
          <w:color w:val="auto"/>
        </w:rPr>
        <w:t>To develop evidence-based recommendations for responsible AI implementation by UK healthcare-service providers.</w:t>
      </w:r>
    </w:p>
    <w:p w14:paraId="38570E0B" w14:textId="77777777" w:rsidR="00BA4099" w:rsidRPr="00805244" w:rsidRDefault="00BA4099" w:rsidP="00606754">
      <w:pPr>
        <w:pStyle w:val="Heading2"/>
        <w:rPr>
          <w:color w:val="auto"/>
        </w:rPr>
      </w:pPr>
      <w:bookmarkStart w:id="5" w:name="_Toc241072235"/>
      <w:r w:rsidRPr="00805244">
        <w:rPr>
          <w:color w:val="auto"/>
        </w:rPr>
        <w:t>1.5 Research Questions and Hypotheses</w:t>
      </w:r>
      <w:bookmarkEnd w:id="5"/>
    </w:p>
    <w:p w14:paraId="7EC293BC" w14:textId="77777777" w:rsidR="00BA4099" w:rsidRPr="00805244" w:rsidRDefault="00606754" w:rsidP="00405B39">
      <w:pPr>
        <w:rPr>
          <w:color w:val="auto"/>
        </w:rPr>
      </w:pPr>
      <w:r w:rsidRPr="00805244">
        <w:rPr>
          <w:color w:val="auto"/>
        </w:rPr>
        <w:t>The main research question is “How are consumers’ perceptions of AI-enabled healthcare services associated with consumer trust and perceived brand competitiveness in the UK healthcare-services industry?”</w:t>
      </w:r>
    </w:p>
    <w:p w14:paraId="09AA880A" w14:textId="77777777" w:rsidR="00BA4099" w:rsidRPr="00805244" w:rsidRDefault="00BA4099" w:rsidP="00405B39">
      <w:pPr>
        <w:rPr>
          <w:color w:val="auto"/>
        </w:rPr>
      </w:pPr>
      <w:r w:rsidRPr="00805244">
        <w:rPr>
          <w:color w:val="auto"/>
        </w:rPr>
        <w:t>Supporting research question</w:t>
      </w:r>
      <w:r w:rsidR="00606754" w:rsidRPr="00805244">
        <w:rPr>
          <w:color w:val="auto"/>
        </w:rPr>
        <w:t>s:</w:t>
      </w:r>
    </w:p>
    <w:p w14:paraId="6E319B1B" w14:textId="77777777" w:rsidR="00BA4099" w:rsidRPr="00805244" w:rsidRDefault="00BA4099" w:rsidP="00405B39">
      <w:pPr>
        <w:pStyle w:val="ListParagraph"/>
        <w:numPr>
          <w:ilvl w:val="0"/>
          <w:numId w:val="7"/>
        </w:numPr>
        <w:rPr>
          <w:color w:val="auto"/>
        </w:rPr>
      </w:pPr>
      <w:r w:rsidRPr="00805244">
        <w:rPr>
          <w:color w:val="auto"/>
        </w:rPr>
        <w:t>RQ1: How do UK consumers perceive AI tools’ contribution to healthcare-service accessibility, communication, personalisation and patient experience?</w:t>
      </w:r>
    </w:p>
    <w:p w14:paraId="001852D9" w14:textId="77777777" w:rsidR="00BA4099" w:rsidRPr="00805244" w:rsidRDefault="00BA4099" w:rsidP="00405B39">
      <w:pPr>
        <w:pStyle w:val="ListParagraph"/>
        <w:numPr>
          <w:ilvl w:val="0"/>
          <w:numId w:val="7"/>
        </w:numPr>
        <w:rPr>
          <w:color w:val="auto"/>
        </w:rPr>
      </w:pPr>
      <w:r w:rsidRPr="00805244">
        <w:rPr>
          <w:color w:val="auto"/>
        </w:rPr>
        <w:t>RQ2: What relationship exists between consumers’ perceptions of AI tools and consumer trust?</w:t>
      </w:r>
    </w:p>
    <w:p w14:paraId="402F0202" w14:textId="77777777" w:rsidR="00BA4099" w:rsidRPr="00805244" w:rsidRDefault="00BA4099" w:rsidP="00405B39">
      <w:pPr>
        <w:pStyle w:val="ListParagraph"/>
        <w:numPr>
          <w:ilvl w:val="0"/>
          <w:numId w:val="7"/>
        </w:numPr>
        <w:rPr>
          <w:color w:val="auto"/>
        </w:rPr>
      </w:pPr>
      <w:r w:rsidRPr="00805244">
        <w:rPr>
          <w:color w:val="auto"/>
        </w:rPr>
        <w:t>RQ3: What relationship exists between consumers’ perceptions of AI tools and perceived brand competitiveness?</w:t>
      </w:r>
    </w:p>
    <w:p w14:paraId="666CE2E3" w14:textId="77777777" w:rsidR="00BA4099" w:rsidRPr="00805244" w:rsidRDefault="00BA4099" w:rsidP="00405B39">
      <w:pPr>
        <w:pStyle w:val="ListParagraph"/>
        <w:numPr>
          <w:ilvl w:val="0"/>
          <w:numId w:val="7"/>
        </w:numPr>
        <w:rPr>
          <w:color w:val="auto"/>
        </w:rPr>
      </w:pPr>
      <w:r w:rsidRPr="00805244">
        <w:rPr>
          <w:color w:val="auto"/>
        </w:rPr>
        <w:lastRenderedPageBreak/>
        <w:t>RQ4: How should UK healthcare providers implement AI tools responsibly to protect trust and competitiveness?</w:t>
      </w:r>
    </w:p>
    <w:p w14:paraId="7A4915F9" w14:textId="77777777" w:rsidR="00BA4099" w:rsidRPr="00805244" w:rsidRDefault="00BA4099" w:rsidP="00BA4099">
      <w:pPr>
        <w:rPr>
          <w:b/>
          <w:bCs/>
          <w:i/>
          <w:iCs/>
          <w:color w:val="auto"/>
        </w:rPr>
      </w:pPr>
      <w:r w:rsidRPr="00805244">
        <w:rPr>
          <w:b/>
          <w:bCs/>
          <w:i/>
          <w:iCs/>
          <w:color w:val="auto"/>
        </w:rPr>
        <w:t>Proposed hypotheses</w:t>
      </w:r>
    </w:p>
    <w:p w14:paraId="60DCE6CB" w14:textId="77777777" w:rsidR="00BA4099" w:rsidRPr="00805244" w:rsidRDefault="00BA4099" w:rsidP="00405B39">
      <w:pPr>
        <w:pStyle w:val="ListParagraph"/>
        <w:numPr>
          <w:ilvl w:val="0"/>
          <w:numId w:val="8"/>
        </w:numPr>
        <w:rPr>
          <w:color w:val="auto"/>
        </w:rPr>
      </w:pPr>
      <w:r w:rsidRPr="00805244">
        <w:rPr>
          <w:color w:val="auto"/>
        </w:rPr>
        <w:t xml:space="preserve">H1: </w:t>
      </w:r>
      <w:r w:rsidR="00C610CC" w:rsidRPr="00805244">
        <w:rPr>
          <w:color w:val="auto"/>
        </w:rPr>
        <w:t>AI tools in UK healthcare services are positively associated with consumer trust.</w:t>
      </w:r>
    </w:p>
    <w:p w14:paraId="158EE4F9" w14:textId="77777777" w:rsidR="00BA4099" w:rsidRPr="00805244" w:rsidRDefault="00BA4099" w:rsidP="00405B39">
      <w:pPr>
        <w:pStyle w:val="ListParagraph"/>
        <w:numPr>
          <w:ilvl w:val="0"/>
          <w:numId w:val="8"/>
        </w:numPr>
        <w:rPr>
          <w:color w:val="auto"/>
        </w:rPr>
      </w:pPr>
      <w:r w:rsidRPr="00805244">
        <w:rPr>
          <w:color w:val="auto"/>
        </w:rPr>
        <w:t xml:space="preserve">H2: </w:t>
      </w:r>
      <w:r w:rsidR="00C610CC" w:rsidRPr="00805244">
        <w:rPr>
          <w:color w:val="auto"/>
        </w:rPr>
        <w:t>AI tools in UK healthcare services are positively associated with brand reputation and brand image.</w:t>
      </w:r>
    </w:p>
    <w:p w14:paraId="25F2D52A" w14:textId="77777777" w:rsidR="00BA4099" w:rsidRPr="00805244" w:rsidRDefault="00BA4099" w:rsidP="00405B39">
      <w:pPr>
        <w:pStyle w:val="ListParagraph"/>
        <w:numPr>
          <w:ilvl w:val="0"/>
          <w:numId w:val="8"/>
        </w:numPr>
        <w:rPr>
          <w:color w:val="auto"/>
        </w:rPr>
      </w:pPr>
      <w:r w:rsidRPr="00805244">
        <w:rPr>
          <w:color w:val="auto"/>
        </w:rPr>
        <w:t xml:space="preserve">H3: </w:t>
      </w:r>
      <w:r w:rsidR="00C610CC" w:rsidRPr="00805244">
        <w:rPr>
          <w:color w:val="auto"/>
        </w:rPr>
        <w:t>AI tools in UK healthcare services are positively associated with patient and consumer loyalty.</w:t>
      </w:r>
    </w:p>
    <w:p w14:paraId="6FE86247" w14:textId="77777777" w:rsidR="00BA4099" w:rsidRPr="00805244" w:rsidRDefault="00BA4099" w:rsidP="00405B39">
      <w:pPr>
        <w:pStyle w:val="ListParagraph"/>
        <w:numPr>
          <w:ilvl w:val="0"/>
          <w:numId w:val="8"/>
        </w:numPr>
        <w:rPr>
          <w:color w:val="auto"/>
        </w:rPr>
      </w:pPr>
      <w:r w:rsidRPr="00805244">
        <w:rPr>
          <w:color w:val="auto"/>
        </w:rPr>
        <w:t xml:space="preserve">H4: </w:t>
      </w:r>
      <w:r w:rsidR="00C610CC" w:rsidRPr="00805244">
        <w:rPr>
          <w:color w:val="auto"/>
        </w:rPr>
        <w:t>AI tools in UK healthcare services are positively associated with brand competitiveness.</w:t>
      </w:r>
    </w:p>
    <w:p w14:paraId="410F3C92" w14:textId="77777777" w:rsidR="00BA4099" w:rsidRPr="00805244" w:rsidRDefault="00BA4099" w:rsidP="00606754">
      <w:pPr>
        <w:pStyle w:val="Heading2"/>
        <w:rPr>
          <w:color w:val="auto"/>
        </w:rPr>
      </w:pPr>
      <w:bookmarkStart w:id="6" w:name="_Toc241072236"/>
      <w:r w:rsidRPr="00805244">
        <w:rPr>
          <w:color w:val="auto"/>
        </w:rPr>
        <w:t>1.6 Scope and Delimitations</w:t>
      </w:r>
      <w:bookmarkEnd w:id="6"/>
    </w:p>
    <w:p w14:paraId="009393C5" w14:textId="77777777" w:rsidR="00BA4099" w:rsidRPr="00805244" w:rsidRDefault="00606754" w:rsidP="00BA4099">
      <w:pPr>
        <w:rPr>
          <w:color w:val="auto"/>
        </w:rPr>
      </w:pPr>
      <w:r w:rsidRPr="00805244">
        <w:rPr>
          <w:color w:val="auto"/>
        </w:rPr>
        <w:t>The research will be restricted to the UK adult population (</w:t>
      </w:r>
      <w:r w:rsidR="00AE5C66" w:rsidRPr="00805244">
        <w:rPr>
          <w:color w:val="auto"/>
        </w:rPr>
        <w:t>aged 18 and older) accessing NHS or private healthcare</w:t>
      </w:r>
      <w:r w:rsidRPr="00805244">
        <w:rPr>
          <w:color w:val="auto"/>
        </w:rPr>
        <w:t xml:space="preserve">. It investigates consumer perceptions of consumer-facing or service-support AI </w:t>
      </w:r>
      <w:r w:rsidR="00AE5C66" w:rsidRPr="00805244">
        <w:rPr>
          <w:color w:val="auto"/>
        </w:rPr>
        <w:t>using cross-sectional, self-reported data collected via</w:t>
      </w:r>
      <w:r w:rsidRPr="00805244">
        <w:rPr>
          <w:color w:val="auto"/>
        </w:rPr>
        <w:t xml:space="preserve"> questionnaires. There are no children or vulnerable participants. The study does not gather clinical history, diagnosis or treatment history; clinically validate AI algorithms; measure healthcare professionals’ opinions unless they participate directly as consumers; objectively evaluate healthcare performance in terms of finances or the market; or longitudinally monitor changes in trust. Participants without direct experience with AI can give informed expectations, but such responses will be distinguished from reported experience where the questionnaire allows. These limits retain the individual consumer as the unit of analysis and perceived brand competitiveness as the outcome.</w:t>
      </w:r>
    </w:p>
    <w:p w14:paraId="3898A12B" w14:textId="77777777" w:rsidR="00BA4099" w:rsidRPr="00805244" w:rsidRDefault="00BA4099" w:rsidP="00606754">
      <w:pPr>
        <w:pStyle w:val="Heading2"/>
        <w:rPr>
          <w:color w:val="auto"/>
        </w:rPr>
      </w:pPr>
      <w:bookmarkStart w:id="7" w:name="_Toc241072237"/>
      <w:r w:rsidRPr="00805244">
        <w:rPr>
          <w:color w:val="auto"/>
        </w:rPr>
        <w:t>1.7 Research Significance and Contribution</w:t>
      </w:r>
      <w:bookmarkEnd w:id="7"/>
    </w:p>
    <w:p w14:paraId="526BB5BA" w14:textId="77777777" w:rsidR="00606754" w:rsidRPr="00805244" w:rsidRDefault="00606754" w:rsidP="00606754">
      <w:pPr>
        <w:rPr>
          <w:color w:val="auto"/>
        </w:rPr>
      </w:pPr>
      <w:r w:rsidRPr="00805244">
        <w:rPr>
          <w:color w:val="auto"/>
        </w:rPr>
        <w:t xml:space="preserve">Theoretically, the research combines TAM, Trust Theory and CBBE Theory into a single consumer-centred approach to healthcare. It provides UK-specific quantitative data relating </w:t>
      </w:r>
      <w:r w:rsidRPr="00805244">
        <w:rPr>
          <w:color w:val="auto"/>
        </w:rPr>
        <w:lastRenderedPageBreak/>
        <w:t>perceived AI service quality and governance, consumer trust and perceived brand competitiveness. In practical terms, it helps to determine what perceived elements of implementation can either enhance or harm trust, reputation and loyalty, thus supporting responsible decisions by NHS and private providers. The research does not assert that AI enhances healthcare brands but focuses on whether these relationships exist and the perceived conditions under which they are positive or negative.</w:t>
      </w:r>
    </w:p>
    <w:p w14:paraId="09279457" w14:textId="77777777" w:rsidR="00606754" w:rsidRPr="00805244" w:rsidRDefault="00606754" w:rsidP="00606754">
      <w:pPr>
        <w:pStyle w:val="Heading2"/>
        <w:rPr>
          <w:color w:val="auto"/>
        </w:rPr>
      </w:pPr>
      <w:bookmarkStart w:id="8" w:name="_Toc241072238"/>
      <w:r w:rsidRPr="00805244">
        <w:rPr>
          <w:color w:val="auto"/>
        </w:rPr>
        <w:t>1.8 Dissertation Structure</w:t>
      </w:r>
      <w:bookmarkEnd w:id="8"/>
    </w:p>
    <w:p w14:paraId="4E727312" w14:textId="77777777" w:rsidR="00BA4099" w:rsidRPr="00805244" w:rsidRDefault="00606754" w:rsidP="00606754">
      <w:pPr>
        <w:rPr>
          <w:color w:val="auto"/>
        </w:rPr>
      </w:pPr>
      <w:r w:rsidRPr="00805244">
        <w:rPr>
          <w:color w:val="auto"/>
        </w:rPr>
        <w:t>Chapter 1 covers the context, problem, aim, questions and scope. Chapter 2 critically discusses AI-enabled healthcare, consumer trust, perceived brand competitiveness and the three theories and builds the conceptual framework. Chapter 3 describes and rationalises the quantitative approach, including sampling, questionnaire design, analysis and ethics. Chapter 4 presents and discusses the statistical results in the context of the hypotheses and literature. Chapter 5 provides the answers to the research questions and gives conclusions, evidence-based recommendations, limitations and recommendations for future research.</w:t>
      </w:r>
      <w:r w:rsidR="00BA4099" w:rsidRPr="00805244">
        <w:rPr>
          <w:color w:val="auto"/>
        </w:rPr>
        <w:br w:type="page"/>
      </w:r>
    </w:p>
    <w:p w14:paraId="17B54C7D" w14:textId="77777777" w:rsidR="004B1505" w:rsidRPr="00805244" w:rsidRDefault="001C7B57">
      <w:pPr>
        <w:pStyle w:val="Heading1"/>
        <w:rPr>
          <w:color w:val="auto"/>
        </w:rPr>
      </w:pPr>
      <w:bookmarkStart w:id="9" w:name="_Toc241072239"/>
      <w:r w:rsidRPr="00805244">
        <w:rPr>
          <w:color w:val="auto"/>
        </w:rPr>
        <w:lastRenderedPageBreak/>
        <w:t>Chapter 2: Literature Review</w:t>
      </w:r>
      <w:bookmarkEnd w:id="9"/>
    </w:p>
    <w:p w14:paraId="21440DCF" w14:textId="77777777" w:rsidR="004B1505" w:rsidRPr="00805244" w:rsidRDefault="001C7B57">
      <w:pPr>
        <w:pStyle w:val="Heading2"/>
        <w:rPr>
          <w:color w:val="auto"/>
        </w:rPr>
      </w:pPr>
      <w:bookmarkStart w:id="10" w:name="_1s4034iur3sa" w:colFirst="0" w:colLast="0"/>
      <w:bookmarkStart w:id="11" w:name="_Toc241072240"/>
      <w:bookmarkEnd w:id="10"/>
      <w:r w:rsidRPr="00805244">
        <w:rPr>
          <w:color w:val="auto"/>
        </w:rPr>
        <w:t>2.1 Introduction</w:t>
      </w:r>
      <w:bookmarkEnd w:id="11"/>
    </w:p>
    <w:p w14:paraId="4AD29318" w14:textId="77777777" w:rsidR="004B1505" w:rsidRPr="00805244" w:rsidRDefault="001C7B57">
      <w:pPr>
        <w:rPr>
          <w:color w:val="auto"/>
        </w:rPr>
      </w:pPr>
      <w:r w:rsidRPr="00805244">
        <w:rPr>
          <w:color w:val="auto"/>
        </w:rPr>
        <w:t>The chapter is based on a critical review of the literature on the role of artificial intelligence tools in enhancing consumer trust and brand competitiveness in UK healthcare services industry. It describes the concepts of AI tools, consumer trust and brand competitiveness in the healthcare setting. The chapter discusses role of AI in access to services, communication, personalisation, predictive services and experience of patients. It assesses consumer trust based on the impact of transparency, reliabilit</w:t>
      </w:r>
      <w:r w:rsidRPr="00805244">
        <w:rPr>
          <w:color w:val="auto"/>
        </w:rPr>
        <w:t>y, privacy, safety and perceived quality of service. The discussion takes into account the role of AI-enabled services in enhancing differentiation, reputation, loyalty and innovation, outlines theoretical frameworks, literature gap and conceptual framework.</w:t>
      </w:r>
    </w:p>
    <w:p w14:paraId="0B61D1D8" w14:textId="77777777" w:rsidR="004B1505" w:rsidRPr="00805244" w:rsidRDefault="001C7B57">
      <w:pPr>
        <w:pStyle w:val="Heading2"/>
        <w:rPr>
          <w:color w:val="auto"/>
        </w:rPr>
      </w:pPr>
      <w:bookmarkStart w:id="12" w:name="_8ge2mme7zkcp" w:colFirst="0" w:colLast="0"/>
      <w:bookmarkStart w:id="13" w:name="_Toc241072241"/>
      <w:bookmarkEnd w:id="12"/>
      <w:r w:rsidRPr="00805244">
        <w:rPr>
          <w:color w:val="auto"/>
        </w:rPr>
        <w:t>2.2 Conceptual and UK Healthcare Services Context</w:t>
      </w:r>
      <w:bookmarkEnd w:id="13"/>
    </w:p>
    <w:p w14:paraId="42BC01F1" w14:textId="77777777" w:rsidR="004B1505" w:rsidRPr="00805244" w:rsidRDefault="001C7B57">
      <w:pPr>
        <w:pStyle w:val="Heading3"/>
        <w:rPr>
          <w:color w:val="auto"/>
        </w:rPr>
      </w:pPr>
      <w:bookmarkStart w:id="14" w:name="_l0ok6vqovrjs" w:colFirst="0" w:colLast="0"/>
      <w:bookmarkStart w:id="15" w:name="_Toc241072242"/>
      <w:bookmarkEnd w:id="14"/>
      <w:r w:rsidRPr="00805244">
        <w:rPr>
          <w:color w:val="auto"/>
        </w:rPr>
        <w:t>2.2.1 AI Tools in UK Healthcare Services</w:t>
      </w:r>
      <w:bookmarkEnd w:id="15"/>
    </w:p>
    <w:p w14:paraId="41A3566A" w14:textId="77777777" w:rsidR="004B1505" w:rsidRPr="00805244" w:rsidRDefault="001C7B57" w:rsidP="00405B39">
      <w:pPr>
        <w:rPr>
          <w:color w:val="auto"/>
        </w:rPr>
      </w:pPr>
      <w:r w:rsidRPr="00805244">
        <w:rPr>
          <w:color w:val="auto"/>
        </w:rPr>
        <w:t>AI tools used in UK healthcare services are digital tools which analyse data, learn patterns and assist in automated or assisted decision-making (Nouis</w:t>
      </w:r>
      <w:r w:rsidRPr="00805244">
        <w:rPr>
          <w:color w:val="auto"/>
        </w:rPr>
        <w:t xml:space="preserve"> et al., 2025). These are chatbots, virtual triage, predictive analytics, diagnostic support, appointment system and personalised communication. AI has been integrated into UK healthcare to aid in diagnosis, prediction, administration and patient monitoring. For example, NHS England revealed that predictive system of Cera evaluates over two million home-care visits every month, detects up to 5,000 high-risk notifications each day, and forecasts falls with a 97% accuracy (NHS England, 2025a). It has been rep</w:t>
      </w:r>
      <w:r w:rsidRPr="00805244">
        <w:rPr>
          <w:color w:val="auto"/>
        </w:rPr>
        <w:t xml:space="preserve">orted to reduce hospitalisations by a factor of 70%, demonstrating the effectiveness of predictive analytics in helping to intervene earlier and care at home. AI also enhances the efficiency of diagnoses. By 2025, over 24,300 NHS patients had benefited through the AI-supported three-dimensional cardiac analysis of </w:t>
      </w:r>
      <w:r w:rsidRPr="00805244">
        <w:rPr>
          <w:color w:val="auto"/>
        </w:rPr>
        <w:t xml:space="preserve">HeartFlow and saved an estimated cost of £9.5 million, including by preventing unnecessary invasive procedures (NHS </w:t>
      </w:r>
      <w:r w:rsidRPr="00805244">
        <w:rPr>
          <w:color w:val="auto"/>
        </w:rPr>
        <w:lastRenderedPageBreak/>
        <w:t>England, 2025b). Nonetheless, these results are not to be generalised to all AI tools. The success of an AI tool hinges on quality of data, clinical validation, personnel management, cybersecurity and interaction with the current services (Jenko et al., 2025). Thus, AI can be most useful as it supplements professional judgement, but not as a substitute for human-led healthcare. In cases where these tools enhance care safety and reliability, they could enhance patient trust and enable the provider to develop</w:t>
      </w:r>
      <w:r w:rsidRPr="00805244">
        <w:rPr>
          <w:color w:val="auto"/>
        </w:rPr>
        <w:t xml:space="preserve"> a more competitive reputation.</w:t>
      </w:r>
    </w:p>
    <w:p w14:paraId="3236EE82" w14:textId="77777777" w:rsidR="004B1505" w:rsidRPr="00805244" w:rsidRDefault="001C7B57">
      <w:pPr>
        <w:pStyle w:val="Heading3"/>
        <w:rPr>
          <w:color w:val="auto"/>
        </w:rPr>
      </w:pPr>
      <w:bookmarkStart w:id="16" w:name="_p0411d8xgtue" w:colFirst="0" w:colLast="0"/>
      <w:bookmarkStart w:id="17" w:name="_Toc241072243"/>
      <w:bookmarkEnd w:id="16"/>
      <w:r w:rsidRPr="00805244">
        <w:rPr>
          <w:color w:val="auto"/>
        </w:rPr>
        <w:t>2.2.2 Consumer Trust in Healthcare Services</w:t>
      </w:r>
      <w:bookmarkEnd w:id="17"/>
    </w:p>
    <w:p w14:paraId="0068CE71" w14:textId="77777777" w:rsidR="004B1505" w:rsidRPr="00805244" w:rsidRDefault="001C7B57" w:rsidP="00405B39">
      <w:pPr>
        <w:rPr>
          <w:color w:val="auto"/>
        </w:rPr>
      </w:pPr>
      <w:r w:rsidRPr="00805244">
        <w:rPr>
          <w:color w:val="auto"/>
        </w:rPr>
        <w:t>Consumer trust in healthcare services describes the trust that patients have in competency of healthcare providers, technologies and institutions to act safely, ethically and in the best interests of patients (Taylor et al., 2023). It is based on the reliability, transparency, privacy protection, accountability, and fair and consistent high-quality care delivery. The issue of trust in an AI system deals with the trust in its accuracy, safety, ability to explain and protect patient data. They have discovered</w:t>
      </w:r>
      <w:r w:rsidRPr="00805244">
        <w:rPr>
          <w:color w:val="auto"/>
        </w:rPr>
        <w:t xml:space="preserve"> that 92.5% had faith in the professional they were consulting (Dawson and Elsey, 2025). According to Reddy (2024), organisational service quality, governance and error handling are issues that are related to trust in a healthcare provider. However, </w:t>
      </w:r>
      <w:r w:rsidRPr="00805244">
        <w:rPr>
          <w:color w:val="auto"/>
        </w:rPr>
        <w:t>Kerasidou and Kerasidou</w:t>
      </w:r>
      <w:r w:rsidRPr="00805244">
        <w:rPr>
          <w:color w:val="auto"/>
        </w:rPr>
        <w:t xml:space="preserve"> (2023) claimed that institutional trust is a measure of trust in the legitimacy and purpose of the NHS or a private organisation. In UK, there is a higher acceptance since 77% of the respondents agreed with the idea of using health data to create healthcare technologies, such as AI (ONS, 2025). These differences are important since patients do not always have equal medical knowledge, and they rely on their professionals in critical cases and make judgments when they do not have all the information, which p</w:t>
      </w:r>
      <w:r w:rsidRPr="00805244">
        <w:rPr>
          <w:color w:val="auto"/>
        </w:rPr>
        <w:t>oses a significant information imbalance. Thus, trust may make the difference between patients perceiving AI usage as a sign of a well-trusted competitive healthcare provider.</w:t>
      </w:r>
    </w:p>
    <w:p w14:paraId="4FC47707" w14:textId="77777777" w:rsidR="004B1505" w:rsidRPr="00805244" w:rsidRDefault="001C7B57">
      <w:pPr>
        <w:pStyle w:val="Heading3"/>
        <w:rPr>
          <w:color w:val="auto"/>
        </w:rPr>
      </w:pPr>
      <w:bookmarkStart w:id="18" w:name="_3c5mbklwwhg" w:colFirst="0" w:colLast="0"/>
      <w:bookmarkStart w:id="19" w:name="_Toc241072244"/>
      <w:bookmarkEnd w:id="18"/>
      <w:r w:rsidRPr="00805244">
        <w:rPr>
          <w:color w:val="auto"/>
        </w:rPr>
        <w:lastRenderedPageBreak/>
        <w:t>2.2.3 Brand Competitiveness in Healthcare Services</w:t>
      </w:r>
      <w:bookmarkEnd w:id="19"/>
    </w:p>
    <w:p w14:paraId="3F17274E" w14:textId="77777777" w:rsidR="004B1505" w:rsidRPr="00805244" w:rsidRDefault="001C7B57" w:rsidP="00405B39">
      <w:pPr>
        <w:rPr>
          <w:color w:val="auto"/>
        </w:rPr>
      </w:pPr>
      <w:r w:rsidRPr="00805244">
        <w:rPr>
          <w:color w:val="auto"/>
        </w:rPr>
        <w:t>The competitiveness of the brand in healthcare is the capacity of a provider to gain reputation, preference, loyalty and trust from patients through unique high-quality and innovative services (Senyapar</w:t>
      </w:r>
      <w:r w:rsidRPr="00805244">
        <w:rPr>
          <w:color w:val="auto"/>
        </w:rPr>
        <w:t xml:space="preserve">, 2024). Competitiveness in NHS is mostly reputational as opposed to profit-making. The difference between frontline trust and institutional brand perception was also evident, since 80.1% of 2024 inpatients always trusted their doctors, but only 21% of British adults were content with the way the NHS works (CQC, 2025; The King’s Fund, 2025). By contrast, UK private hospital admissions reached a record 953,000 in 2025, 1% above 2024 (PHIN, 2026). Nevertheless, increasing admissions could be an indication of </w:t>
      </w:r>
      <w:r w:rsidRPr="00805244">
        <w:rPr>
          <w:color w:val="auto"/>
        </w:rPr>
        <w:t>NHS waiting times and not an indication of high loyalty or quality. Thus, AI reinforces competitiveness only in case of the enhancement of safety, accessibility and experience.</w:t>
      </w:r>
    </w:p>
    <w:p w14:paraId="764BA271" w14:textId="77777777" w:rsidR="004B1505" w:rsidRPr="00805244" w:rsidRDefault="001C7B57">
      <w:pPr>
        <w:pStyle w:val="Heading2"/>
        <w:rPr>
          <w:color w:val="auto"/>
        </w:rPr>
      </w:pPr>
      <w:bookmarkStart w:id="20" w:name="_82gsm5mevrc" w:colFirst="0" w:colLast="0"/>
      <w:bookmarkStart w:id="21" w:name="_Toc241072245"/>
      <w:bookmarkEnd w:id="20"/>
      <w:r w:rsidRPr="00805244">
        <w:rPr>
          <w:color w:val="auto"/>
        </w:rPr>
        <w:t>2.3 Current Role of AI Tools in UK Healthcare Service Delivery</w:t>
      </w:r>
      <w:bookmarkEnd w:id="21"/>
    </w:p>
    <w:p w14:paraId="4EA3B15A" w14:textId="77777777" w:rsidR="004B1505" w:rsidRPr="00805244" w:rsidRDefault="001C7B57">
      <w:pPr>
        <w:pStyle w:val="Heading3"/>
        <w:rPr>
          <w:color w:val="auto"/>
        </w:rPr>
      </w:pPr>
      <w:bookmarkStart w:id="22" w:name="_q0euiz45qk7k" w:colFirst="0" w:colLast="0"/>
      <w:bookmarkStart w:id="23" w:name="_Toc241072246"/>
      <w:bookmarkEnd w:id="22"/>
      <w:r w:rsidRPr="00805244">
        <w:rPr>
          <w:color w:val="auto"/>
        </w:rPr>
        <w:t>2.3.1 AI Tools and Service Accessibility</w:t>
      </w:r>
      <w:bookmarkEnd w:id="23"/>
    </w:p>
    <w:p w14:paraId="78D79D89" w14:textId="77777777" w:rsidR="004B1505" w:rsidRPr="00805244" w:rsidRDefault="001C7B57">
      <w:pPr>
        <w:rPr>
          <w:color w:val="auto"/>
        </w:rPr>
      </w:pPr>
      <w:r w:rsidRPr="00805244">
        <w:rPr>
          <w:color w:val="auto"/>
        </w:rPr>
        <w:t>AI-powered digital services will be able to enhance accessibility by eliminating time and transportation constraints. Brown et al. (2023) indicated that 91,926 remote reviews were able to avoid about 3.13 million kilometres of patient travel. Equally, Gobburi</w:t>
      </w:r>
      <w:r w:rsidRPr="00805244">
        <w:rPr>
          <w:color w:val="auto"/>
        </w:rPr>
        <w:t xml:space="preserve"> et al. (2025) discovered that the use of telehealth increased by telephone (68 to 98) and video (10 to 89) and 86% of respondents supported its use. Nevertheless, both studies consider digital care in general, and thus, these benefits cannot be ascribed to AI.</w:t>
      </w:r>
      <w:r w:rsidR="003D698F" w:rsidRPr="00805244">
        <w:rPr>
          <w:color w:val="auto"/>
        </w:rPr>
        <w:t xml:space="preserve"> For example, Deep Medical AI appointment tool deployed to Mid and South Essex NHS Foundation Trust led to a 30% decrease in non-attendance over six months and 1,910 more patients were seen (NHS England, 2024).</w:t>
      </w:r>
    </w:p>
    <w:p w14:paraId="02C39ACB" w14:textId="77777777" w:rsidR="004B1505" w:rsidRPr="00805244" w:rsidRDefault="001C7B57">
      <w:pPr>
        <w:rPr>
          <w:color w:val="auto"/>
        </w:rPr>
      </w:pPr>
      <w:r w:rsidRPr="00805244">
        <w:rPr>
          <w:color w:val="auto"/>
        </w:rPr>
        <w:t xml:space="preserve">Nevertheless, there are still disparities in accessibility between groups of patients. Farre et al. (2023) reported that telephone consultations averaged less time and money spent by the NHS by 4.3 minutes and by 15.71, respectively, but fewer older and poorer users and ethnic-minority </w:t>
      </w:r>
      <w:r w:rsidRPr="00805244">
        <w:rPr>
          <w:color w:val="auto"/>
        </w:rPr>
        <w:lastRenderedPageBreak/>
        <w:t>users participated. Contrarily, Fazakarley</w:t>
      </w:r>
      <w:r w:rsidRPr="00805244">
        <w:rPr>
          <w:color w:val="auto"/>
        </w:rPr>
        <w:t xml:space="preserve"> et al. (2023) documented that the NHS stakeholders anticipated AI to assist in the ongoing monitoring and surmount the human constraints, but the evidence was only from 13 professionals. Therefore, AI can expand access only in the case of digital exclusion, which needs to be tackled.</w:t>
      </w:r>
    </w:p>
    <w:p w14:paraId="25160157" w14:textId="77777777" w:rsidR="004B1505" w:rsidRPr="00805244" w:rsidRDefault="001C7B57">
      <w:pPr>
        <w:pStyle w:val="Heading3"/>
        <w:rPr>
          <w:color w:val="auto"/>
        </w:rPr>
      </w:pPr>
      <w:bookmarkStart w:id="24" w:name="_3fyydd9vf25f" w:colFirst="0" w:colLast="0"/>
      <w:bookmarkStart w:id="25" w:name="_Toc241072247"/>
      <w:bookmarkEnd w:id="24"/>
      <w:r w:rsidRPr="00805244">
        <w:rPr>
          <w:color w:val="auto"/>
        </w:rPr>
        <w:t>2.3.2 AI-Supported Communication and Patient Assistance</w:t>
      </w:r>
      <w:bookmarkEnd w:id="25"/>
    </w:p>
    <w:p w14:paraId="583E24CC" w14:textId="77777777" w:rsidR="004B1505" w:rsidRPr="00805244" w:rsidRDefault="001C7B57">
      <w:pPr>
        <w:rPr>
          <w:color w:val="auto"/>
        </w:rPr>
      </w:pPr>
      <w:r w:rsidRPr="00805244">
        <w:rPr>
          <w:color w:val="auto"/>
        </w:rPr>
        <w:t>Responsibility and customised help can be enhanced with the help of AI-assisted communication. Kim et al. (2025) identified clinician ratings of AI support (4.30/5), evidence-based responses in FAQ (4.8/5), but a lower safety rating of 2.8/5 in message triage. Similarly, Haider et al. (2025) found that personalised chatbots enhanced satisfaction by 35% and durations of sessions and tasks completed by 50% and 25%, respectively. Therefore, more intense involvement might not be clinically safe communication.</w:t>
      </w:r>
      <w:r w:rsidR="003D698F" w:rsidRPr="00805244">
        <w:rPr>
          <w:color w:val="auto"/>
        </w:rPr>
        <w:t xml:space="preserve"> For example, an AI triage app that was piloted via the NHS App in one of the Sussex GP practices cut the number of patients waiting on the phone by a quarter without patient satisfaction declining (NHS England, 2026).</w:t>
      </w:r>
    </w:p>
    <w:p w14:paraId="63168DCF" w14:textId="77777777" w:rsidR="004B1505" w:rsidRPr="00805244" w:rsidRDefault="001C7B57">
      <w:pPr>
        <w:rPr>
          <w:color w:val="auto"/>
        </w:rPr>
      </w:pPr>
      <w:r w:rsidRPr="00805244">
        <w:rPr>
          <w:color w:val="auto"/>
        </w:rPr>
        <w:t xml:space="preserve">Culturally responsive communication must take place. Weingott and Parkinson (2025) discovered that AI customisation enhances relevance and activation of the message, but there </w:t>
      </w:r>
      <w:r w:rsidR="00C95B9A" w:rsidRPr="00805244">
        <w:rPr>
          <w:color w:val="auto"/>
        </w:rPr>
        <w:t>are</w:t>
      </w:r>
      <w:r w:rsidRPr="00805244">
        <w:rPr>
          <w:color w:val="auto"/>
        </w:rPr>
        <w:t xml:space="preserve"> still digital illiteracy and a lack of human interactions. Similar findings of Davies </w:t>
      </w:r>
      <w:r w:rsidRPr="00805244">
        <w:rPr>
          <w:i/>
          <w:iCs/>
          <w:color w:val="auto"/>
        </w:rPr>
        <w:t xml:space="preserve">et al. </w:t>
      </w:r>
      <w:r w:rsidRPr="00805244">
        <w:rPr>
          <w:color w:val="auto"/>
        </w:rPr>
        <w:t>(2024) demonstrated that AI-generated health messages might be more persuasive than human-written messages, but the users favoured human sources and demanded anonymity and language sensitivity to their culture. Therefore, AI must be used to customise messages, but not to take away human comfort or cultural perception.</w:t>
      </w:r>
    </w:p>
    <w:p w14:paraId="734B2705" w14:textId="77777777" w:rsidR="004B1505" w:rsidRPr="00805244" w:rsidRDefault="001C7B57">
      <w:pPr>
        <w:jc w:val="center"/>
        <w:rPr>
          <w:color w:val="auto"/>
        </w:rPr>
      </w:pPr>
      <w:r w:rsidRPr="00805244">
        <w:rPr>
          <w:noProof/>
          <w:color w:val="auto"/>
        </w:rPr>
        <w:lastRenderedPageBreak/>
        <w:drawing>
          <wp:inline distT="114300" distB="114300" distL="114300" distR="114300" wp14:anchorId="3D7EF1EC" wp14:editId="4A13C83F">
            <wp:extent cx="5734050" cy="375285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12639"/>
                    <a:stretch>
                      <a:fillRect/>
                    </a:stretch>
                  </pic:blipFill>
                  <pic:spPr>
                    <a:xfrm>
                      <a:off x="0" y="0"/>
                      <a:ext cx="5734050" cy="3752850"/>
                    </a:xfrm>
                    <a:prstGeom prst="rect">
                      <a:avLst/>
                    </a:prstGeom>
                    <a:ln w="12700">
                      <a:solidFill>
                        <a:srgbClr val="000000"/>
                      </a:solidFill>
                      <a:prstDash val="solid"/>
                    </a:ln>
                  </pic:spPr>
                </pic:pic>
              </a:graphicData>
            </a:graphic>
          </wp:inline>
        </w:drawing>
      </w:r>
    </w:p>
    <w:p w14:paraId="2524EF71" w14:textId="77777777" w:rsidR="004B1505" w:rsidRPr="00805244" w:rsidRDefault="001C7B57" w:rsidP="003F4E9C">
      <w:pPr>
        <w:pStyle w:val="Heading4"/>
        <w:rPr>
          <w:b w:val="0"/>
          <w:color w:val="auto"/>
        </w:rPr>
      </w:pPr>
      <w:bookmarkStart w:id="26" w:name="_Toc241072217"/>
      <w:r w:rsidRPr="00805244">
        <w:rPr>
          <w:color w:val="auto"/>
        </w:rPr>
        <w:t>Figure 1: AI-Generated vs Surgeon-Written Medical Reports</w:t>
      </w:r>
      <w:bookmarkEnd w:id="26"/>
    </w:p>
    <w:p w14:paraId="15028903" w14:textId="77777777" w:rsidR="004B1505" w:rsidRPr="00805244" w:rsidRDefault="001C7B57">
      <w:pPr>
        <w:jc w:val="center"/>
        <w:rPr>
          <w:color w:val="auto"/>
        </w:rPr>
      </w:pPr>
      <w:r w:rsidRPr="00805244">
        <w:rPr>
          <w:color w:val="auto"/>
        </w:rPr>
        <w:t>Source: (Elad, 2026)</w:t>
      </w:r>
    </w:p>
    <w:p w14:paraId="1D4EEC18" w14:textId="77777777" w:rsidR="004B1505" w:rsidRPr="00805244" w:rsidRDefault="001C7B57">
      <w:pPr>
        <w:rPr>
          <w:color w:val="auto"/>
        </w:rPr>
      </w:pPr>
      <w:r w:rsidRPr="00805244">
        <w:rPr>
          <w:color w:val="auto"/>
        </w:rPr>
        <w:t xml:space="preserve">According to Figure 1, AI-generated reports achieved 87.3% overall accuracy compared with 72.8% for surgeon-written reports, while any discrepancies were lower for AI-generated reports (29.1% versus 53.2%) and clinically significant discrepancies were also lower (12.7% versus 27.2%) (Elad, 2026). These findings relate to documentation quality rather than patient communication directly. Therefore, Figure 1 provides contextual evidence of AI-supported documentation performance but does not establish improved </w:t>
      </w:r>
      <w:r w:rsidRPr="00805244">
        <w:rPr>
          <w:color w:val="auto"/>
        </w:rPr>
        <w:t>patient experience or trust.</w:t>
      </w:r>
    </w:p>
    <w:p w14:paraId="77C40A70" w14:textId="77777777" w:rsidR="004B1505" w:rsidRPr="00805244" w:rsidRDefault="001C7B57">
      <w:pPr>
        <w:pStyle w:val="Heading3"/>
        <w:rPr>
          <w:color w:val="auto"/>
        </w:rPr>
      </w:pPr>
      <w:bookmarkStart w:id="27" w:name="_h3hksta8g75s" w:colFirst="0" w:colLast="0"/>
      <w:bookmarkStart w:id="28" w:name="_Toc241072248"/>
      <w:bookmarkEnd w:id="27"/>
      <w:r w:rsidRPr="00805244">
        <w:rPr>
          <w:color w:val="auto"/>
        </w:rPr>
        <w:t>2.3.3 AI-Enabled Personalisation and Predictive Services</w:t>
      </w:r>
      <w:bookmarkEnd w:id="28"/>
    </w:p>
    <w:p w14:paraId="36D173F5" w14:textId="77777777" w:rsidR="004B1505" w:rsidRPr="00805244" w:rsidRDefault="001C7B57">
      <w:pPr>
        <w:rPr>
          <w:color w:val="auto"/>
        </w:rPr>
      </w:pPr>
      <w:r w:rsidRPr="00805244">
        <w:rPr>
          <w:color w:val="auto"/>
        </w:rPr>
        <w:t xml:space="preserve">Predictive analytics plays a significant role in diagnosing high-risk patients at an earlier stage when the conditions are not serious. Adeoye and Adams (2024) indicated that age-based models that incorporate medical history and disease-related factors could be used to identify individuals at risk of developing chronic conditions and assist in intervention earlier. Hassan </w:t>
      </w:r>
      <w:r w:rsidRPr="00805244">
        <w:rPr>
          <w:color w:val="auto"/>
        </w:rPr>
        <w:lastRenderedPageBreak/>
        <w:t>and Omenogor</w:t>
      </w:r>
      <w:r w:rsidRPr="00805244">
        <w:rPr>
          <w:color w:val="auto"/>
        </w:rPr>
        <w:t xml:space="preserve"> (2025) went further to demonstrate that longitudinal, genetic, lifestyle and biomarker data can be used to predict diabetes and cardiovascular disease and provide personalised prevention recommendations. Therefore, forecasting can enhance timely access, but </w:t>
      </w:r>
      <w:r w:rsidRPr="00805244">
        <w:rPr>
          <w:color w:val="auto"/>
        </w:rPr>
        <w:t>incomplete or inaccurate data</w:t>
      </w:r>
      <w:r w:rsidRPr="00805244">
        <w:rPr>
          <w:color w:val="auto"/>
        </w:rPr>
        <w:t xml:space="preserve"> can lead the interventions to the incorrect patients.</w:t>
      </w:r>
    </w:p>
    <w:p w14:paraId="1C5A4EDB" w14:textId="77777777" w:rsidR="004B1505" w:rsidRPr="00805244" w:rsidRDefault="001C7B57">
      <w:pPr>
        <w:rPr>
          <w:color w:val="auto"/>
        </w:rPr>
      </w:pPr>
      <w:r w:rsidRPr="00805244">
        <w:rPr>
          <w:color w:val="auto"/>
        </w:rPr>
        <w:t xml:space="preserve">Personalisation with the help of AI is a necessity to adjust the treatment to personal needs and probable reactions. Li </w:t>
      </w:r>
      <w:r w:rsidRPr="00805244">
        <w:rPr>
          <w:i/>
          <w:iCs/>
          <w:color w:val="auto"/>
        </w:rPr>
        <w:t xml:space="preserve">et al. </w:t>
      </w:r>
      <w:r w:rsidRPr="00805244">
        <w:rPr>
          <w:color w:val="auto"/>
        </w:rPr>
        <w:t xml:space="preserve">(2024) described that predictive models incorporate medical, genetic and lifestyle data to estimate disease progression, treatment response, readmission and surgical risks to enable providers to change care plans. Conversely, predictive research was found to be concentrated in data-rich intensive-care settings by Al-Nafjan </w:t>
      </w:r>
      <w:r w:rsidRPr="00805244">
        <w:rPr>
          <w:i/>
          <w:iCs/>
          <w:color w:val="auto"/>
        </w:rPr>
        <w:t>et al.</w:t>
      </w:r>
      <w:r w:rsidRPr="00805244">
        <w:rPr>
          <w:color w:val="auto"/>
        </w:rPr>
        <w:t xml:space="preserve"> (2025), which limits their ability to transfer the research to primary care. Thus, explainable, validated and suitable recommendations to various UK populations are only likely to reinforce personalised AI, which can build patient confidence and provider differentiation.</w:t>
      </w:r>
    </w:p>
    <w:p w14:paraId="4F8FDAA9" w14:textId="77777777" w:rsidR="004B1505" w:rsidRPr="00805244" w:rsidRDefault="001C7B57">
      <w:pPr>
        <w:jc w:val="center"/>
        <w:rPr>
          <w:color w:val="auto"/>
        </w:rPr>
      </w:pPr>
      <w:r w:rsidRPr="00805244">
        <w:rPr>
          <w:noProof/>
          <w:color w:val="auto"/>
        </w:rPr>
        <w:lastRenderedPageBreak/>
        <w:drawing>
          <wp:inline distT="114300" distB="114300" distL="114300" distR="114300" wp14:anchorId="73F5E6BC" wp14:editId="3BA1AFEF">
            <wp:extent cx="5731200" cy="60579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6057900"/>
                    </a:xfrm>
                    <a:prstGeom prst="rect">
                      <a:avLst/>
                    </a:prstGeom>
                    <a:ln w="12700">
                      <a:solidFill>
                        <a:srgbClr val="000000"/>
                      </a:solidFill>
                      <a:prstDash val="solid"/>
                    </a:ln>
                  </pic:spPr>
                </pic:pic>
              </a:graphicData>
            </a:graphic>
          </wp:inline>
        </w:drawing>
      </w:r>
    </w:p>
    <w:p w14:paraId="5CC45A96" w14:textId="77777777" w:rsidR="004B1505" w:rsidRPr="00805244" w:rsidRDefault="001C7B57" w:rsidP="003F4E9C">
      <w:pPr>
        <w:pStyle w:val="Heading4"/>
        <w:rPr>
          <w:color w:val="auto"/>
        </w:rPr>
      </w:pPr>
      <w:bookmarkStart w:id="29" w:name="_Toc241072218"/>
      <w:r w:rsidRPr="00805244">
        <w:rPr>
          <w:color w:val="auto"/>
        </w:rPr>
        <w:t>Figure 2: AI-Based Personalised Treatment Framework</w:t>
      </w:r>
      <w:bookmarkEnd w:id="29"/>
    </w:p>
    <w:p w14:paraId="73D41A7C" w14:textId="77777777" w:rsidR="004B1505" w:rsidRPr="00805244" w:rsidRDefault="001C7B57">
      <w:pPr>
        <w:jc w:val="center"/>
        <w:rPr>
          <w:color w:val="auto"/>
        </w:rPr>
      </w:pPr>
      <w:r w:rsidRPr="00805244">
        <w:rPr>
          <w:color w:val="auto"/>
        </w:rPr>
        <w:t>(Source: Hassan and Omenogor, 2025)</w:t>
      </w:r>
    </w:p>
    <w:p w14:paraId="2B08F9C4" w14:textId="77777777" w:rsidR="004B1505" w:rsidRPr="00805244" w:rsidRDefault="001C7B57">
      <w:pPr>
        <w:rPr>
          <w:color w:val="auto"/>
        </w:rPr>
      </w:pPr>
      <w:r w:rsidRPr="00805244">
        <w:rPr>
          <w:color w:val="auto"/>
        </w:rPr>
        <w:t xml:space="preserve">Figure 2 illustrates the process of AI-enabled personalised healthcare starting with a wide range of data sources such as EHRs, genetics, lab tests, medications, diet, environmental data and medical images and transforming it into data collection, algorithmic processing and relaying into precision medicine. Nevertheless, the quality of annotation, uncovered information, imbalance between classes, privacy threats and non-coherent storage may compromise </w:t>
      </w:r>
      <w:r w:rsidRPr="00805244">
        <w:rPr>
          <w:color w:val="auto"/>
        </w:rPr>
        <w:lastRenderedPageBreak/>
        <w:t>predictive reliability. Thus, to ensure credible personalisation, data governance must be secure, data quality and models must be clinically validated and of high quality.</w:t>
      </w:r>
      <w:r w:rsidR="00AA3AFB" w:rsidRPr="00805244">
        <w:rPr>
          <w:color w:val="auto"/>
        </w:rPr>
        <w:t xml:space="preserve"> Credible personalisation can boost patient trust and provider differentiation, whereas erratic or biased predictions can undermine trust and competitive reputation.</w:t>
      </w:r>
    </w:p>
    <w:p w14:paraId="12628B47" w14:textId="77777777" w:rsidR="004B1505" w:rsidRPr="00805244" w:rsidRDefault="001C7B57">
      <w:pPr>
        <w:pStyle w:val="Heading3"/>
        <w:rPr>
          <w:color w:val="auto"/>
        </w:rPr>
      </w:pPr>
      <w:bookmarkStart w:id="30" w:name="_qc5225knwvgf" w:colFirst="0" w:colLast="0"/>
      <w:bookmarkStart w:id="31" w:name="_Toc241072249"/>
      <w:bookmarkEnd w:id="30"/>
      <w:r w:rsidRPr="00805244">
        <w:rPr>
          <w:color w:val="auto"/>
        </w:rPr>
        <w:t>2.3.4 AI Tools, Patient Experience and Perceived Service Quality</w:t>
      </w:r>
      <w:bookmarkEnd w:id="31"/>
    </w:p>
    <w:p w14:paraId="6985E9AC" w14:textId="77777777" w:rsidR="004B1505" w:rsidRPr="00805244" w:rsidRDefault="001C7B57">
      <w:pPr>
        <w:rPr>
          <w:color w:val="auto"/>
        </w:rPr>
      </w:pPr>
      <w:r w:rsidRPr="00805244">
        <w:rPr>
          <w:color w:val="auto"/>
        </w:rPr>
        <w:t>Patient feedback facilitated by AI can enhance experience by making the communication more interactive, and including the views of patients in the improvement of the services. Dodson et al. (2024) have discovered that in 20 studies reviewed, three-quarters reported improved patient experience and half reported improved quality of care due to information sharing and prioritisation of interventions, yet none of the studies specifically used AI, making it difficult to determine its impact. Aytekin</w:t>
      </w:r>
      <w:r w:rsidRPr="00805244">
        <w:rPr>
          <w:color w:val="auto"/>
        </w:rPr>
        <w:t xml:space="preserve"> et al. (2025) built on this evidence and reviewed 21,392 publications and determined that digitalisation is a prevalent patient-experience theme linked to time savings, cost reduction and better outcomes. However, bibliometric prominence is not effective. </w:t>
      </w:r>
      <w:r w:rsidR="00C00E5D" w:rsidRPr="00805244">
        <w:rPr>
          <w:color w:val="auto"/>
        </w:rPr>
        <w:t xml:space="preserve">An AI notetaking NHS pilot at St George Hospital saved clinicians an average of 47 minutes per shift and enabled each member of staff to attend to one more patient per shift (NHS England, 2026). </w:t>
      </w:r>
      <w:r w:rsidRPr="00805244">
        <w:rPr>
          <w:color w:val="auto"/>
        </w:rPr>
        <w:t>Therefore, AI can be evaluated by quantifiable patient-reported experience and quality measures.</w:t>
      </w:r>
      <w:r w:rsidR="00C00E5D" w:rsidRPr="00805244">
        <w:rPr>
          <w:color w:val="auto"/>
        </w:rPr>
        <w:t xml:space="preserve"> </w:t>
      </w:r>
    </w:p>
    <w:p w14:paraId="5162653E" w14:textId="77777777" w:rsidR="004B1505" w:rsidRPr="00805244" w:rsidRDefault="001C7B57">
      <w:pPr>
        <w:rPr>
          <w:color w:val="auto"/>
        </w:rPr>
      </w:pPr>
      <w:r w:rsidRPr="00805244">
        <w:rPr>
          <w:color w:val="auto"/>
        </w:rPr>
        <w:t xml:space="preserve">The perceived service quality can be reinforced as well by using AI-based monitoring and self-management to decrease the burden and enhance patient control. Hamasaki (2024) found 95% of trial subjects in a UK hybrid closed-loop trial wished to keep using the system and 63% of the patients had less mental and emotional load, though usability, time needs and exercise-related hypoglycaemia were still concerns. Conversely, Pasat et al. (2024) reported no other significant relationship between telehealth or </w:t>
      </w:r>
      <w:r w:rsidR="00182F9F" w:rsidRPr="00805244">
        <w:rPr>
          <w:color w:val="auto"/>
        </w:rPr>
        <w:t>online record access</w:t>
      </w:r>
      <w:r w:rsidRPr="00805244">
        <w:rPr>
          <w:color w:val="auto"/>
        </w:rPr>
        <w:t xml:space="preserve"> and experience in 2,692 adults, and only frequent primary-care users who book online had 84% reduced odds of poor experience. Consequently, perceived quality cannot be ensured by mere technology </w:t>
      </w:r>
      <w:r w:rsidRPr="00805244">
        <w:rPr>
          <w:color w:val="auto"/>
        </w:rPr>
        <w:lastRenderedPageBreak/>
        <w:t>availability, usability, relevancy, continuity and human support are required.</w:t>
      </w:r>
      <w:r w:rsidR="00182F9F" w:rsidRPr="00805244">
        <w:rPr>
          <w:color w:val="auto"/>
        </w:rPr>
        <w:t xml:space="preserve"> Therefore, high-quality experiences with the help of AI might increase trust, foster loyalty and enhance competitiveness, whereas inadequate usability or human support may have a reverse effect.</w:t>
      </w:r>
    </w:p>
    <w:p w14:paraId="46D2DBBB" w14:textId="77777777" w:rsidR="004B1505" w:rsidRPr="00805244" w:rsidRDefault="001C7B57">
      <w:pPr>
        <w:pStyle w:val="Heading2"/>
        <w:rPr>
          <w:color w:val="auto"/>
        </w:rPr>
      </w:pPr>
      <w:bookmarkStart w:id="32" w:name="_cxx9w08w2hen" w:colFirst="0" w:colLast="0"/>
      <w:bookmarkStart w:id="33" w:name="_Toc241072250"/>
      <w:bookmarkEnd w:id="32"/>
      <w:r w:rsidRPr="00805244">
        <w:rPr>
          <w:color w:val="auto"/>
        </w:rPr>
        <w:t>2.4 Influence of AI Tools on Consumer Trust in Healthcare Services</w:t>
      </w:r>
      <w:bookmarkEnd w:id="33"/>
    </w:p>
    <w:p w14:paraId="22447777" w14:textId="77777777" w:rsidR="004B1505" w:rsidRPr="00805244" w:rsidRDefault="001C7B57">
      <w:pPr>
        <w:rPr>
          <w:color w:val="auto"/>
        </w:rPr>
      </w:pPr>
      <w:r w:rsidRPr="00805244">
        <w:rPr>
          <w:color w:val="auto"/>
        </w:rPr>
        <w:t xml:space="preserve">The performance of AI is important to create trust that services are practical and reliable. According to Zhan et al. (2024), usefulness had a significantly positive impact on trust in healthcare voice assistants </w:t>
      </w:r>
      <w:r w:rsidR="00C95B9A" w:rsidRPr="00805244">
        <w:rPr>
          <w:color w:val="auto"/>
        </w:rPr>
        <w:t>(0.277</w:t>
      </w:r>
      <w:r w:rsidRPr="00805244">
        <w:rPr>
          <w:color w:val="auto"/>
        </w:rPr>
        <w:t xml:space="preserve">), and content credibility and relative quality of services were also important. On the contrary, Al Kuwaiti et al. (2023) cautioned that an unsafe output, concealed mistakes, and biased data may have dire consequences. </w:t>
      </w:r>
      <w:r w:rsidR="0037270F" w:rsidRPr="00805244">
        <w:rPr>
          <w:color w:val="auto"/>
        </w:rPr>
        <w:t xml:space="preserve">The results might vary since Zhan et al. (2024) were able to measure consumer reactions to a particular AI application, whereas Al Kuwaiti et al. (2023) </w:t>
      </w:r>
      <w:r w:rsidR="00972729" w:rsidRPr="00805244">
        <w:rPr>
          <w:color w:val="auto"/>
        </w:rPr>
        <w:t>reviewed</w:t>
      </w:r>
      <w:r w:rsidR="0037270F" w:rsidRPr="00805244">
        <w:rPr>
          <w:color w:val="auto"/>
        </w:rPr>
        <w:t xml:space="preserve"> the range of clinical risks</w:t>
      </w:r>
      <w:r w:rsidR="00972729" w:rsidRPr="00805244">
        <w:rPr>
          <w:color w:val="auto"/>
        </w:rPr>
        <w:t xml:space="preserve">. </w:t>
      </w:r>
    </w:p>
    <w:p w14:paraId="37A7E49A" w14:textId="77777777" w:rsidR="004B1505" w:rsidRPr="00805244" w:rsidRDefault="001C7B57">
      <w:pPr>
        <w:rPr>
          <w:color w:val="auto"/>
        </w:rPr>
      </w:pPr>
      <w:r w:rsidRPr="00805244">
        <w:rPr>
          <w:color w:val="auto"/>
        </w:rPr>
        <w:t xml:space="preserve">Transparency enhances trust since it assists consumers in comprehending how AI suggestions are generated. Nizette et al. (2025) observed that detailed explanations raised awareness and confidence, and as a result, trust and acceptance; but too much user control diluted the advantages by overloading them with information. Similar results were identified by Afroogh et al. (2024), who discovered that visual and example-based explanations elicited more trust in patients compared to text-only explanations. </w:t>
      </w:r>
      <w:r w:rsidR="0006542D" w:rsidRPr="00805244">
        <w:rPr>
          <w:color w:val="auto"/>
        </w:rPr>
        <w:t xml:space="preserve">Whereas both studies promote explainability, Nizette et al. (2025) provide a deeper understanding of impact of various explanation designs, whereas Afroogh et al. (2024) </w:t>
      </w:r>
      <w:r w:rsidR="00FB12AC" w:rsidRPr="00805244">
        <w:rPr>
          <w:color w:val="auto"/>
        </w:rPr>
        <w:t>reveal</w:t>
      </w:r>
      <w:r w:rsidR="0006542D" w:rsidRPr="00805244">
        <w:rPr>
          <w:color w:val="auto"/>
        </w:rPr>
        <w:t xml:space="preserve"> general patterns of trust, but less specific evidence on the operation of explanations regarding specific UK healthcare choices.</w:t>
      </w:r>
    </w:p>
    <w:p w14:paraId="3EF9AFA7" w14:textId="77777777" w:rsidR="004B1505" w:rsidRPr="00805244" w:rsidRDefault="001C7B57">
      <w:pPr>
        <w:rPr>
          <w:color w:val="auto"/>
        </w:rPr>
      </w:pPr>
      <w:r w:rsidRPr="00805244">
        <w:rPr>
          <w:color w:val="auto"/>
        </w:rPr>
        <w:t xml:space="preserve">The security of information and responsible management are necessary since AI in healthcare deals with sensitive personal data. Wong et al. (2024) discovered that strong regulatory protection enhanced trust, but privacy empowerment did not do so when consumers felt powerless. Kumar et al. (2023) demonstrated that patients have faith in socially beneficial AI that guarantees data safety, recovers quickly in the event of failures and responds to evolving </w:t>
      </w:r>
      <w:r w:rsidRPr="00805244">
        <w:rPr>
          <w:color w:val="auto"/>
        </w:rPr>
        <w:lastRenderedPageBreak/>
        <w:t>requirements. Therefore, trust needs to be enforced in institutions and not based on consent or privacy settings.</w:t>
      </w:r>
      <w:r w:rsidR="00EE256F" w:rsidRPr="00805244">
        <w:rPr>
          <w:color w:val="auto"/>
        </w:rPr>
        <w:t xml:space="preserve"> While Wong et al. (2024) focus on institutional protection and consumer control, Kumar et al. (2023) focus on responsible healthcare AI in a broader sense. Both studies complement each other, but none alone answers how UK patients react to a particular failure of data.</w:t>
      </w:r>
    </w:p>
    <w:p w14:paraId="0BD46CFE" w14:textId="77777777" w:rsidR="004B1505" w:rsidRPr="00805244" w:rsidRDefault="001C7B57">
      <w:pPr>
        <w:rPr>
          <w:color w:val="auto"/>
        </w:rPr>
      </w:pPr>
      <w:r w:rsidRPr="00805244">
        <w:rPr>
          <w:color w:val="auto"/>
        </w:rPr>
        <w:t xml:space="preserve">Human-like communication can enhance the level of trust, yet it cannot substitute empathy and judgment. Chi and Hoang Vu (2023) discovered that empathy directly enhanced trust (β = 0.266), and communication quality led to a greater effect (β = 0.527); anthropomorphism itself was irrelevant. However, Sauerbrei et al. (2023) discovered that patients tended to choose AI as an aid to be guided by the doctor since the risks of replacement undermine empathy and shared decision-making. </w:t>
      </w:r>
      <w:r w:rsidR="003D6261" w:rsidRPr="00805244">
        <w:rPr>
          <w:color w:val="auto"/>
        </w:rPr>
        <w:t>Chi and Hoang Vu (2023) present helpful quantitative data related to communication attributes, but Sauerbrei et al. (2023) represent a better healthcare-related understanding of the doctor-patient relationship. Thus, professional involvement seems to be a more significant factor than mere attempts to make AI appear human.</w:t>
      </w:r>
    </w:p>
    <w:p w14:paraId="6F65FF26" w14:textId="77777777" w:rsidR="004B1505" w:rsidRPr="00805244" w:rsidRDefault="001C7B57">
      <w:pPr>
        <w:rPr>
          <w:color w:val="auto"/>
        </w:rPr>
      </w:pPr>
      <w:r w:rsidRPr="00805244">
        <w:rPr>
          <w:color w:val="auto"/>
        </w:rPr>
        <w:t xml:space="preserve">The current trust towards providers and organisations predetermines the healthcare AI expectations. Nong and Ji (2025) discovered that trust in healthcare systems was a predictor of positive AI expectations (OR = 3.55), and provider trust also positively predicted expectations (OR = 1.78). Similar results were observed by Frank et al. (2023), who reported a growth in company trust in AI-service adoption in 23 companies, but high autonomy undermined the correlation. </w:t>
      </w:r>
      <w:r w:rsidR="002C75DD" w:rsidRPr="00805244">
        <w:rPr>
          <w:color w:val="auto"/>
        </w:rPr>
        <w:t xml:space="preserve">The healthcare evidence of Nong and Ji (2025) is more directly applicable and multi-company nature of Frank et al. (2023) study makes the results more general and less directly applicable to NHS. </w:t>
      </w:r>
      <w:r w:rsidRPr="00805244">
        <w:rPr>
          <w:color w:val="auto"/>
        </w:rPr>
        <w:t xml:space="preserve">Thus, UK healthcare providers will be able to </w:t>
      </w:r>
      <w:r w:rsidRPr="00805244">
        <w:rPr>
          <w:color w:val="auto"/>
        </w:rPr>
        <w:t>transfer trust to AI</w:t>
      </w:r>
      <w:r w:rsidRPr="00805244">
        <w:rPr>
          <w:color w:val="auto"/>
        </w:rPr>
        <w:t>, but independent clinical judgments need more control and guarantees.</w:t>
      </w:r>
      <w:r w:rsidR="002C75DD" w:rsidRPr="00805244">
        <w:rPr>
          <w:color w:val="auto"/>
        </w:rPr>
        <w:t xml:space="preserve"> </w:t>
      </w:r>
    </w:p>
    <w:p w14:paraId="36FA3B75" w14:textId="77777777" w:rsidR="004B1505" w:rsidRPr="00805244" w:rsidRDefault="001C7B57">
      <w:pPr>
        <w:rPr>
          <w:color w:val="auto"/>
        </w:rPr>
      </w:pPr>
      <w:r w:rsidRPr="00805244">
        <w:rPr>
          <w:color w:val="auto"/>
        </w:rPr>
        <w:t xml:space="preserve">Loyalty and engagement might be affected by trust, but the adoption of AI does not necessarily enhance these factors. Chen et al. (2022) discovered that platform and host trust were positively </w:t>
      </w:r>
      <w:r w:rsidRPr="00805244">
        <w:rPr>
          <w:color w:val="auto"/>
        </w:rPr>
        <w:lastRenderedPageBreak/>
        <w:t>associated with engagement and loyalty, engagement mediated between trust and loyalty, and AI had negative moderating effects on important relationships. Suraña-Sánchez and Aramendia-Muneta</w:t>
      </w:r>
      <w:r w:rsidRPr="00805244">
        <w:rPr>
          <w:color w:val="auto"/>
        </w:rPr>
        <w:t xml:space="preserve"> (2024) discovered that healthcare chatbots can enhance access to information, reminders and patient interaction, but privacy, bias and transparency are issues. </w:t>
      </w:r>
      <w:r w:rsidR="00870DB9" w:rsidRPr="00805244">
        <w:rPr>
          <w:color w:val="auto"/>
        </w:rPr>
        <w:t xml:space="preserve">Yet, Chen et al. (2022) </w:t>
      </w:r>
      <w:r w:rsidR="005D5E52" w:rsidRPr="00805244">
        <w:rPr>
          <w:color w:val="auto"/>
        </w:rPr>
        <w:t>are</w:t>
      </w:r>
      <w:r w:rsidR="00870DB9" w:rsidRPr="00805244">
        <w:rPr>
          <w:color w:val="auto"/>
        </w:rPr>
        <w:t xml:space="preserve"> more specific to home-sharing industry, Suraña-Sánchez and Aramendia-Muneta (2024) show fewer direct data that AI-generated engagement leads to long-term loyalty of UK healthcare patients. </w:t>
      </w:r>
      <w:r w:rsidRPr="00805244">
        <w:rPr>
          <w:color w:val="auto"/>
        </w:rPr>
        <w:t>Therefore, loyalty is facilitated by AI based on reliable service experiences.</w:t>
      </w:r>
    </w:p>
    <w:p w14:paraId="38C7CBA6" w14:textId="77777777" w:rsidR="004B1505" w:rsidRPr="00805244" w:rsidRDefault="001C7B57">
      <w:pPr>
        <w:pStyle w:val="Heading2"/>
        <w:rPr>
          <w:color w:val="auto"/>
        </w:rPr>
      </w:pPr>
      <w:bookmarkStart w:id="34" w:name="_dxzfaqlc2t57" w:colFirst="0" w:colLast="0"/>
      <w:bookmarkStart w:id="35" w:name="_Toc241072251"/>
      <w:bookmarkEnd w:id="34"/>
      <w:r w:rsidRPr="00805244">
        <w:rPr>
          <w:color w:val="auto"/>
        </w:rPr>
        <w:t>2.5 Contribution of AI-Enabled Services to Brand Competitiveness in Healthcare Services</w:t>
      </w:r>
      <w:bookmarkEnd w:id="35"/>
    </w:p>
    <w:p w14:paraId="63DC7878" w14:textId="77777777" w:rsidR="004B1505" w:rsidRPr="00805244" w:rsidRDefault="001C7B57">
      <w:pPr>
        <w:rPr>
          <w:color w:val="auto"/>
        </w:rPr>
      </w:pPr>
      <w:r w:rsidRPr="00805244">
        <w:rPr>
          <w:color w:val="auto"/>
        </w:rPr>
        <w:t>The use of AI has the potential to enhance brand differentiation through the ability of healthcare providers to become innovative and responsive. In 2024, the global healthcare AI market will be USD 16.61 billion, which, according to Market Data Forecast (2024), is estimated at USD 630.92 billion in 2033. Ali Mohamad et al. (2023) discovered that robotic surgery enhanced competitive positioning with better clinical, financial and technological performance, but initial advantages of adopters relied on specia</w:t>
      </w:r>
      <w:r w:rsidRPr="00805244">
        <w:rPr>
          <w:color w:val="auto"/>
        </w:rPr>
        <w:t>list skills. Therefore, technology can only boost reputation when it is backed up by an ability that cannot be easily duplicated by competitors.</w:t>
      </w:r>
    </w:p>
    <w:p w14:paraId="1C067348" w14:textId="77777777" w:rsidR="004B1505" w:rsidRPr="00805244" w:rsidRDefault="001C7B57">
      <w:pPr>
        <w:jc w:val="center"/>
        <w:rPr>
          <w:color w:val="auto"/>
        </w:rPr>
      </w:pPr>
      <w:r w:rsidRPr="00805244">
        <w:rPr>
          <w:noProof/>
          <w:color w:val="auto"/>
        </w:rPr>
        <w:lastRenderedPageBreak/>
        <w:drawing>
          <wp:inline distT="114300" distB="114300" distL="114300" distR="114300" wp14:anchorId="44E7448F" wp14:editId="773DE887">
            <wp:extent cx="5731200" cy="32258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3E8142E9" w14:textId="77777777" w:rsidR="004B1505" w:rsidRPr="00805244" w:rsidRDefault="001C7B57" w:rsidP="003F4E9C">
      <w:pPr>
        <w:pStyle w:val="Heading4"/>
        <w:rPr>
          <w:color w:val="auto"/>
        </w:rPr>
      </w:pPr>
      <w:bookmarkStart w:id="36" w:name="_Toc241072219"/>
      <w:r w:rsidRPr="00805244">
        <w:rPr>
          <w:color w:val="auto"/>
        </w:rPr>
        <w:t>Figure 3: Global AI in Healthcare Market Size</w:t>
      </w:r>
      <w:bookmarkEnd w:id="36"/>
    </w:p>
    <w:p w14:paraId="7FF0AF7F" w14:textId="77777777" w:rsidR="004B1505" w:rsidRPr="00805244" w:rsidRDefault="001C7B57">
      <w:pPr>
        <w:jc w:val="center"/>
        <w:rPr>
          <w:color w:val="auto"/>
        </w:rPr>
      </w:pPr>
      <w:r w:rsidRPr="00805244">
        <w:rPr>
          <w:color w:val="auto"/>
        </w:rPr>
        <w:t>(Source: Market Data Forecast, 2024)</w:t>
      </w:r>
    </w:p>
    <w:p w14:paraId="4F898695" w14:textId="77777777" w:rsidR="004B1505" w:rsidRPr="00805244" w:rsidRDefault="001C7B57" w:rsidP="00405B39">
      <w:pPr>
        <w:rPr>
          <w:color w:val="auto"/>
        </w:rPr>
      </w:pPr>
      <w:r w:rsidRPr="00805244">
        <w:rPr>
          <w:color w:val="auto"/>
        </w:rPr>
        <w:t>The AI-enabled product-service innovation has the potential to generate unique patient value and novel service models. Naeem et al. (2025) discovered that AI facilitated service innovation, customer co-creation and business-model transformation through transforming traditional offerings into intelligent solutions. Kulkov</w:t>
      </w:r>
      <w:r w:rsidRPr="00805244">
        <w:rPr>
          <w:color w:val="auto"/>
        </w:rPr>
        <w:t xml:space="preserve"> et al. (2024) went a step further by demonstrating that AI and cloud, blockchain and IoMT provided value in the form of analytics, security and performance optimisation. </w:t>
      </w:r>
      <w:r w:rsidR="00F439CA" w:rsidRPr="00805244">
        <w:rPr>
          <w:color w:val="auto"/>
        </w:rPr>
        <w:t xml:space="preserve">The results vary primarily, with Naeem et al. (2025) concentrating on the level of organisational and customer-value transformation, whereas Kulkov et al. (2024) concentrate on the technological integration. </w:t>
      </w:r>
      <w:r w:rsidRPr="00805244">
        <w:rPr>
          <w:color w:val="auto"/>
        </w:rPr>
        <w:t>Integration can therefore produce a greater degree of differentiation than solitary adoption of AI, but the implementation can be undermined by the complexity of technology.</w:t>
      </w:r>
    </w:p>
    <w:p w14:paraId="69FCEE40" w14:textId="77777777" w:rsidR="004B1505" w:rsidRPr="00805244" w:rsidRDefault="001C7B57" w:rsidP="00405B39">
      <w:pPr>
        <w:rPr>
          <w:color w:val="auto"/>
        </w:rPr>
      </w:pPr>
      <w:r w:rsidRPr="00805244">
        <w:rPr>
          <w:color w:val="auto"/>
        </w:rPr>
        <w:t xml:space="preserve">Brand reputation can be improved through operational efficiency and patient safety, as they will show reliable service quality. AlDhaen (2025) discovered that AI impacted patient safety partially through operational efficiency </w:t>
      </w:r>
      <w:r w:rsidR="00C95B9A" w:rsidRPr="00805244">
        <w:rPr>
          <w:color w:val="auto"/>
        </w:rPr>
        <w:t>(0.34</w:t>
      </w:r>
      <w:r w:rsidRPr="00805244">
        <w:rPr>
          <w:color w:val="auto"/>
        </w:rPr>
        <w:t xml:space="preserve">, p =.001), and that staff digital competence </w:t>
      </w:r>
      <w:r w:rsidRPr="00805244">
        <w:rPr>
          <w:color w:val="auto"/>
        </w:rPr>
        <w:lastRenderedPageBreak/>
        <w:t>reinforced implementation. Lee and Yoon (2021) noted that AI decreased bed-assignment time by 30%, time in an operating-room transfer by 70% and ambulance dispatch time by 63 minutes. As such, quantifiable efficiency has the ability to foster competitiveness, though not until it enhances patient-facing outcomes.</w:t>
      </w:r>
      <w:r w:rsidR="00CD374A" w:rsidRPr="00805244">
        <w:rPr>
          <w:color w:val="auto"/>
        </w:rPr>
        <w:t xml:space="preserve"> AlDhaen (2025) has better statistical evidence with operational efficiency testing as a mediating mechanism, but Lee and Yoon (2021) give clear improvements in practical performance. However, their result does not directly prove that patients felt the benefits or that they enhanced brand trust and loyalty in UK healthcare.</w:t>
      </w:r>
    </w:p>
    <w:p w14:paraId="274CEB36" w14:textId="77777777" w:rsidR="004B1505" w:rsidRPr="00805244" w:rsidRDefault="001C7B57" w:rsidP="00405B39">
      <w:pPr>
        <w:rPr>
          <w:color w:val="auto"/>
        </w:rPr>
      </w:pPr>
      <w:r w:rsidRPr="00805244">
        <w:rPr>
          <w:color w:val="auto"/>
        </w:rPr>
        <w:t>Organisational readiness and sustained patient use are also a requirement of competitive advantage. Nevi et al. (2025) discovered that compatibility (best = 0.251) and competitive pressure (best = 0.212) had the greatest predictive power of AI-adoption in pharmacies, but organisational factors were not significant. Conversely, Salih et al. (2025) discovered that perceived accuracy (0.206), innovativeness (0.138) and engagement (0.359) enhanced service continuance. AI enhances healthcare brands when such ser</w:t>
      </w:r>
      <w:r w:rsidRPr="00805244">
        <w:rPr>
          <w:color w:val="auto"/>
        </w:rPr>
        <w:t xml:space="preserve">vice benefits as innovation, safety, efficiency and patient engagement can be observed. Its adoption is not enough, but sustainable competitiveness involves specialist capability, integrated technologies, reliable performance and patient-centred outcomes that </w:t>
      </w:r>
      <w:r w:rsidRPr="00805244">
        <w:rPr>
          <w:color w:val="auto"/>
        </w:rPr>
        <w:t>cannot be easily replicated</w:t>
      </w:r>
      <w:r w:rsidRPr="00805244">
        <w:rPr>
          <w:color w:val="auto"/>
        </w:rPr>
        <w:t xml:space="preserve"> by the rival provider within the context of public and private healthcare services.</w:t>
      </w:r>
      <w:r w:rsidR="00815DBC" w:rsidRPr="00805244">
        <w:rPr>
          <w:color w:val="auto"/>
        </w:rPr>
        <w:t xml:space="preserve"> The differing outcomes are possible since Nevi et al. (2025) study organisational adoption in the case of </w:t>
      </w:r>
      <w:r w:rsidRPr="00805244">
        <w:rPr>
          <w:color w:val="auto"/>
        </w:rPr>
        <w:t>pharmacies and Salih</w:t>
      </w:r>
      <w:r w:rsidRPr="00805244">
        <w:rPr>
          <w:color w:val="auto"/>
        </w:rPr>
        <w:t xml:space="preserve"> et al. (2025) use sustained use of the service as a condition of sustainable competitiveness. It means that sustainable competitiveness demands internal preparedness and external patient acceptance, and the benefits of sustainable competitiveness are not easily reproducible by competitors.</w:t>
      </w:r>
    </w:p>
    <w:p w14:paraId="4CE847EA" w14:textId="77777777" w:rsidR="004B1505" w:rsidRPr="00805244" w:rsidRDefault="001C7B57">
      <w:pPr>
        <w:pStyle w:val="Heading2"/>
        <w:rPr>
          <w:color w:val="auto"/>
        </w:rPr>
      </w:pPr>
      <w:bookmarkStart w:id="37" w:name="_318wf7v2ariv" w:colFirst="0" w:colLast="0"/>
      <w:bookmarkStart w:id="38" w:name="_Toc241072252"/>
      <w:bookmarkEnd w:id="37"/>
      <w:r w:rsidRPr="00805244">
        <w:rPr>
          <w:color w:val="auto"/>
        </w:rPr>
        <w:t>2.6 Relationship Between AI Tools, Consumer Trust and Brand Competitiveness</w:t>
      </w:r>
      <w:bookmarkEnd w:id="38"/>
      <w:r w:rsidRPr="00805244">
        <w:rPr>
          <w:color w:val="auto"/>
        </w:rPr>
        <w:t xml:space="preserve"> </w:t>
      </w:r>
    </w:p>
    <w:p w14:paraId="061BB8EC" w14:textId="77777777" w:rsidR="004B1505" w:rsidRPr="00805244" w:rsidRDefault="001C7B57" w:rsidP="00405B39">
      <w:pPr>
        <w:rPr>
          <w:color w:val="auto"/>
        </w:rPr>
      </w:pPr>
      <w:r w:rsidRPr="00805244">
        <w:rPr>
          <w:color w:val="auto"/>
        </w:rPr>
        <w:t>Transparency relates AI usage to consumer trust and brand strength. In their study, Badmus and Adetunji</w:t>
      </w:r>
      <w:r w:rsidRPr="00805244">
        <w:rPr>
          <w:color w:val="auto"/>
        </w:rPr>
        <w:t xml:space="preserve"> (2023) observed that algorithmic transparency had an impact on customer trust (β = 0.68) and brand equity (β = 0.59) under the mediation of the impact of AI implementation </w:t>
      </w:r>
      <w:r w:rsidRPr="00805244">
        <w:rPr>
          <w:color w:val="auto"/>
        </w:rPr>
        <w:lastRenderedPageBreak/>
        <w:t>on these two variables. Yang and Kim (2026) discovered that digital quality enhanced satisfaction, which significantly forecasted the loyalty (0.580), but the direct digital quality impact on loyalty was not significant. Therefore, AI generates competitiveness where trust and satisfaction are ensured through comprehensible, trustworthy service experiences.</w:t>
      </w:r>
    </w:p>
    <w:p w14:paraId="7091F233" w14:textId="77777777" w:rsidR="004B1505" w:rsidRPr="00805244" w:rsidRDefault="001C7B57" w:rsidP="00405B39">
      <w:pPr>
        <w:rPr>
          <w:color w:val="auto"/>
        </w:rPr>
      </w:pPr>
      <w:r w:rsidRPr="00805244">
        <w:rPr>
          <w:color w:val="auto"/>
        </w:rPr>
        <w:t>The AI capabilities are turned into competitive performance through patient engagement and organisational relationships. According to Sitaraman (2023), an AI-based healthcare model reached 88% engagement, 85% resource efficiency and 93% accuracy, which correlated cognitive empathy with the experience of value formation. Conversely, Kim and Lee (2021) discovered that the direct performance impact of digitalisation was minimal, with relational, cognitive and structural capital playing the mediating role in su</w:t>
      </w:r>
      <w:r w:rsidRPr="00805244">
        <w:rPr>
          <w:color w:val="auto"/>
        </w:rPr>
        <w:t>pply-chain performance. Thus, AI will not be able to gain a competitive edge unless it is met with empathy and trusted relationships and information exchange among interconnected healthcare services networks and organisations.</w:t>
      </w:r>
    </w:p>
    <w:p w14:paraId="2A057EC6" w14:textId="77777777" w:rsidR="009C0565" w:rsidRPr="00805244" w:rsidRDefault="009C0565" w:rsidP="00405B39">
      <w:pPr>
        <w:rPr>
          <w:color w:val="auto"/>
        </w:rPr>
      </w:pPr>
      <w:r w:rsidRPr="00805244">
        <w:rPr>
          <w:color w:val="auto"/>
        </w:rPr>
        <w:t>These results suggest that AI tools impact brand competitiveness indirectly, as opposed to automatically. By enhancing accessibility, responsiveness, personalisation and quality of service, patients will feel the provider is reliable, innovative and patient-centred. Such positive perceptions enhance consumer trust that, in turn, may boost satisfaction, involvement, loyalty and a positive brand name. However, lack of transparency, privacy concerns, incorrect prescriptions or human support can undermine trust and hurt the competitiveness of the provider. As such, consumer trust is a bridging factor with the ability to transform AI-driven service enhancements into healthier brand relationships and long-term competitiveness in the UK healthcare services industry.</w:t>
      </w:r>
      <w:r w:rsidR="00182F9F" w:rsidRPr="00805244">
        <w:rPr>
          <w:color w:val="auto"/>
        </w:rPr>
        <w:t xml:space="preserve"> The relationship may thus work either positively where AI gains trust and negatively where privacy, transparency, safety or human-interaction issues decrease trust and harm the reputation of the provider.</w:t>
      </w:r>
    </w:p>
    <w:p w14:paraId="2FDD294E" w14:textId="77777777" w:rsidR="004B1505" w:rsidRPr="00805244" w:rsidRDefault="001C7B57">
      <w:pPr>
        <w:pStyle w:val="Heading2"/>
        <w:rPr>
          <w:color w:val="auto"/>
        </w:rPr>
      </w:pPr>
      <w:bookmarkStart w:id="39" w:name="_43torksjgakp" w:colFirst="0" w:colLast="0"/>
      <w:bookmarkStart w:id="40" w:name="_Toc241072253"/>
      <w:bookmarkEnd w:id="39"/>
      <w:r w:rsidRPr="00805244">
        <w:rPr>
          <w:color w:val="auto"/>
        </w:rPr>
        <w:lastRenderedPageBreak/>
        <w:t>2.7 Theoretical Framework</w:t>
      </w:r>
      <w:bookmarkEnd w:id="40"/>
      <w:r w:rsidRPr="00805244">
        <w:rPr>
          <w:color w:val="auto"/>
        </w:rPr>
        <w:t xml:space="preserve"> </w:t>
      </w:r>
    </w:p>
    <w:p w14:paraId="528651BA" w14:textId="77777777" w:rsidR="004B1505" w:rsidRPr="00805244" w:rsidRDefault="001C7B57">
      <w:pPr>
        <w:rPr>
          <w:b/>
          <w:bCs/>
          <w:i/>
          <w:iCs/>
          <w:color w:val="auto"/>
        </w:rPr>
      </w:pPr>
      <w:r w:rsidRPr="00805244">
        <w:rPr>
          <w:b/>
          <w:bCs/>
          <w:i/>
          <w:iCs/>
          <w:color w:val="auto"/>
        </w:rPr>
        <w:t xml:space="preserve">Technology Acceptance Model </w:t>
      </w:r>
    </w:p>
    <w:p w14:paraId="05FA35D9" w14:textId="77777777" w:rsidR="004B1505" w:rsidRPr="00805244" w:rsidRDefault="001C7B57">
      <w:pPr>
        <w:rPr>
          <w:color w:val="auto"/>
        </w:rPr>
      </w:pPr>
      <w:r w:rsidRPr="00805244">
        <w:rPr>
          <w:color w:val="auto"/>
        </w:rPr>
        <w:t xml:space="preserve">Technology Acceptance Model (TAM) explicates the adoption of AI-healthcare by perceived usefulness and perceived ease of use, attitudes, behavioural intention and actual use. To promote acceptance of AI-enabled healthcare services, perceived usefulness and ease of use are needed. Hussain </w:t>
      </w:r>
      <w:r w:rsidRPr="00805244">
        <w:rPr>
          <w:i/>
          <w:iCs/>
          <w:color w:val="auto"/>
        </w:rPr>
        <w:t xml:space="preserve">et al. </w:t>
      </w:r>
      <w:r w:rsidRPr="00805244">
        <w:rPr>
          <w:color w:val="auto"/>
        </w:rPr>
        <w:t>(2025) discovered that usefulness (0.31) and ease of use (0.35) showed a significant positive change in technology-use intention among nurses. Similarly, Liu</w:t>
      </w:r>
      <w:r w:rsidRPr="00805244">
        <w:rPr>
          <w:i/>
          <w:iCs/>
          <w:color w:val="auto"/>
        </w:rPr>
        <w:t xml:space="preserve"> et al.</w:t>
      </w:r>
      <w:r w:rsidRPr="00805244">
        <w:rPr>
          <w:color w:val="auto"/>
        </w:rPr>
        <w:t xml:space="preserve"> (2022) discovered that usefulness, ease, and perceived risk played a critical role in influencing the adoption of an IoT health-management system. Therefore, AI tools are more likely to be accepted when they do not require excessive effort and offer consumers benefits.</w:t>
      </w:r>
    </w:p>
    <w:p w14:paraId="6AF0812C" w14:textId="77777777" w:rsidR="004B1505" w:rsidRPr="00805244" w:rsidRDefault="001C7B57">
      <w:pPr>
        <w:jc w:val="center"/>
        <w:rPr>
          <w:color w:val="auto"/>
        </w:rPr>
      </w:pPr>
      <w:r w:rsidRPr="00805244">
        <w:rPr>
          <w:noProof/>
          <w:color w:val="auto"/>
        </w:rPr>
        <w:drawing>
          <wp:inline distT="114300" distB="114300" distL="114300" distR="114300" wp14:anchorId="1D0E874B" wp14:editId="516912A6">
            <wp:extent cx="5731200" cy="1803400"/>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1803400"/>
                    </a:xfrm>
                    <a:prstGeom prst="rect">
                      <a:avLst/>
                    </a:prstGeom>
                    <a:ln w="12700">
                      <a:solidFill>
                        <a:srgbClr val="000000"/>
                      </a:solidFill>
                      <a:prstDash val="solid"/>
                    </a:ln>
                  </pic:spPr>
                </pic:pic>
              </a:graphicData>
            </a:graphic>
          </wp:inline>
        </w:drawing>
      </w:r>
    </w:p>
    <w:p w14:paraId="27986FCB" w14:textId="77777777" w:rsidR="004B1505" w:rsidRPr="00805244" w:rsidRDefault="001C7B57" w:rsidP="003F4E9C">
      <w:pPr>
        <w:pStyle w:val="Heading4"/>
        <w:rPr>
          <w:color w:val="auto"/>
        </w:rPr>
      </w:pPr>
      <w:bookmarkStart w:id="41" w:name="_Toc241072220"/>
      <w:r w:rsidRPr="00805244">
        <w:rPr>
          <w:color w:val="auto"/>
        </w:rPr>
        <w:t>Figure 4: Technology Acceptance Model</w:t>
      </w:r>
      <w:bookmarkEnd w:id="41"/>
    </w:p>
    <w:p w14:paraId="1E058D80" w14:textId="77777777" w:rsidR="004B1505" w:rsidRPr="00805244" w:rsidRDefault="001C7B57">
      <w:pPr>
        <w:jc w:val="center"/>
        <w:rPr>
          <w:color w:val="auto"/>
        </w:rPr>
      </w:pPr>
      <w:r w:rsidRPr="00805244">
        <w:rPr>
          <w:color w:val="auto"/>
        </w:rPr>
        <w:t>(Source: Park and Park, 2020)</w:t>
      </w:r>
    </w:p>
    <w:p w14:paraId="5612174E" w14:textId="77777777" w:rsidR="004B1505" w:rsidRPr="00805244" w:rsidRDefault="001C7B57">
      <w:pPr>
        <w:rPr>
          <w:color w:val="auto"/>
        </w:rPr>
      </w:pPr>
      <w:r w:rsidRPr="00805244">
        <w:rPr>
          <w:i/>
          <w:iCs/>
          <w:color w:val="auto"/>
        </w:rPr>
        <w:t>Nonetheless, acceptance is relative to contextual factors that are extrinsic to TAM constructs. The usefulness (0.161) and ease of use (0.230) and security (0.117) enhanced PHR usage intentions with moderating effects of privacy and usability, respectively (Alsyouf</w:t>
      </w:r>
      <w:r w:rsidRPr="00805244">
        <w:rPr>
          <w:i/>
          <w:iCs/>
          <w:color w:val="auto"/>
        </w:rPr>
        <w:t xml:space="preserve"> et al., 2023). The determinants mentioned by Anisha et al. (2025) include social support, digital literacy, affordability and privacy among older adults. Even though Park and Park (2020) ensured usefulness and ease on the attitudes and behavioural intentions in construction IT, it is constrained by its non-healthcare environment to ensure transferability. Thus, </w:t>
      </w:r>
      <w:r w:rsidRPr="00805244">
        <w:rPr>
          <w:i/>
          <w:iCs/>
          <w:color w:val="auto"/>
        </w:rPr>
        <w:t>TAM</w:t>
      </w:r>
      <w:r w:rsidRPr="00805244">
        <w:rPr>
          <w:i/>
          <w:iCs/>
          <w:color w:val="auto"/>
        </w:rPr>
        <w:t xml:space="preserve"> is more </w:t>
      </w:r>
      <w:r w:rsidRPr="00805244">
        <w:rPr>
          <w:i/>
          <w:iCs/>
          <w:color w:val="auto"/>
        </w:rPr>
        <w:lastRenderedPageBreak/>
        <w:t>appropriate when it comes to the study of the acceptance of AI-enabled healthcare services by consumers.</w:t>
      </w:r>
    </w:p>
    <w:p w14:paraId="0F14E0D5" w14:textId="77777777" w:rsidR="004B1505" w:rsidRPr="00805244" w:rsidRDefault="001C7B57">
      <w:pPr>
        <w:rPr>
          <w:b/>
          <w:bCs/>
          <w:i/>
          <w:iCs/>
          <w:color w:val="auto"/>
        </w:rPr>
      </w:pPr>
      <w:r w:rsidRPr="00805244">
        <w:rPr>
          <w:b/>
          <w:bCs/>
          <w:i/>
          <w:iCs/>
          <w:color w:val="auto"/>
        </w:rPr>
        <w:t xml:space="preserve">Trust Theory </w:t>
      </w:r>
    </w:p>
    <w:p w14:paraId="2F020886" w14:textId="77777777" w:rsidR="004B1505" w:rsidRPr="00805244" w:rsidRDefault="001C7B57">
      <w:pPr>
        <w:rPr>
          <w:color w:val="auto"/>
        </w:rPr>
      </w:pPr>
      <w:r w:rsidRPr="00805244">
        <w:rPr>
          <w:color w:val="auto"/>
        </w:rPr>
        <w:t>Trust Theory describes consumers’ acceptance of vulnerability when they face uncertainty and risky interactions with AI systems, professionals and healthcare institutions, based on expectations of competence, integrity, benevolence, reliability and appropriate conduct.</w:t>
      </w:r>
      <w:r w:rsidRPr="00805244">
        <w:rPr>
          <w:color w:val="auto"/>
        </w:rPr>
        <w:t xml:space="preserve"> To create trust in AI-generated healthcare information, reliability of information is crucial. Guo et al. (2025) discovered that information quality was the most robust predictor of trust in ChatGPT and trust raised health-information adoption intention. Conversely, Masalonis </w:t>
      </w:r>
      <w:r w:rsidRPr="00805244">
        <w:rPr>
          <w:i/>
          <w:iCs/>
          <w:color w:val="auto"/>
        </w:rPr>
        <w:t>et al.</w:t>
      </w:r>
      <w:r w:rsidRPr="00805244">
        <w:rPr>
          <w:color w:val="auto"/>
        </w:rPr>
        <w:t xml:space="preserve"> (2025) highlighted that reliability is not enough since transparency, protection of privacy and cybersecurity, and human supervision and tailor-made trust calibration also determine confidence. Therefore, the reliable healthcare AI must be provided with both precise outputs and a number of measures to avoid overtrust and negative dependence.</w:t>
      </w:r>
    </w:p>
    <w:p w14:paraId="7C0DB88B" w14:textId="77777777" w:rsidR="004B1505" w:rsidRPr="00805244" w:rsidRDefault="001C7B57">
      <w:pPr>
        <w:rPr>
          <w:color w:val="auto"/>
        </w:rPr>
      </w:pPr>
      <w:r w:rsidRPr="00805244">
        <w:rPr>
          <w:color w:val="auto"/>
        </w:rPr>
        <w:t>Trust can be shaped by both digital systems and professional cues from health professionals, which can also affect patient behaviour.</w:t>
      </w:r>
      <w:r w:rsidRPr="00805244">
        <w:rPr>
          <w:color w:val="auto"/>
        </w:rPr>
        <w:t xml:space="preserve"> The study by Zhang </w:t>
      </w:r>
      <w:r w:rsidRPr="00805244">
        <w:rPr>
          <w:i/>
          <w:iCs/>
          <w:color w:val="auto"/>
        </w:rPr>
        <w:t xml:space="preserve">et al. </w:t>
      </w:r>
      <w:r w:rsidRPr="00805244">
        <w:rPr>
          <w:color w:val="auto"/>
        </w:rPr>
        <w:t xml:space="preserve">(2025) reported that </w:t>
      </w:r>
      <w:r w:rsidRPr="00805244">
        <w:rPr>
          <w:color w:val="auto"/>
        </w:rPr>
        <w:t>perceived system reliability increased institutional trust, whereas trust reduced practical barriers to treatment.</w:t>
      </w:r>
      <w:r w:rsidRPr="00805244">
        <w:rPr>
          <w:color w:val="auto"/>
        </w:rPr>
        <w:t xml:space="preserve"> Likewise, Wang</w:t>
      </w:r>
      <w:r w:rsidRPr="00805244">
        <w:rPr>
          <w:i/>
          <w:iCs/>
          <w:color w:val="auto"/>
        </w:rPr>
        <w:t xml:space="preserve"> et al. </w:t>
      </w:r>
      <w:r w:rsidRPr="00805244">
        <w:rPr>
          <w:color w:val="auto"/>
        </w:rPr>
        <w:t xml:space="preserve">(2025) discovered that professional experience led to more consultation purchases (0.136) which was partially mediated by </w:t>
      </w:r>
      <w:r w:rsidRPr="00805244">
        <w:rPr>
          <w:color w:val="auto"/>
        </w:rPr>
        <w:t>follower communities and signalling credibility</w:t>
      </w:r>
      <w:r w:rsidRPr="00805244">
        <w:rPr>
          <w:color w:val="auto"/>
        </w:rPr>
        <w:t>. Thus, AI-mediated healthcare competitiveness requires reliability to be strengthened with professional authority, social recognition and reassuring communication.</w:t>
      </w:r>
    </w:p>
    <w:p w14:paraId="356DB1B8" w14:textId="77777777" w:rsidR="004B1505" w:rsidRPr="00805244" w:rsidRDefault="001C7B57">
      <w:pPr>
        <w:rPr>
          <w:b/>
          <w:bCs/>
          <w:i/>
          <w:iCs/>
          <w:color w:val="auto"/>
        </w:rPr>
      </w:pPr>
      <w:r w:rsidRPr="00805244">
        <w:rPr>
          <w:b/>
          <w:bCs/>
          <w:i/>
          <w:iCs/>
          <w:color w:val="auto"/>
        </w:rPr>
        <w:t xml:space="preserve">Customer-Based Brand Equity Theory </w:t>
      </w:r>
    </w:p>
    <w:p w14:paraId="4C47B82F" w14:textId="77777777" w:rsidR="004B1505" w:rsidRPr="00805244" w:rsidRDefault="001C7B57" w:rsidP="00405B39">
      <w:pPr>
        <w:rPr>
          <w:color w:val="auto"/>
        </w:rPr>
      </w:pPr>
      <w:r w:rsidRPr="00805244">
        <w:rPr>
          <w:color w:val="auto"/>
        </w:rPr>
        <w:t xml:space="preserve">According to Customer-Based Brand Equity (CBBE) Theory, brand competitiveness can be explained by the level of awareness, association, perceived quality, image, resonance and loyalty that consumers have to a healthcare provider. The AI-based service quality has the potential to reinforce the image of healthcare brands by forming positive and unique </w:t>
      </w:r>
      <w:r w:rsidRPr="00805244">
        <w:rPr>
          <w:color w:val="auto"/>
        </w:rPr>
        <w:lastRenderedPageBreak/>
        <w:t>associations with consumers. Latif (2022) found brand awareness (β = 0.216), association (β = 0.107), superiority (β = 0.126), resonance (β = 0.100) and corporate social responsibility (β = 0.506) significantly improved brand image. Similarly, Sathvavwala</w:t>
      </w:r>
      <w:r w:rsidRPr="00805244">
        <w:rPr>
          <w:color w:val="auto"/>
        </w:rPr>
        <w:t xml:space="preserve"> et al. (2026) have found the perceived quality, differentiation, digital trust and accessible prestige as the emerging healthcare-branding priorities. Therefore, AI can improve equity by making credible, inclusive and personal services recognisable brand meanings.</w:t>
      </w:r>
    </w:p>
    <w:p w14:paraId="7671C2D4" w14:textId="77777777" w:rsidR="004B1505" w:rsidRPr="00805244" w:rsidRDefault="001C7B57">
      <w:pPr>
        <w:jc w:val="center"/>
        <w:rPr>
          <w:color w:val="auto"/>
        </w:rPr>
      </w:pPr>
      <w:r w:rsidRPr="00805244">
        <w:rPr>
          <w:noProof/>
          <w:color w:val="auto"/>
        </w:rPr>
        <w:drawing>
          <wp:inline distT="114300" distB="114300" distL="114300" distR="114300" wp14:anchorId="46FD524E" wp14:editId="7F4B58AB">
            <wp:extent cx="5731200" cy="2794000"/>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2794000"/>
                    </a:xfrm>
                    <a:prstGeom prst="rect">
                      <a:avLst/>
                    </a:prstGeom>
                    <a:ln w="12700">
                      <a:solidFill>
                        <a:srgbClr val="000000"/>
                      </a:solidFill>
                      <a:prstDash val="solid"/>
                    </a:ln>
                  </pic:spPr>
                </pic:pic>
              </a:graphicData>
            </a:graphic>
          </wp:inline>
        </w:drawing>
      </w:r>
    </w:p>
    <w:p w14:paraId="054C4478" w14:textId="77777777" w:rsidR="004B1505" w:rsidRPr="00805244" w:rsidRDefault="001C7B57" w:rsidP="003F4E9C">
      <w:pPr>
        <w:pStyle w:val="Heading4"/>
        <w:rPr>
          <w:color w:val="auto"/>
        </w:rPr>
      </w:pPr>
      <w:bookmarkStart w:id="42" w:name="_Toc241072221"/>
      <w:r w:rsidRPr="00805244">
        <w:rPr>
          <w:color w:val="auto"/>
        </w:rPr>
        <w:t>Figure 5: Customer-Based Brand Equity Theory</w:t>
      </w:r>
      <w:bookmarkEnd w:id="42"/>
    </w:p>
    <w:p w14:paraId="59EB5009" w14:textId="77777777" w:rsidR="004B1505" w:rsidRPr="00805244" w:rsidRDefault="001C7B57">
      <w:pPr>
        <w:jc w:val="center"/>
        <w:rPr>
          <w:color w:val="auto"/>
        </w:rPr>
      </w:pPr>
      <w:r w:rsidRPr="00805244">
        <w:rPr>
          <w:i/>
          <w:iCs/>
          <w:color w:val="auto"/>
        </w:rPr>
        <w:t>(Source: Tsai et al., 2014)</w:t>
      </w:r>
    </w:p>
    <w:p w14:paraId="336A5C10" w14:textId="77777777" w:rsidR="004B1505" w:rsidRPr="00805244" w:rsidRDefault="001C7B57">
      <w:pPr>
        <w:rPr>
          <w:color w:val="auto"/>
        </w:rPr>
      </w:pPr>
      <w:r w:rsidRPr="00805244">
        <w:rPr>
          <w:color w:val="auto"/>
        </w:rPr>
        <w:t xml:space="preserve">Loyalty and advocacy can be achieved through AI-assisted engagement and service recovery wherein positive experiences are transformed into loyalty and advocacy. Arya </w:t>
      </w:r>
      <w:r w:rsidRPr="00805244">
        <w:rPr>
          <w:i/>
          <w:iCs/>
          <w:color w:val="auto"/>
        </w:rPr>
        <w:t xml:space="preserve">et al. </w:t>
      </w:r>
      <w:r w:rsidRPr="00805244">
        <w:rPr>
          <w:color w:val="auto"/>
        </w:rPr>
        <w:t xml:space="preserve">(2024) discovered that digital gamification enhanced the consumer-based brand equity in </w:t>
      </w:r>
      <w:r w:rsidR="00C95B9A" w:rsidRPr="00805244">
        <w:rPr>
          <w:color w:val="auto"/>
        </w:rPr>
        <w:t>India (</w:t>
      </w:r>
      <w:r w:rsidRPr="00805244">
        <w:rPr>
          <w:color w:val="auto"/>
        </w:rPr>
        <w:t xml:space="preserve">0.24) and Morocco (0.32), and brand equity was a significant predictor of purchase intentions. Shamoon (2024) in the healthcare industry discovered that AI-enabled CRM mediated the association between service recovery and customer citizenship behaviour (β = 0.028) and had a direct positive impact on such behaviour (β = 0.037). Consequently, CBBE outlines how trusted AI experiences can enhance reputation, retention and competitiveness, but there is </w:t>
      </w:r>
      <w:r w:rsidRPr="00805244">
        <w:rPr>
          <w:color w:val="auto"/>
        </w:rPr>
        <w:lastRenderedPageBreak/>
        <w:t>limited evidence in non-UK markets that can directly generalise to the more digital and choice-sensitive healthcare service markets today globally.</w:t>
      </w:r>
    </w:p>
    <w:p w14:paraId="125A8FC8" w14:textId="77777777" w:rsidR="004B1505" w:rsidRPr="00805244" w:rsidRDefault="001C7B57">
      <w:pPr>
        <w:pStyle w:val="Heading2"/>
        <w:rPr>
          <w:color w:val="auto"/>
        </w:rPr>
      </w:pPr>
      <w:bookmarkStart w:id="43" w:name="_7peg50p48y4k" w:colFirst="0" w:colLast="0"/>
      <w:bookmarkStart w:id="44" w:name="_Toc241072254"/>
      <w:bookmarkEnd w:id="43"/>
      <w:r w:rsidRPr="00805244">
        <w:rPr>
          <w:color w:val="auto"/>
        </w:rPr>
        <w:t>2.8 Literature Gap</w:t>
      </w:r>
      <w:bookmarkEnd w:id="44"/>
    </w:p>
    <w:p w14:paraId="374AA773" w14:textId="77777777" w:rsidR="004B1505" w:rsidRPr="00805244" w:rsidRDefault="001C7B57">
      <w:pPr>
        <w:rPr>
          <w:color w:val="auto"/>
        </w:rPr>
      </w:pPr>
      <w:r w:rsidRPr="00805244">
        <w:rPr>
          <w:color w:val="auto"/>
        </w:rPr>
        <w:t xml:space="preserve">The literature predominantly focuses on </w:t>
      </w:r>
      <w:r w:rsidR="00C95B9A" w:rsidRPr="00805244">
        <w:rPr>
          <w:color w:val="auto"/>
        </w:rPr>
        <w:t>analysing</w:t>
      </w:r>
      <w:r w:rsidRPr="00805244">
        <w:rPr>
          <w:color w:val="auto"/>
        </w:rPr>
        <w:t xml:space="preserve"> the adoption of AI, its accessibility, the quality of services or patient trust independently. Dodson </w:t>
      </w:r>
      <w:r w:rsidRPr="00805244">
        <w:rPr>
          <w:i/>
          <w:iCs/>
          <w:color w:val="auto"/>
        </w:rPr>
        <w:t xml:space="preserve">et al. </w:t>
      </w:r>
      <w:r w:rsidRPr="00805244">
        <w:rPr>
          <w:color w:val="auto"/>
        </w:rPr>
        <w:t xml:space="preserve">(2024) conducted a review of digital patient-experience literature but could not find any studies that directly assessed AI, whereas Pasat </w:t>
      </w:r>
      <w:r w:rsidRPr="00805244">
        <w:rPr>
          <w:i/>
          <w:iCs/>
          <w:color w:val="auto"/>
        </w:rPr>
        <w:t xml:space="preserve">et al. </w:t>
      </w:r>
      <w:r w:rsidRPr="00805244">
        <w:rPr>
          <w:color w:val="auto"/>
        </w:rPr>
        <w:t>(2024) indicated weak correlations between digital access and patient experience. It suggests a lack of UK-specific data explaining how consumer-facing AI tools can impact accessibility, communication, personalisation, perceived service quality and consumer trust in both NHS and privately-based healthcare services.</w:t>
      </w:r>
    </w:p>
    <w:p w14:paraId="4606BEAB" w14:textId="77777777" w:rsidR="004B1505" w:rsidRPr="00805244" w:rsidRDefault="001C7B57">
      <w:pPr>
        <w:rPr>
          <w:color w:val="auto"/>
        </w:rPr>
      </w:pPr>
      <w:r w:rsidRPr="00805244">
        <w:rPr>
          <w:color w:val="auto"/>
        </w:rPr>
        <w:t xml:space="preserve">There is a discontinuity between AI-empowered healthcare, consumer trust and brand competitiveness. Yang and Kim (2026) related digital quality to satisfaction and loyalty, whereas Badmus and Adetunji (2023) related algorithmic transparency to brand equity and trust, but they were not carried out in the UK and failed to consider healthcare accessibility, privacy, safety, transparency and human oversight in a single framework. Consequently, scanty empirical literature describes how </w:t>
      </w:r>
      <w:r w:rsidRPr="00805244">
        <w:rPr>
          <w:color w:val="auto"/>
        </w:rPr>
        <w:t xml:space="preserve">AI-enabled services relate to </w:t>
      </w:r>
      <w:r w:rsidRPr="00805244">
        <w:rPr>
          <w:color w:val="auto"/>
        </w:rPr>
        <w:t>consumer trust</w:t>
      </w:r>
      <w:r w:rsidRPr="00805244">
        <w:rPr>
          <w:color w:val="auto"/>
        </w:rPr>
        <w:t>,</w:t>
      </w:r>
      <w:r w:rsidRPr="00805244">
        <w:rPr>
          <w:color w:val="auto"/>
        </w:rPr>
        <w:t xml:space="preserve"> reputation, differentiation, loyalty and competitive advantage in the unique context of UK healthcare.</w:t>
      </w:r>
    </w:p>
    <w:p w14:paraId="0BCD8270" w14:textId="77777777" w:rsidR="004B1505" w:rsidRPr="00805244" w:rsidRDefault="001C7B57">
      <w:pPr>
        <w:pStyle w:val="Heading2"/>
        <w:rPr>
          <w:color w:val="auto"/>
        </w:rPr>
      </w:pPr>
      <w:bookmarkStart w:id="45" w:name="_6oyqsff5jnns" w:colFirst="0" w:colLast="0"/>
      <w:bookmarkStart w:id="46" w:name="_Toc241072255"/>
      <w:bookmarkEnd w:id="45"/>
      <w:r w:rsidRPr="00805244">
        <w:rPr>
          <w:color w:val="auto"/>
        </w:rPr>
        <w:t>2.9 Conceptual Framework</w:t>
      </w:r>
      <w:bookmarkEnd w:id="46"/>
    </w:p>
    <w:p w14:paraId="6611ADC5" w14:textId="77777777" w:rsidR="004B1505" w:rsidRPr="00805244" w:rsidRDefault="001C7B57">
      <w:pPr>
        <w:jc w:val="center"/>
        <w:rPr>
          <w:color w:val="auto"/>
        </w:rPr>
      </w:pPr>
      <w:r w:rsidRPr="00805244">
        <w:rPr>
          <w:noProof/>
          <w:color w:val="auto"/>
        </w:rPr>
        <w:drawing>
          <wp:inline distT="114300" distB="114300" distL="114300" distR="114300" wp14:anchorId="08958C43" wp14:editId="6C32AECB">
            <wp:extent cx="5731200" cy="20955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2095500"/>
                    </a:xfrm>
                    <a:prstGeom prst="rect">
                      <a:avLst/>
                    </a:prstGeom>
                    <a:ln w="12700">
                      <a:solidFill>
                        <a:srgbClr val="000000"/>
                      </a:solidFill>
                      <a:prstDash val="solid"/>
                    </a:ln>
                  </pic:spPr>
                </pic:pic>
              </a:graphicData>
            </a:graphic>
          </wp:inline>
        </w:drawing>
      </w:r>
    </w:p>
    <w:p w14:paraId="4F44496A" w14:textId="77777777" w:rsidR="004B1505" w:rsidRPr="00805244" w:rsidRDefault="001C7B57" w:rsidP="003F4E9C">
      <w:pPr>
        <w:pStyle w:val="Heading4"/>
        <w:rPr>
          <w:color w:val="auto"/>
        </w:rPr>
      </w:pPr>
      <w:bookmarkStart w:id="47" w:name="_Toc241072222"/>
      <w:r w:rsidRPr="00805244">
        <w:rPr>
          <w:color w:val="auto"/>
        </w:rPr>
        <w:lastRenderedPageBreak/>
        <w:t>Figure 6: Conceptual Framework</w:t>
      </w:r>
      <w:bookmarkEnd w:id="47"/>
    </w:p>
    <w:p w14:paraId="09C1421A" w14:textId="77777777" w:rsidR="004B1505" w:rsidRPr="00805244" w:rsidRDefault="001C7B57" w:rsidP="00405B39">
      <w:pPr>
        <w:rPr>
          <w:color w:val="auto"/>
        </w:rPr>
      </w:pPr>
      <w:r w:rsidRPr="00805244">
        <w:rPr>
          <w:color w:val="auto"/>
        </w:rPr>
        <w:t xml:space="preserve">Figure 6 places the AI tools in UK healthcare services as the independent variable that can be associated with four outcomes, which are consumer trust, brand reputation and image, patient and consumer loyalty, and brand competitiveness. It implies that favourable perceptions of AI applications can be associated with confidence, reliability and transparency, reputation, innovative service delivery, loyalty, increased accessibility and personalised experiences, and competitiveness through differentiation and </w:t>
      </w:r>
      <w:r w:rsidRPr="00805244">
        <w:rPr>
          <w:color w:val="auto"/>
        </w:rPr>
        <w:t>service quality. However, the model does not provide any indirect relationship. Consumer trust and brand reputation may also be related to loyalty and competitiveness, but these indirect pathways were not tested in the reported analysis.</w:t>
      </w:r>
    </w:p>
    <w:p w14:paraId="561183B6" w14:textId="77777777" w:rsidR="004B1505" w:rsidRPr="00805244" w:rsidRDefault="001C7B57">
      <w:pPr>
        <w:pStyle w:val="Heading2"/>
        <w:rPr>
          <w:color w:val="auto"/>
        </w:rPr>
      </w:pPr>
      <w:bookmarkStart w:id="48" w:name="_chgq1m1rrdyv" w:colFirst="0" w:colLast="0"/>
      <w:bookmarkStart w:id="49" w:name="_Toc241072256"/>
      <w:bookmarkEnd w:id="48"/>
      <w:r w:rsidRPr="00805244">
        <w:rPr>
          <w:color w:val="auto"/>
        </w:rPr>
        <w:t>2.10 Summary</w:t>
      </w:r>
      <w:bookmarkEnd w:id="49"/>
    </w:p>
    <w:p w14:paraId="78F6B3A8" w14:textId="77777777" w:rsidR="00C022FD" w:rsidRPr="00805244" w:rsidRDefault="001C7B57">
      <w:pPr>
        <w:rPr>
          <w:color w:val="auto"/>
        </w:rPr>
      </w:pPr>
      <w:r w:rsidRPr="00805244">
        <w:rPr>
          <w:color w:val="auto"/>
        </w:rPr>
        <w:t>The chapter was a critical review of the importance of AI tools in enhancing consumer trust and brand competitiveness in the UK healthcare services. It demonstrated that AI can make access, communication, personalisation, with predictive care and patient experience more accessible, yet benefits of AI rely on data quality, usability, clinical validation, and human oversight. The factors that were found to influence consumer trust are transparency, reliability, privacy, safety, empathy and institutional accou</w:t>
      </w:r>
      <w:r w:rsidRPr="00805244">
        <w:rPr>
          <w:color w:val="auto"/>
        </w:rPr>
        <w:t>ntability. The review also reported that AI could enhance brand reputation, differentiation, loyalty and innovation in the event that it generates service quality and patient outcomes improvements. The theoretical framework was based on Technology Acceptance Model, Trust Theory and Customer-Based Brand Equity Theory. Nevertheless, there is not much research in the UK that combines AI-enabled services, consumer trust and brand competitiveness to endorse the conceptual framework and empirical research.</w:t>
      </w:r>
    </w:p>
    <w:p w14:paraId="2B572C5E" w14:textId="77777777" w:rsidR="00C022FD" w:rsidRPr="00805244" w:rsidRDefault="00C022FD">
      <w:pPr>
        <w:rPr>
          <w:color w:val="auto"/>
        </w:rPr>
      </w:pPr>
      <w:r w:rsidRPr="00805244">
        <w:rPr>
          <w:color w:val="auto"/>
        </w:rPr>
        <w:br w:type="page"/>
      </w:r>
    </w:p>
    <w:p w14:paraId="4A4DE133" w14:textId="77777777" w:rsidR="00A56755" w:rsidRPr="00805244" w:rsidRDefault="00A56755" w:rsidP="00A56755">
      <w:pPr>
        <w:pStyle w:val="Heading1"/>
        <w:rPr>
          <w:color w:val="auto"/>
          <w:lang w:val="en-US"/>
        </w:rPr>
      </w:pPr>
      <w:bookmarkStart w:id="50" w:name="_Toc241072257"/>
      <w:r w:rsidRPr="00805244">
        <w:rPr>
          <w:color w:val="auto"/>
          <w:lang w:val="en-US"/>
        </w:rPr>
        <w:lastRenderedPageBreak/>
        <w:t>Chapter 3: Research Methodology</w:t>
      </w:r>
      <w:bookmarkEnd w:id="50"/>
    </w:p>
    <w:p w14:paraId="28C52D35" w14:textId="77777777" w:rsidR="00A56755" w:rsidRPr="00805244" w:rsidRDefault="00A56755" w:rsidP="00A56755">
      <w:pPr>
        <w:pStyle w:val="Heading2"/>
        <w:rPr>
          <w:color w:val="auto"/>
          <w:lang w:val="en-US"/>
        </w:rPr>
      </w:pPr>
      <w:bookmarkStart w:id="51" w:name="_Toc241072258"/>
      <w:r w:rsidRPr="00805244">
        <w:rPr>
          <w:color w:val="auto"/>
          <w:lang w:val="en-US"/>
        </w:rPr>
        <w:t>3.1 Introduction</w:t>
      </w:r>
      <w:bookmarkEnd w:id="51"/>
    </w:p>
    <w:p w14:paraId="2F640F44" w14:textId="77777777" w:rsidR="00A56755" w:rsidRPr="00805244" w:rsidRDefault="00A56755" w:rsidP="00A56755">
      <w:pPr>
        <w:rPr>
          <w:color w:val="auto"/>
          <w:lang w:val="en-US"/>
        </w:rPr>
      </w:pPr>
      <w:r w:rsidRPr="00805244">
        <w:rPr>
          <w:color w:val="auto"/>
          <w:lang w:val="en-US"/>
        </w:rPr>
        <w:t>This chapter described and rationalized the approach used to research consumer-facing AI tools, consumer trust and perceived brand competitiveness in UK healthcare services. The philosophy, methodology, design, sampling, administration of the questionnaire, statistical analysis and ethical protections were outlined in the chapter. All the decisions were practical in nature: the questionnaire transformed the Chapter 2 concepts into measurable variables, the sampling process identified eligible users of healthcare in the UK, and the statistical tests were conducted to evaluate the four hypotheses. The methodology was thus an integrated process and not a set of independent and unrelated methodological decisions.</w:t>
      </w:r>
    </w:p>
    <w:p w14:paraId="2CAA6258" w14:textId="77777777" w:rsidR="00A56755" w:rsidRPr="00805244" w:rsidRDefault="00A56755" w:rsidP="00A56755">
      <w:pPr>
        <w:pStyle w:val="Heading2"/>
        <w:rPr>
          <w:color w:val="auto"/>
          <w:lang w:val="en-US"/>
        </w:rPr>
      </w:pPr>
      <w:bookmarkStart w:id="52" w:name="_Toc241072259"/>
      <w:r w:rsidRPr="00805244">
        <w:rPr>
          <w:color w:val="auto"/>
          <w:lang w:val="en-US"/>
        </w:rPr>
        <w:t>3.2 Philosophy</w:t>
      </w:r>
      <w:bookmarkEnd w:id="52"/>
    </w:p>
    <w:p w14:paraId="1F8B9E1E" w14:textId="77777777" w:rsidR="00A56755" w:rsidRPr="00805244" w:rsidRDefault="00A56755" w:rsidP="00A56755">
      <w:pPr>
        <w:rPr>
          <w:color w:val="auto"/>
          <w:lang w:val="en-US"/>
        </w:rPr>
      </w:pPr>
      <w:r w:rsidRPr="00805244">
        <w:rPr>
          <w:color w:val="auto"/>
          <w:lang w:val="en-US"/>
        </w:rPr>
        <w:t>The philosophy that was adopted in the study was positivist. Positivism treated perceived service quality, transparency, reliability, privacy, safety, consumer trust and perceived brand competitiveness as measurable consumer perceptions. Interpretivism would have delved into the issues of how people made meanings by narrating them in detail, while pragmatism would have chosen or integrated approaches based on the problem.</w:t>
      </w:r>
    </w:p>
    <w:p w14:paraId="4A3D97B3" w14:textId="77777777" w:rsidR="00A56755" w:rsidRPr="00805244" w:rsidRDefault="00A56755" w:rsidP="00A56755">
      <w:pPr>
        <w:rPr>
          <w:color w:val="auto"/>
          <w:lang w:val="en-US"/>
        </w:rPr>
      </w:pPr>
      <w:r w:rsidRPr="00805244">
        <w:rPr>
          <w:color w:val="auto"/>
          <w:lang w:val="en-US"/>
        </w:rPr>
        <w:t xml:space="preserve">Guraya et al. (2023) pointed out that rigorous research must have coherence between the paradigm, questions, methods and analysis. Positivism gave the study that coherence since pre-existing hypotheses were applied, the same questionnaire questions were used, the study was conducted using a numerical scale and statistical tests were used to test regularities between respondents. It also facilitated comparison amongst the consumers since each respondent rated the same specified aspects of healthcare AI. </w:t>
      </w:r>
      <w:r w:rsidR="007566B7" w:rsidRPr="00805244">
        <w:rPr>
          <w:color w:val="auto"/>
          <w:lang w:val="en-US"/>
        </w:rPr>
        <w:t>This rendered positivism appropriate since it employed quantitative questionnaire data that were tested statistically against the four pre-defined hypotheses.</w:t>
      </w:r>
    </w:p>
    <w:p w14:paraId="37F18DB6" w14:textId="77777777" w:rsidR="00A56755" w:rsidRPr="00805244" w:rsidRDefault="00A56755" w:rsidP="00A56755">
      <w:pPr>
        <w:rPr>
          <w:color w:val="auto"/>
          <w:lang w:val="en-US"/>
        </w:rPr>
      </w:pPr>
      <w:r w:rsidRPr="00805244">
        <w:rPr>
          <w:color w:val="auto"/>
          <w:lang w:val="en-US"/>
        </w:rPr>
        <w:lastRenderedPageBreak/>
        <w:t>According to Slater and Hasson (2025), quantitative designs relied on numerical evidence to explain phenomena, measure associations and test hypotheses, and the strength of the conclusions was based on validity. Based on this, researcher influence was limited through standardised instructions, theory-based items, predefined coding, as well as transparent decision rules. This research was not reported as totally value-free since the choice of constructs and the determination of statistical significance remained subjective. Rather, the design made such judgements explicit and replicable.</w:t>
      </w:r>
    </w:p>
    <w:p w14:paraId="48D6573C" w14:textId="77777777" w:rsidR="00A56755" w:rsidRPr="00805244" w:rsidRDefault="00A56755" w:rsidP="00A56755">
      <w:pPr>
        <w:pStyle w:val="Heading2"/>
        <w:rPr>
          <w:color w:val="auto"/>
          <w:lang w:val="en-US"/>
        </w:rPr>
      </w:pPr>
      <w:bookmarkStart w:id="53" w:name="_Toc241072260"/>
      <w:r w:rsidRPr="00805244">
        <w:rPr>
          <w:color w:val="auto"/>
          <w:lang w:val="en-US"/>
        </w:rPr>
        <w:t>3.3 Approach</w:t>
      </w:r>
      <w:bookmarkEnd w:id="53"/>
    </w:p>
    <w:p w14:paraId="61DD63A6" w14:textId="77777777" w:rsidR="00A56755" w:rsidRPr="00805244" w:rsidRDefault="00A56755" w:rsidP="00A56755">
      <w:pPr>
        <w:rPr>
          <w:color w:val="auto"/>
          <w:lang w:val="en-US"/>
        </w:rPr>
      </w:pPr>
      <w:r w:rsidRPr="00805244">
        <w:rPr>
          <w:color w:val="auto"/>
          <w:lang w:val="en-US"/>
        </w:rPr>
        <w:t>The deductive approach was taken because the research moved from established theory to testable expectations. Barrett and Younas (2024) explained that deduction began with a proposition and inquired whether observations were in line with the expected consequences of the proposition. TAM thus informed perceived usefulness and ease of use, Trust Theory informed transparency, reliability, privacy, safety and proper human control, and CBBE Theory informed reputation, differentiation, innovation, preference and loyalty. These ideas were translated into questionnaire items and then analysed.</w:t>
      </w:r>
    </w:p>
    <w:p w14:paraId="0544C2C1" w14:textId="77777777" w:rsidR="00A56755" w:rsidRPr="00805244" w:rsidRDefault="00A56755" w:rsidP="00A56755">
      <w:pPr>
        <w:rPr>
          <w:color w:val="auto"/>
          <w:lang w:val="en-US"/>
        </w:rPr>
      </w:pPr>
      <w:r w:rsidRPr="00805244">
        <w:rPr>
          <w:color w:val="auto"/>
          <w:lang w:val="en-US"/>
        </w:rPr>
        <w:t>Okoli (2023) differentiated between deduction and induction, which drew general propositions based on particular evidence, and abduction, which aimed at finding plausible explanations for unexpected observations. Induction was inappropriate as the research did not gather open-ended narratives to develop a new theory. Although abduction was not the main approach, unexpected statistical findings prompted a return to the Chapter 2 literature. This still maintained a logical flow from theory to measurement, hypothesis testing and, lastly, practical recommendations.</w:t>
      </w:r>
    </w:p>
    <w:p w14:paraId="39F02BB9" w14:textId="77777777" w:rsidR="00A56755" w:rsidRPr="00805244" w:rsidRDefault="00A56755" w:rsidP="00A56755">
      <w:pPr>
        <w:pStyle w:val="Heading2"/>
        <w:rPr>
          <w:color w:val="auto"/>
          <w:lang w:val="en-US"/>
        </w:rPr>
      </w:pPr>
      <w:bookmarkStart w:id="54" w:name="_Toc241072261"/>
      <w:r w:rsidRPr="00805244">
        <w:rPr>
          <w:color w:val="auto"/>
          <w:lang w:val="en-US"/>
        </w:rPr>
        <w:t>3.4 Design</w:t>
      </w:r>
      <w:bookmarkEnd w:id="54"/>
    </w:p>
    <w:p w14:paraId="4DCA283B" w14:textId="77777777" w:rsidR="00A56755" w:rsidRPr="00805244" w:rsidRDefault="00A56755" w:rsidP="00A56755">
      <w:pPr>
        <w:rPr>
          <w:color w:val="auto"/>
          <w:lang w:val="en-US"/>
        </w:rPr>
      </w:pPr>
      <w:r w:rsidRPr="00805244">
        <w:rPr>
          <w:color w:val="auto"/>
          <w:lang w:val="en-US"/>
        </w:rPr>
        <w:t xml:space="preserve">The research adopted a mono-method quantitative, explanatory-correlational and cross-sectional survey design. The unit of analysis was the individual adult user of UK healthcare </w:t>
      </w:r>
      <w:r w:rsidRPr="00805244">
        <w:rPr>
          <w:color w:val="auto"/>
          <w:lang w:val="en-US"/>
        </w:rPr>
        <w:lastRenderedPageBreak/>
        <w:t>services. According to Zimba and Gasparyan (2023), rigorous survey research relied on the intentional design of the instruments, their proper administration and clear reporting. A single standardised questionnaire thus offered all respondents the same definition of AI, questions and choices, making it possible to directly compare the statistics.</w:t>
      </w:r>
    </w:p>
    <w:p w14:paraId="5F7638F9" w14:textId="77777777" w:rsidR="00A56755" w:rsidRPr="00805244" w:rsidRDefault="00A56755" w:rsidP="00A56755">
      <w:pPr>
        <w:rPr>
          <w:color w:val="auto"/>
          <w:lang w:val="en-US"/>
        </w:rPr>
      </w:pPr>
      <w:r w:rsidRPr="00805244">
        <w:rPr>
          <w:color w:val="auto"/>
          <w:lang w:val="en-US"/>
        </w:rPr>
        <w:t>Dawadi et al. (2021) noted that mixed methods might provide more in-depth explanation, but demanded more resources, skills and the integration of various forms of evidence. Interviews and mixed methods were thus not selected because the study was aimed at estimating patterns and testing relationships and not exploring individual experiences in depth. This lowered the explanatory depth but aligned with the quantitative and explanatory scope of the study.</w:t>
      </w:r>
    </w:p>
    <w:p w14:paraId="5574849E" w14:textId="77777777" w:rsidR="00A56755" w:rsidRPr="00805244" w:rsidRDefault="00A56755" w:rsidP="00A56755">
      <w:pPr>
        <w:rPr>
          <w:color w:val="auto"/>
          <w:lang w:val="en-US"/>
        </w:rPr>
      </w:pPr>
      <w:r w:rsidRPr="00805244">
        <w:rPr>
          <w:color w:val="auto"/>
          <w:lang w:val="en-US"/>
        </w:rPr>
        <w:t>The questionnaire was administered online using Microsoft Forms. Wu et al. (2022) discovered that participation in online surveys was enhanced when the population was well defined and recruitment was appropriately targeted. The survey link thus presented succinct eligibility requirements and a plain-language description of consumer-facing AI prior to the survey.</w:t>
      </w:r>
    </w:p>
    <w:p w14:paraId="72108B45" w14:textId="77777777" w:rsidR="00A56755" w:rsidRPr="00805244" w:rsidRDefault="00A56755" w:rsidP="00A56755">
      <w:pPr>
        <w:rPr>
          <w:color w:val="auto"/>
          <w:lang w:val="en-US"/>
        </w:rPr>
      </w:pPr>
      <w:r w:rsidRPr="00805244">
        <w:rPr>
          <w:color w:val="auto"/>
          <w:lang w:val="en-US"/>
        </w:rPr>
        <w:t xml:space="preserve">Capili (2021) characterized cross-sectional studies as effective methods of measurement conducted at a single point in time that detected distributions and associations. The design, in turn, captured AI-service perceptions, trust and competitiveness in a single administration. Figueiredo et al. (2025) cautioned that cross-sectional evidence could not determine the order of events or causality and was susceptible to confounding. Regression coefficients were thus seen as associations and not as indications that AI caused or instigated trust or competitiveness. </w:t>
      </w:r>
      <w:r w:rsidR="007566B7" w:rsidRPr="00805244">
        <w:rPr>
          <w:color w:val="auto"/>
          <w:lang w:val="en-US"/>
        </w:rPr>
        <w:t>The results therefore only related to a single survey point in time and were not able to demonstrate changes in trust or competitiveness over time.</w:t>
      </w:r>
    </w:p>
    <w:p w14:paraId="7FBBC927" w14:textId="77777777" w:rsidR="00A56755" w:rsidRPr="00805244" w:rsidRDefault="00A56755" w:rsidP="00A56755">
      <w:pPr>
        <w:rPr>
          <w:color w:val="auto"/>
          <w:lang w:val="en-US"/>
        </w:rPr>
      </w:pPr>
      <w:r w:rsidRPr="00805244">
        <w:rPr>
          <w:color w:val="auto"/>
          <w:lang w:val="en-US"/>
        </w:rPr>
        <w:t xml:space="preserve">According to the study by Teh et al. (2023), social desirability explained a small, yet significant, percentage of variance in self-reported health behaviours. The anonymity of voting, the lack of prejudice in the wording and the lack of representatives of the providers reduced the influence to respond positively. However, the design assessed perceptions rather than </w:t>
      </w:r>
      <w:r w:rsidRPr="00805244">
        <w:rPr>
          <w:color w:val="auto"/>
          <w:lang w:val="en-US"/>
        </w:rPr>
        <w:lastRenderedPageBreak/>
        <w:t>observed AI performance and was susceptible to recall, common-method and digital-exclusion biases.</w:t>
      </w:r>
    </w:p>
    <w:p w14:paraId="6220DD5E" w14:textId="77777777" w:rsidR="00A56755" w:rsidRPr="00805244" w:rsidRDefault="00A56755" w:rsidP="00A56755">
      <w:pPr>
        <w:pStyle w:val="Heading2"/>
        <w:rPr>
          <w:color w:val="auto"/>
          <w:lang w:val="en-US"/>
        </w:rPr>
      </w:pPr>
      <w:bookmarkStart w:id="55" w:name="_Toc241072262"/>
      <w:r w:rsidRPr="00805244">
        <w:rPr>
          <w:color w:val="auto"/>
          <w:lang w:val="en-US"/>
        </w:rPr>
        <w:t>3.5 Sampling Technique and Sample Size</w:t>
      </w:r>
      <w:bookmarkEnd w:id="55"/>
    </w:p>
    <w:p w14:paraId="21D95743" w14:textId="77777777" w:rsidR="00A56755" w:rsidRPr="00805244" w:rsidRDefault="00A56755" w:rsidP="00A56755">
      <w:pPr>
        <w:rPr>
          <w:color w:val="auto"/>
          <w:lang w:val="en-US"/>
        </w:rPr>
      </w:pPr>
      <w:r w:rsidRPr="00805244">
        <w:rPr>
          <w:color w:val="auto"/>
          <w:lang w:val="en-US"/>
        </w:rPr>
        <w:t>The target group was adults aged 18 years and over who lived in the UK and had used NHS or private healthcare services. They also had to be able to understand the information sheet and give informed consent, which required adequate English proficiency. Screening questions excluded children, vulnerable participants, those who were not UK residents and those who had not used UK healthcare services.</w:t>
      </w:r>
    </w:p>
    <w:p w14:paraId="29F55F56" w14:textId="77777777" w:rsidR="00A56755" w:rsidRPr="00805244" w:rsidRDefault="00A56755" w:rsidP="00A56755">
      <w:pPr>
        <w:rPr>
          <w:color w:val="auto"/>
          <w:lang w:val="en-US"/>
        </w:rPr>
      </w:pPr>
      <w:r w:rsidRPr="00805244">
        <w:rPr>
          <w:color w:val="auto"/>
          <w:lang w:val="en-US"/>
        </w:rPr>
        <w:t xml:space="preserve">Convenience sampling was adopted due to the unavailability of a complete sampling frame of healthcare users in the UK and the geographical spread of the population. The participants were recruited via social media, university networks, online communities, and personal or professional networks. Andrade (2021) described how convenience samples were taken based on available sources and could only be generalised to the available source population. The results were thus considered applicable to the obtained sample and not representative of the national population. </w:t>
      </w:r>
      <w:r w:rsidR="007566B7" w:rsidRPr="00805244">
        <w:rPr>
          <w:color w:val="auto"/>
          <w:lang w:val="en-US"/>
        </w:rPr>
        <w:t>It was therefore appropriate for accessing geographically dispersed eligible respondents within the scope of the study in terms of time and resources.</w:t>
      </w:r>
    </w:p>
    <w:p w14:paraId="45573059" w14:textId="77777777" w:rsidR="00A56755" w:rsidRPr="00805244" w:rsidRDefault="00A56755" w:rsidP="00A56755">
      <w:pPr>
        <w:rPr>
          <w:color w:val="auto"/>
          <w:lang w:val="en-US"/>
        </w:rPr>
      </w:pPr>
      <w:r w:rsidRPr="00805244">
        <w:rPr>
          <w:color w:val="auto"/>
          <w:lang w:val="en-US"/>
        </w:rPr>
        <w:t xml:space="preserve">Stratton (2021) also noted that convenience sampling introduced selection bias and did not necessarily allow the results of the participants to be generalised to the entire target population. Recruitment was thus spread over a number of channels rather than being based on a single social group, while the same eligibility checks minimized apparent sample mismatch. These steps enhanced coverage but did not transform the approach into probability sampling. </w:t>
      </w:r>
      <w:r w:rsidR="007566B7" w:rsidRPr="00805244">
        <w:rPr>
          <w:color w:val="auto"/>
          <w:lang w:val="en-US"/>
        </w:rPr>
        <w:t>Responses also may have been self-selected, in that they would have been more likely to have been gathered from users with access to or interest in AI, and thus must not be interpreted as national estimates.</w:t>
      </w:r>
    </w:p>
    <w:p w14:paraId="3CE69276" w14:textId="77777777" w:rsidR="00A56755" w:rsidRPr="00805244" w:rsidRDefault="00A56755" w:rsidP="00A56755">
      <w:pPr>
        <w:rPr>
          <w:color w:val="auto"/>
          <w:lang w:val="en-US"/>
        </w:rPr>
      </w:pPr>
      <w:r w:rsidRPr="00805244">
        <w:rPr>
          <w:color w:val="auto"/>
          <w:lang w:val="en-US"/>
        </w:rPr>
        <w:lastRenderedPageBreak/>
        <w:t>The approved target was 150-200 usable questionnaires, and recruitment ended within this range after screening confirmed that sufficient complete cases had been obtained. According to Lakens (2022), the justification of sample size might be based on power, precision, resource availability or set design requirements, but these reasons were not interchangeable. The range adopted could accommodate losses during data cleaning and was practical for a taught dissertation. It supported model estimation without implying population representativeness. The 170 usable responses achieved were within the approved response range and adequate for the reported Pearson correlation and simple linear regression analyses.</w:t>
      </w:r>
    </w:p>
    <w:p w14:paraId="748D8152" w14:textId="77777777" w:rsidR="00A56755" w:rsidRPr="00805244" w:rsidRDefault="00A56755" w:rsidP="00A56755">
      <w:pPr>
        <w:pStyle w:val="Heading2"/>
        <w:rPr>
          <w:color w:val="auto"/>
          <w:lang w:val="en-US"/>
        </w:rPr>
      </w:pPr>
      <w:bookmarkStart w:id="56" w:name="_Toc241072263"/>
      <w:r w:rsidRPr="00805244">
        <w:rPr>
          <w:color w:val="auto"/>
          <w:lang w:val="en-US"/>
        </w:rPr>
        <w:t>3.6 Data Collection Method</w:t>
      </w:r>
      <w:bookmarkEnd w:id="56"/>
    </w:p>
    <w:p w14:paraId="73A7196D" w14:textId="77777777" w:rsidR="00A56755" w:rsidRPr="00805244" w:rsidRDefault="00A56755" w:rsidP="00A56755">
      <w:pPr>
        <w:rPr>
          <w:color w:val="auto"/>
          <w:lang w:val="en-US"/>
        </w:rPr>
      </w:pPr>
      <w:r w:rsidRPr="00805244">
        <w:rPr>
          <w:color w:val="auto"/>
          <w:lang w:val="en-US"/>
        </w:rPr>
        <w:t xml:space="preserve">A structured online questionnaire was used to gather primary data. Kishore et al. (2021) suggested defining constructs, creating items, getting expert evaluation prior to assessing reliability and validity. Each questionnaire item was mapped to a Chapter 2 construct, research objective and planned statistical test prior to the release of the questionnaire. The questionnaire began with participant details, electronic consent, eligibility assessment, an AI definition, AI familiarity, construct measures and demographics (without identifiable information). Examples of consumer-facing AI encompassed chatbots, virtual triage, predictive service systems, intelligent appointment scheduling and personalised communication. Ordinary video consultations and online booking were not presented as AI unless they used automated data analysis, prediction or intelligent interaction. This distinction minimized the possibility of participants rating overall digital healthcare rather than AI-based services. </w:t>
      </w:r>
      <w:r w:rsidR="007566B7" w:rsidRPr="00805244">
        <w:rPr>
          <w:color w:val="auto"/>
          <w:lang w:val="en-US"/>
        </w:rPr>
        <w:t>The attitudinal items were derived from the literature reviewed in Chapter 2 and the constructs of the TAM, Trust Theory, and CBBE instead of being copied from a single questionnaire.</w:t>
      </w:r>
    </w:p>
    <w:p w14:paraId="6C876780" w14:textId="77777777" w:rsidR="00A56755" w:rsidRPr="00805244" w:rsidRDefault="00A56755" w:rsidP="00A56755">
      <w:pPr>
        <w:rPr>
          <w:color w:val="auto"/>
          <w:lang w:val="en-US"/>
        </w:rPr>
      </w:pPr>
      <w:r w:rsidRPr="00805244">
        <w:rPr>
          <w:color w:val="auto"/>
          <w:lang w:val="en-US"/>
        </w:rPr>
        <w:t xml:space="preserve">Jebb et al. (2021) explained that Likert-scale quality relied on clarity, appropriate wording and psychometric testing; reversed wording may produce unwanted method effects. The same five-point scale was thus used for all the attitudinal statements, namely 1 = strongly disagree and 5 </w:t>
      </w:r>
      <w:r w:rsidRPr="00805244">
        <w:rPr>
          <w:color w:val="auto"/>
          <w:lang w:val="en-US"/>
        </w:rPr>
        <w:lastRenderedPageBreak/>
        <w:t>= strongly agree, and there were no reverse-worded statements. This option minimized unnecessary reading and coding mistakes.</w:t>
      </w:r>
    </w:p>
    <w:p w14:paraId="219A91E9" w14:textId="77777777" w:rsidR="00A56755" w:rsidRPr="00805244" w:rsidRDefault="00A56755" w:rsidP="00405B39">
      <w:pPr>
        <w:rPr>
          <w:color w:val="auto"/>
        </w:rPr>
      </w:pPr>
      <w:r w:rsidRPr="00805244">
        <w:rPr>
          <w:color w:val="auto"/>
        </w:rPr>
        <w:t>Alsyouf et al. (2023) discovered that usefulness, ease of use and security were predictors of personal-health-record use, whereas privacy and usability influenced significant TAM associations. These aspects informed the questionnaire and interpretation, but usefulness, ease of use, transparency, reliability, privacy and safety were not analysed as separate predictor variables. Dlugatch et al. (2023) concluded that perceived trustworthiness of healthcare AI was influenced by reliability, fairness, human mediation, empathy and public benefit. These factors therefore informed the interpretation of the consumer-trust items rather than a separate AI-governance regression model.</w:t>
      </w:r>
    </w:p>
    <w:p w14:paraId="41DC6D96" w14:textId="77777777" w:rsidR="00A56755" w:rsidRPr="00805244" w:rsidRDefault="00A56755" w:rsidP="00405B39">
      <w:pPr>
        <w:rPr>
          <w:color w:val="auto"/>
        </w:rPr>
      </w:pPr>
      <w:r w:rsidRPr="00805244">
        <w:rPr>
          <w:color w:val="auto"/>
        </w:rPr>
        <w:t>The results of Ali et al. (2023) were that healthcare AI generated organisational and patient value and that data integration, privacy, legal issues and patient safety were all significant concerns. The questionnaire therefore measured AI-service perceptions, consumer trust and brand-related outcomes separately, so that innovation was not automatically treated as equivalent to trust or competitive advantage.</w:t>
      </w:r>
    </w:p>
    <w:tbl>
      <w:tblPr>
        <w:tblStyle w:val="TableGrid"/>
        <w:tblW w:w="0" w:type="auto"/>
        <w:jc w:val="center"/>
        <w:tblLook w:val="04A0" w:firstRow="1" w:lastRow="0" w:firstColumn="1" w:lastColumn="0" w:noHBand="0" w:noVBand="1"/>
      </w:tblPr>
      <w:tblGrid>
        <w:gridCol w:w="2367"/>
        <w:gridCol w:w="4170"/>
        <w:gridCol w:w="790"/>
        <w:gridCol w:w="1689"/>
      </w:tblGrid>
      <w:tr w:rsidR="00A56755" w:rsidRPr="00805244" w14:paraId="234A7DAB" w14:textId="77777777" w:rsidTr="00A56755">
        <w:trPr>
          <w:jc w:val="center"/>
        </w:trPr>
        <w:tc>
          <w:tcPr>
            <w:tcW w:w="0" w:type="auto"/>
            <w:hideMark/>
          </w:tcPr>
          <w:p w14:paraId="4064FA72" w14:textId="77777777" w:rsidR="00A56755" w:rsidRPr="00805244" w:rsidRDefault="00A56755" w:rsidP="00A56755">
            <w:pPr>
              <w:jc w:val="center"/>
              <w:rPr>
                <w:b/>
                <w:bCs/>
                <w:color w:val="auto"/>
                <w:lang w:val="en-US"/>
              </w:rPr>
            </w:pPr>
            <w:r w:rsidRPr="00805244">
              <w:rPr>
                <w:b/>
                <w:bCs/>
                <w:color w:val="auto"/>
                <w:lang w:val="en-US"/>
              </w:rPr>
              <w:t>Construct</w:t>
            </w:r>
          </w:p>
        </w:tc>
        <w:tc>
          <w:tcPr>
            <w:tcW w:w="0" w:type="auto"/>
            <w:hideMark/>
          </w:tcPr>
          <w:p w14:paraId="7CE8B0EA" w14:textId="77777777" w:rsidR="00A56755" w:rsidRPr="00805244" w:rsidRDefault="00A56755" w:rsidP="00A56755">
            <w:pPr>
              <w:jc w:val="center"/>
              <w:rPr>
                <w:b/>
                <w:bCs/>
                <w:color w:val="auto"/>
                <w:lang w:val="en-US"/>
              </w:rPr>
            </w:pPr>
            <w:r w:rsidRPr="00805244">
              <w:rPr>
                <w:b/>
                <w:bCs/>
                <w:color w:val="auto"/>
                <w:lang w:val="en-US"/>
              </w:rPr>
              <w:t>Operational measurement</w:t>
            </w:r>
          </w:p>
        </w:tc>
        <w:tc>
          <w:tcPr>
            <w:tcW w:w="0" w:type="auto"/>
            <w:hideMark/>
          </w:tcPr>
          <w:p w14:paraId="05D8087B" w14:textId="77777777" w:rsidR="00A56755" w:rsidRPr="00805244" w:rsidRDefault="00A56755" w:rsidP="00A56755">
            <w:pPr>
              <w:jc w:val="center"/>
              <w:rPr>
                <w:b/>
                <w:bCs/>
                <w:color w:val="auto"/>
                <w:lang w:val="en-US"/>
              </w:rPr>
            </w:pPr>
            <w:r w:rsidRPr="00805244">
              <w:rPr>
                <w:b/>
                <w:bCs/>
                <w:color w:val="auto"/>
                <w:lang w:val="en-US"/>
              </w:rPr>
              <w:t>Items</w:t>
            </w:r>
          </w:p>
        </w:tc>
        <w:tc>
          <w:tcPr>
            <w:tcW w:w="0" w:type="auto"/>
            <w:hideMark/>
          </w:tcPr>
          <w:p w14:paraId="4BCA19BE" w14:textId="77777777" w:rsidR="00A56755" w:rsidRPr="00805244" w:rsidRDefault="00A56755" w:rsidP="00A56755">
            <w:pPr>
              <w:jc w:val="center"/>
              <w:rPr>
                <w:b/>
                <w:bCs/>
                <w:color w:val="auto"/>
                <w:lang w:val="en-US"/>
              </w:rPr>
            </w:pPr>
            <w:r w:rsidRPr="00805244">
              <w:rPr>
                <w:b/>
                <w:bCs/>
                <w:color w:val="auto"/>
                <w:lang w:val="en-US"/>
              </w:rPr>
              <w:t>Composite calculation</w:t>
            </w:r>
          </w:p>
        </w:tc>
      </w:tr>
      <w:tr w:rsidR="00A56755" w:rsidRPr="00805244" w14:paraId="2EF87661" w14:textId="77777777" w:rsidTr="00A56755">
        <w:trPr>
          <w:jc w:val="center"/>
        </w:trPr>
        <w:tc>
          <w:tcPr>
            <w:tcW w:w="0" w:type="auto"/>
            <w:hideMark/>
          </w:tcPr>
          <w:p w14:paraId="7BC3D552" w14:textId="77777777" w:rsidR="00A56755" w:rsidRPr="00805244" w:rsidRDefault="00A56755" w:rsidP="00405B39">
            <w:pPr>
              <w:rPr>
                <w:color w:val="auto"/>
              </w:rPr>
            </w:pPr>
            <w:r w:rsidRPr="00805244">
              <w:rPr>
                <w:color w:val="auto"/>
              </w:rPr>
              <w:t>AI tools in UK healthcare services</w:t>
            </w:r>
          </w:p>
        </w:tc>
        <w:tc>
          <w:tcPr>
            <w:tcW w:w="0" w:type="auto"/>
            <w:hideMark/>
          </w:tcPr>
          <w:p w14:paraId="22DBA094" w14:textId="77777777" w:rsidR="00A56755" w:rsidRPr="00805244" w:rsidRDefault="00A56755" w:rsidP="00405B39">
            <w:pPr>
              <w:rPr>
                <w:color w:val="auto"/>
              </w:rPr>
            </w:pPr>
            <w:r w:rsidRPr="00805244">
              <w:rPr>
                <w:color w:val="auto"/>
              </w:rPr>
              <w:t>Accessibility, communication, responsiveness, personalisation and overall service quality</w:t>
            </w:r>
          </w:p>
        </w:tc>
        <w:tc>
          <w:tcPr>
            <w:tcW w:w="0" w:type="auto"/>
            <w:hideMark/>
          </w:tcPr>
          <w:p w14:paraId="5EAC15EC" w14:textId="77777777" w:rsidR="00A56755" w:rsidRPr="00805244" w:rsidRDefault="00A56755" w:rsidP="00405B39">
            <w:pPr>
              <w:rPr>
                <w:color w:val="auto"/>
              </w:rPr>
            </w:pPr>
            <w:r w:rsidRPr="00805244">
              <w:rPr>
                <w:color w:val="auto"/>
              </w:rPr>
              <w:t>5</w:t>
            </w:r>
          </w:p>
        </w:tc>
        <w:tc>
          <w:tcPr>
            <w:tcW w:w="0" w:type="auto"/>
            <w:hideMark/>
          </w:tcPr>
          <w:p w14:paraId="0AD1D581" w14:textId="77777777" w:rsidR="00A56755" w:rsidRPr="00805244" w:rsidRDefault="00A56755" w:rsidP="00405B39">
            <w:pPr>
              <w:rPr>
                <w:color w:val="auto"/>
              </w:rPr>
            </w:pPr>
            <w:r w:rsidRPr="00805244">
              <w:rPr>
                <w:color w:val="auto"/>
              </w:rPr>
              <w:t>Mean of 5 items</w:t>
            </w:r>
          </w:p>
        </w:tc>
      </w:tr>
      <w:tr w:rsidR="00A56755" w:rsidRPr="00805244" w14:paraId="2C54D858" w14:textId="77777777" w:rsidTr="00A56755">
        <w:trPr>
          <w:jc w:val="center"/>
        </w:trPr>
        <w:tc>
          <w:tcPr>
            <w:tcW w:w="0" w:type="auto"/>
            <w:hideMark/>
          </w:tcPr>
          <w:p w14:paraId="0CE229C7" w14:textId="77777777" w:rsidR="00A56755" w:rsidRPr="00805244" w:rsidRDefault="00A56755" w:rsidP="00405B39">
            <w:pPr>
              <w:rPr>
                <w:color w:val="auto"/>
              </w:rPr>
            </w:pPr>
            <w:r w:rsidRPr="00805244">
              <w:rPr>
                <w:color w:val="auto"/>
              </w:rPr>
              <w:t>Consumer trust</w:t>
            </w:r>
          </w:p>
        </w:tc>
        <w:tc>
          <w:tcPr>
            <w:tcW w:w="0" w:type="auto"/>
            <w:hideMark/>
          </w:tcPr>
          <w:p w14:paraId="5B697628" w14:textId="77777777" w:rsidR="00A56755" w:rsidRPr="00805244" w:rsidRDefault="00A56755" w:rsidP="00405B39">
            <w:pPr>
              <w:rPr>
                <w:color w:val="auto"/>
              </w:rPr>
            </w:pPr>
            <w:r w:rsidRPr="00805244">
              <w:rPr>
                <w:color w:val="auto"/>
              </w:rPr>
              <w:t>Responsible use, reliability, data protection, human oversight and confidence</w:t>
            </w:r>
          </w:p>
        </w:tc>
        <w:tc>
          <w:tcPr>
            <w:tcW w:w="0" w:type="auto"/>
            <w:hideMark/>
          </w:tcPr>
          <w:p w14:paraId="77E6C594" w14:textId="77777777" w:rsidR="00A56755" w:rsidRPr="00805244" w:rsidRDefault="00A56755" w:rsidP="00405B39">
            <w:pPr>
              <w:rPr>
                <w:color w:val="auto"/>
              </w:rPr>
            </w:pPr>
            <w:r w:rsidRPr="00805244">
              <w:rPr>
                <w:color w:val="auto"/>
              </w:rPr>
              <w:t>5</w:t>
            </w:r>
          </w:p>
        </w:tc>
        <w:tc>
          <w:tcPr>
            <w:tcW w:w="0" w:type="auto"/>
            <w:hideMark/>
          </w:tcPr>
          <w:p w14:paraId="6B36B1EE" w14:textId="77777777" w:rsidR="00A56755" w:rsidRPr="00805244" w:rsidRDefault="00A56755" w:rsidP="00405B39">
            <w:pPr>
              <w:rPr>
                <w:color w:val="auto"/>
              </w:rPr>
            </w:pPr>
            <w:r w:rsidRPr="00805244">
              <w:rPr>
                <w:color w:val="auto"/>
              </w:rPr>
              <w:t>Mean of 5 items</w:t>
            </w:r>
          </w:p>
        </w:tc>
      </w:tr>
      <w:tr w:rsidR="00A56755" w:rsidRPr="00805244" w14:paraId="1D19ADDE" w14:textId="77777777" w:rsidTr="00A56755">
        <w:trPr>
          <w:jc w:val="center"/>
        </w:trPr>
        <w:tc>
          <w:tcPr>
            <w:tcW w:w="0" w:type="auto"/>
            <w:hideMark/>
          </w:tcPr>
          <w:p w14:paraId="4DFC7C90" w14:textId="77777777" w:rsidR="00A56755" w:rsidRPr="00805244" w:rsidRDefault="00A56755" w:rsidP="00405B39">
            <w:pPr>
              <w:rPr>
                <w:color w:val="auto"/>
              </w:rPr>
            </w:pPr>
            <w:r w:rsidRPr="00805244">
              <w:rPr>
                <w:color w:val="auto"/>
              </w:rPr>
              <w:lastRenderedPageBreak/>
              <w:t>Brand reputation and brand image</w:t>
            </w:r>
          </w:p>
        </w:tc>
        <w:tc>
          <w:tcPr>
            <w:tcW w:w="0" w:type="auto"/>
            <w:hideMark/>
          </w:tcPr>
          <w:p w14:paraId="6A437CEC" w14:textId="77777777" w:rsidR="00A56755" w:rsidRPr="00805244" w:rsidRDefault="00A56755" w:rsidP="00405B39">
            <w:pPr>
              <w:rPr>
                <w:color w:val="auto"/>
              </w:rPr>
            </w:pPr>
            <w:r w:rsidRPr="00805244">
              <w:rPr>
                <w:color w:val="auto"/>
              </w:rPr>
              <w:t>Reputation, positive image, modernity, competence and risk from poor AI management</w:t>
            </w:r>
          </w:p>
        </w:tc>
        <w:tc>
          <w:tcPr>
            <w:tcW w:w="0" w:type="auto"/>
            <w:hideMark/>
          </w:tcPr>
          <w:p w14:paraId="3A1C570E" w14:textId="77777777" w:rsidR="00A56755" w:rsidRPr="00805244" w:rsidRDefault="00A56755" w:rsidP="00405B39">
            <w:pPr>
              <w:rPr>
                <w:color w:val="auto"/>
              </w:rPr>
            </w:pPr>
            <w:r w:rsidRPr="00805244">
              <w:rPr>
                <w:color w:val="auto"/>
              </w:rPr>
              <w:t>5</w:t>
            </w:r>
          </w:p>
        </w:tc>
        <w:tc>
          <w:tcPr>
            <w:tcW w:w="0" w:type="auto"/>
            <w:hideMark/>
          </w:tcPr>
          <w:p w14:paraId="6C448E72" w14:textId="77777777" w:rsidR="00A56755" w:rsidRPr="00805244" w:rsidRDefault="00A56755" w:rsidP="00405B39">
            <w:pPr>
              <w:rPr>
                <w:color w:val="auto"/>
              </w:rPr>
            </w:pPr>
            <w:r w:rsidRPr="00805244">
              <w:rPr>
                <w:color w:val="auto"/>
              </w:rPr>
              <w:t>Mean of 5 items</w:t>
            </w:r>
          </w:p>
        </w:tc>
      </w:tr>
      <w:tr w:rsidR="00A56755" w:rsidRPr="00805244" w14:paraId="6E288CD6" w14:textId="77777777" w:rsidTr="00A56755">
        <w:trPr>
          <w:jc w:val="center"/>
        </w:trPr>
        <w:tc>
          <w:tcPr>
            <w:tcW w:w="0" w:type="auto"/>
            <w:hideMark/>
          </w:tcPr>
          <w:p w14:paraId="7D2FDA43" w14:textId="77777777" w:rsidR="00A56755" w:rsidRPr="00805244" w:rsidRDefault="00A56755" w:rsidP="00405B39">
            <w:pPr>
              <w:rPr>
                <w:color w:val="auto"/>
              </w:rPr>
            </w:pPr>
            <w:r w:rsidRPr="00805244">
              <w:rPr>
                <w:color w:val="auto"/>
              </w:rPr>
              <w:t>Patient loyalty and consumer loyalty</w:t>
            </w:r>
          </w:p>
        </w:tc>
        <w:tc>
          <w:tcPr>
            <w:tcW w:w="0" w:type="auto"/>
            <w:hideMark/>
          </w:tcPr>
          <w:p w14:paraId="2FD53A85" w14:textId="77777777" w:rsidR="00A56755" w:rsidRPr="00805244" w:rsidRDefault="00A56755" w:rsidP="00405B39">
            <w:pPr>
              <w:rPr>
                <w:color w:val="auto"/>
              </w:rPr>
            </w:pPr>
            <w:r w:rsidRPr="00805244">
              <w:rPr>
                <w:color w:val="auto"/>
              </w:rPr>
              <w:t>Continued use, preference, recommendation, long-term relationship and switching intention</w:t>
            </w:r>
          </w:p>
        </w:tc>
        <w:tc>
          <w:tcPr>
            <w:tcW w:w="0" w:type="auto"/>
            <w:hideMark/>
          </w:tcPr>
          <w:p w14:paraId="2232D5A9" w14:textId="77777777" w:rsidR="00A56755" w:rsidRPr="00805244" w:rsidRDefault="00A56755" w:rsidP="00405B39">
            <w:pPr>
              <w:rPr>
                <w:color w:val="auto"/>
              </w:rPr>
            </w:pPr>
            <w:r w:rsidRPr="00805244">
              <w:rPr>
                <w:color w:val="auto"/>
              </w:rPr>
              <w:t>5</w:t>
            </w:r>
          </w:p>
        </w:tc>
        <w:tc>
          <w:tcPr>
            <w:tcW w:w="0" w:type="auto"/>
            <w:hideMark/>
          </w:tcPr>
          <w:p w14:paraId="133B89F7" w14:textId="77777777" w:rsidR="00A56755" w:rsidRPr="00805244" w:rsidRDefault="00A56755" w:rsidP="00405B39">
            <w:pPr>
              <w:rPr>
                <w:color w:val="auto"/>
              </w:rPr>
            </w:pPr>
            <w:r w:rsidRPr="00805244">
              <w:rPr>
                <w:color w:val="auto"/>
              </w:rPr>
              <w:t>Mean of 5 items</w:t>
            </w:r>
          </w:p>
        </w:tc>
      </w:tr>
      <w:tr w:rsidR="00A56755" w:rsidRPr="00805244" w14:paraId="3DC1E34D" w14:textId="77777777" w:rsidTr="00A56755">
        <w:trPr>
          <w:jc w:val="center"/>
        </w:trPr>
        <w:tc>
          <w:tcPr>
            <w:tcW w:w="0" w:type="auto"/>
            <w:hideMark/>
          </w:tcPr>
          <w:p w14:paraId="24AFF238" w14:textId="77777777" w:rsidR="00A56755" w:rsidRPr="00805244" w:rsidRDefault="00A56755" w:rsidP="00405B39">
            <w:pPr>
              <w:rPr>
                <w:color w:val="auto"/>
              </w:rPr>
            </w:pPr>
            <w:r w:rsidRPr="00805244">
              <w:rPr>
                <w:color w:val="auto"/>
              </w:rPr>
              <w:t>Brand competitiveness</w:t>
            </w:r>
          </w:p>
        </w:tc>
        <w:tc>
          <w:tcPr>
            <w:tcW w:w="0" w:type="auto"/>
            <w:hideMark/>
          </w:tcPr>
          <w:p w14:paraId="0CEC0738" w14:textId="77777777" w:rsidR="00A56755" w:rsidRPr="00805244" w:rsidRDefault="00A56755" w:rsidP="00405B39">
            <w:pPr>
              <w:rPr>
                <w:color w:val="auto"/>
              </w:rPr>
            </w:pPr>
            <w:r w:rsidRPr="00805244">
              <w:rPr>
                <w:color w:val="auto"/>
              </w:rPr>
              <w:t>Differentiation, competitive position, attractiveness, responsiveness and competitive advantage</w:t>
            </w:r>
          </w:p>
        </w:tc>
        <w:tc>
          <w:tcPr>
            <w:tcW w:w="0" w:type="auto"/>
            <w:hideMark/>
          </w:tcPr>
          <w:p w14:paraId="55DD9DA6" w14:textId="77777777" w:rsidR="00A56755" w:rsidRPr="00805244" w:rsidRDefault="00A56755" w:rsidP="00405B39">
            <w:pPr>
              <w:rPr>
                <w:color w:val="auto"/>
              </w:rPr>
            </w:pPr>
            <w:r w:rsidRPr="00805244">
              <w:rPr>
                <w:color w:val="auto"/>
              </w:rPr>
              <w:t>5</w:t>
            </w:r>
          </w:p>
        </w:tc>
        <w:tc>
          <w:tcPr>
            <w:tcW w:w="0" w:type="auto"/>
            <w:hideMark/>
          </w:tcPr>
          <w:p w14:paraId="31F5CCE3" w14:textId="77777777" w:rsidR="00A56755" w:rsidRPr="00805244" w:rsidRDefault="00A56755" w:rsidP="00405B39">
            <w:pPr>
              <w:rPr>
                <w:color w:val="auto"/>
              </w:rPr>
            </w:pPr>
            <w:r w:rsidRPr="00805244">
              <w:rPr>
                <w:color w:val="auto"/>
              </w:rPr>
              <w:t>Mean of 5 items</w:t>
            </w:r>
          </w:p>
        </w:tc>
      </w:tr>
    </w:tbl>
    <w:p w14:paraId="5239DBB6" w14:textId="77777777" w:rsidR="00A56755" w:rsidRPr="00805244" w:rsidRDefault="00A56755" w:rsidP="00A56755">
      <w:pPr>
        <w:rPr>
          <w:color w:val="auto"/>
          <w:lang w:val="en-US"/>
        </w:rPr>
      </w:pPr>
      <w:r w:rsidRPr="00805244">
        <w:rPr>
          <w:color w:val="auto"/>
          <w:lang w:val="en-US"/>
        </w:rPr>
        <w:t>The primary instrument thus consisted of 25 attitudinal questions, besides screening, AI-experience and five demographic questions. A composite score was computed when at least 80 percent of the required items were answered (i.e., at least 4 out of 5 items); otherwise, that construct was considered missing from the analysis.</w:t>
      </w:r>
    </w:p>
    <w:p w14:paraId="10AEADB0" w14:textId="77777777" w:rsidR="00A56755" w:rsidRPr="00805244" w:rsidRDefault="00A56755" w:rsidP="00405B39">
      <w:pPr>
        <w:rPr>
          <w:color w:val="auto"/>
        </w:rPr>
      </w:pPr>
      <w:r w:rsidRPr="00805244">
        <w:rPr>
          <w:color w:val="auto"/>
        </w:rPr>
        <w:t>Ranganathan et al. (2024) clarified that validity was concerned with whether a measuring tool was measuring what it was supposed to measure, and reliability was concerned with consistency. The identification of items in Chapter 2 and the three theories supported content validity. Cronbach’s alpha, as presented by Izah et al. (2024), was used as an overall internal-consistency check across the five composite study variables. This overall alpha did not establish the reliability of each individual five-item construct separately.</w:t>
      </w:r>
    </w:p>
    <w:p w14:paraId="1849E0E1" w14:textId="77777777" w:rsidR="00A56755" w:rsidRPr="00805244" w:rsidRDefault="00A56755" w:rsidP="00A56755">
      <w:pPr>
        <w:pStyle w:val="Heading2"/>
        <w:rPr>
          <w:color w:val="auto"/>
          <w:lang w:val="en-US"/>
        </w:rPr>
      </w:pPr>
      <w:bookmarkStart w:id="57" w:name="_Toc241072264"/>
      <w:r w:rsidRPr="00805244">
        <w:rPr>
          <w:color w:val="auto"/>
          <w:lang w:val="en-US"/>
        </w:rPr>
        <w:t>3.7 Data Analysis Method</w:t>
      </w:r>
      <w:bookmarkEnd w:id="57"/>
    </w:p>
    <w:p w14:paraId="6544C418" w14:textId="77777777" w:rsidR="00A56755" w:rsidRPr="00805244" w:rsidRDefault="00A56755" w:rsidP="00A56755">
      <w:pPr>
        <w:rPr>
          <w:color w:val="auto"/>
          <w:lang w:val="en-US"/>
        </w:rPr>
      </w:pPr>
      <w:r w:rsidRPr="00805244">
        <w:rPr>
          <w:color w:val="auto"/>
          <w:lang w:val="en-US"/>
        </w:rPr>
        <w:t>The anonymised data were exported from Microsoft Forms and analysed using IBM SPSS Statistics 30. As Sharifnia et al. (2026) explained, missing, noisy and inconsistent data required systematic identification, treatment and reporting. Variable names, wording of items, response values, composite formulas and exclusion decisions were written in a codebook.</w:t>
      </w:r>
    </w:p>
    <w:p w14:paraId="1A23BAF1" w14:textId="77777777" w:rsidR="00A56755" w:rsidRPr="00805244" w:rsidRDefault="00A56755" w:rsidP="00405B39">
      <w:pPr>
        <w:rPr>
          <w:color w:val="auto"/>
        </w:rPr>
      </w:pPr>
      <w:r w:rsidRPr="00805244">
        <w:rPr>
          <w:color w:val="auto"/>
        </w:rPr>
        <w:lastRenderedPageBreak/>
        <w:t>Before analysis, responses were checked for electronic consent and eligibility. Records were omitted where there was no consent, an eligibility criterion was not passed or more than 20% of the items in a required construct were missing. Submission metadata and identical response patterns were used to determine possible duplicates. Unrealistically short completion times, straight-lining and inconsistent responses were flagged for review instead of being auto-filtered. Univariate values exceeding +3.29 standard deviations were checked, but observations were removed only when there was an obvious error or invalid pattern of responses.</w:t>
      </w:r>
    </w:p>
    <w:p w14:paraId="67C76A71" w14:textId="77777777" w:rsidR="00A56755" w:rsidRPr="00805244" w:rsidRDefault="00A56755" w:rsidP="00405B39">
      <w:pPr>
        <w:rPr>
          <w:color w:val="auto"/>
        </w:rPr>
      </w:pPr>
      <w:r w:rsidRPr="00805244">
        <w:rPr>
          <w:color w:val="auto"/>
        </w:rPr>
        <w:t>Frequencies and percentages summarised demographic variables and AI-enabled healthcare-service use. Means and standard deviations described the five composite study variables. Cronbach’s alpha was reported as an overall consistency diagnostic across these five composite variables, and KMO and Bartlett’s Test were used as preliminary checks of sampling adequacy and factorability. These statistics were interpreted cautiously because they did not establish the reliability or construct validity of each individual scale.</w:t>
      </w:r>
    </w:p>
    <w:p w14:paraId="684B6869" w14:textId="77777777" w:rsidR="00A56755" w:rsidRPr="00805244" w:rsidRDefault="00A56755" w:rsidP="00405B39">
      <w:pPr>
        <w:rPr>
          <w:color w:val="auto"/>
        </w:rPr>
      </w:pPr>
      <w:r w:rsidRPr="00805244">
        <w:rPr>
          <w:color w:val="auto"/>
        </w:rPr>
        <w:t>Pearson correlation was used to quantify the direction and strength of the four reported bivariate associations between perceptions of AI tools and consumer trust, brand reputation and image, patient and consumer loyalty, and brand competitiveness.</w:t>
      </w:r>
    </w:p>
    <w:p w14:paraId="2FF16B8C" w14:textId="77777777" w:rsidR="00A56755" w:rsidRPr="00805244" w:rsidRDefault="00A56755" w:rsidP="00405B39">
      <w:pPr>
        <w:rPr>
          <w:color w:val="auto"/>
        </w:rPr>
      </w:pPr>
      <w:r w:rsidRPr="00805244">
        <w:rPr>
          <w:color w:val="auto"/>
        </w:rPr>
        <w:t>The substantive relationships were tested using four simple linear regression models. In each model, perceptions of AI tools were the predictor, while consumer trust, brand reputation and image, patient and consumer loyalty, and brand competitiveness were analysed separately as outcomes. These models directly matched H1-H4. No control variables, hierarchical regression or mediation analysis were reported.</w:t>
      </w:r>
    </w:p>
    <w:p w14:paraId="5BB7A6CF" w14:textId="77777777" w:rsidR="00A56755" w:rsidRPr="00805244" w:rsidRDefault="00A56755" w:rsidP="00405B39">
      <w:pPr>
        <w:rPr>
          <w:color w:val="auto"/>
        </w:rPr>
      </w:pPr>
      <w:r w:rsidRPr="00805244">
        <w:rPr>
          <w:color w:val="auto"/>
        </w:rPr>
        <w:t>Because the study was cross-sectional and correlational, the regression results were interpreted as statistical associations rather than evidence that AI tools caused changes in trust, loyalty, reputation or competitiveness.</w:t>
      </w:r>
    </w:p>
    <w:p w14:paraId="2F8741F2" w14:textId="77777777" w:rsidR="00A56755" w:rsidRPr="00805244" w:rsidRDefault="00A56755" w:rsidP="00405B39">
      <w:pPr>
        <w:rPr>
          <w:color w:val="auto"/>
          <w:lang w:val="en-US"/>
        </w:rPr>
      </w:pPr>
      <w:r w:rsidRPr="00805244">
        <w:rPr>
          <w:color w:val="auto"/>
        </w:rPr>
        <w:lastRenderedPageBreak/>
        <w:t>Homa-Bonell (2023) argued that p-values should not be interpreted in isolation. Findings were therefore considered using Pearson correlation coefficients, regression coefficients, R², ANOVA statistics and p-values at p &lt; .05. Chicco et al. (2021) showed that R² represented the percentage of variance in an outcome accounted for by a regression model. The overall evidence was used to support or not support the hypotheses; no causality or mediation was asserted.</w:t>
      </w:r>
    </w:p>
    <w:p w14:paraId="72F9A638" w14:textId="77777777" w:rsidR="00A56755" w:rsidRPr="00805244" w:rsidRDefault="00A56755" w:rsidP="00A56755">
      <w:pPr>
        <w:pStyle w:val="Heading2"/>
        <w:rPr>
          <w:color w:val="auto"/>
          <w:lang w:val="en-US"/>
        </w:rPr>
      </w:pPr>
      <w:bookmarkStart w:id="58" w:name="_Toc241072265"/>
      <w:r w:rsidRPr="00805244">
        <w:rPr>
          <w:color w:val="auto"/>
          <w:lang w:val="en-US"/>
        </w:rPr>
        <w:t>3.8 Ethical Consideration</w:t>
      </w:r>
      <w:bookmarkEnd w:id="58"/>
    </w:p>
    <w:p w14:paraId="6E6AB338" w14:textId="77777777" w:rsidR="00A56755" w:rsidRPr="00805244" w:rsidRDefault="00A56755" w:rsidP="00A56755">
      <w:pPr>
        <w:rPr>
          <w:color w:val="auto"/>
          <w:lang w:val="en-US"/>
        </w:rPr>
      </w:pPr>
      <w:r w:rsidRPr="00805244">
        <w:rPr>
          <w:color w:val="auto"/>
          <w:lang w:val="en-US"/>
        </w:rPr>
        <w:t>Recruitment was done after UWTSD ethical approval was granted. Oates et al. (2021) stated that human research needed to address valid consent, withdrawal, confidentiality, anonymity, risk and responsible data stewardship. The participants were thus issued with a plain-language information sheet and gave electronic consent prior to the questionnaire. The respondents participated voluntarily, were not deceived and were free to drop out of the survey by closing it before submitting their responses.</w:t>
      </w:r>
    </w:p>
    <w:p w14:paraId="0E6A555F" w14:textId="77777777" w:rsidR="00A56755" w:rsidRPr="00805244" w:rsidRDefault="00A56755" w:rsidP="00A56755">
      <w:pPr>
        <w:rPr>
          <w:color w:val="auto"/>
          <w:lang w:val="en-US"/>
        </w:rPr>
      </w:pPr>
      <w:r w:rsidRPr="00805244">
        <w:rPr>
          <w:color w:val="auto"/>
          <w:lang w:val="en-US"/>
        </w:rPr>
        <w:t>Withdrawal after submission was not possible because anonymous responses could not be traced back to an individual. No NHS numbers, diagnoses, medical records or treatment histories, addresses, contact details or names were taken. Only aggregate results were reported.</w:t>
      </w:r>
    </w:p>
    <w:p w14:paraId="2059D1E4" w14:textId="77777777" w:rsidR="00A56755" w:rsidRPr="00805244" w:rsidRDefault="00A56755" w:rsidP="00A56755">
      <w:pPr>
        <w:rPr>
          <w:color w:val="auto"/>
          <w:lang w:val="en-US"/>
        </w:rPr>
      </w:pPr>
      <w:r w:rsidRPr="00805244">
        <w:rPr>
          <w:color w:val="auto"/>
          <w:lang w:val="en-US"/>
        </w:rPr>
        <w:t>According to the Information Commissioner’s Office (2025), good anonymisation ensured that the risk of identification was sufficiently remote and recognised that identifiers were not limited to names. Open-ended questions and unnecessary indirect identifiers, therefore, were not included, demographic groups were broad and small subgroups were not reported in ways that could reveal identities.</w:t>
      </w:r>
    </w:p>
    <w:p w14:paraId="30D5CA08" w14:textId="77777777" w:rsidR="00A56755" w:rsidRPr="00805244" w:rsidRDefault="00A56755" w:rsidP="00A56755">
      <w:pPr>
        <w:rPr>
          <w:color w:val="auto"/>
          <w:lang w:val="en-US"/>
        </w:rPr>
      </w:pPr>
      <w:r w:rsidRPr="00805244">
        <w:rPr>
          <w:color w:val="auto"/>
          <w:lang w:val="en-US"/>
        </w:rPr>
        <w:t xml:space="preserve">Electronic files were password-protected and were accessible only to the researcher and supervisor. To address security, ethical and legal concerns, the University of Wales Trinity Saint David (UWTSD, 2022) required research data to be managed securely throughout their lifecycle. The codebook and anonymised data were retained only for the institutionally </w:t>
      </w:r>
      <w:r w:rsidRPr="00805244">
        <w:rPr>
          <w:color w:val="auto"/>
          <w:lang w:val="en-US"/>
        </w:rPr>
        <w:lastRenderedPageBreak/>
        <w:t>approved period and were safely destroyed in accordance with the approved protocol. Raw responses were not published or re-used in another study.</w:t>
      </w:r>
    </w:p>
    <w:p w14:paraId="14B46336" w14:textId="77777777" w:rsidR="00A56755" w:rsidRPr="00805244" w:rsidRDefault="00A56755" w:rsidP="00A56755">
      <w:pPr>
        <w:rPr>
          <w:color w:val="auto"/>
          <w:lang w:val="en-US"/>
        </w:rPr>
      </w:pPr>
      <w:r w:rsidRPr="00805244">
        <w:rPr>
          <w:color w:val="auto"/>
          <w:lang w:val="en-US"/>
        </w:rPr>
        <w:t>According to UK Research and Innovation (2024), it was a violation of confidentiality and research integrity to put confidential research material in generative-AI systems. Raw participant data were therefore not uploaded to free AI tools. These measures combined to operationalise informed consent, data minimisation, anonymity, controlled access and responsible disposal.</w:t>
      </w:r>
    </w:p>
    <w:p w14:paraId="674EBAF9" w14:textId="77777777" w:rsidR="00A56755" w:rsidRPr="00805244" w:rsidRDefault="00A56755" w:rsidP="00A56755">
      <w:pPr>
        <w:pStyle w:val="Heading2"/>
        <w:rPr>
          <w:color w:val="auto"/>
          <w:lang w:val="en-US"/>
        </w:rPr>
      </w:pPr>
      <w:bookmarkStart w:id="59" w:name="_Toc241072266"/>
      <w:r w:rsidRPr="00805244">
        <w:rPr>
          <w:color w:val="auto"/>
          <w:lang w:val="en-US"/>
        </w:rPr>
        <w:t>3.9 Summary</w:t>
      </w:r>
      <w:bookmarkEnd w:id="59"/>
    </w:p>
    <w:p w14:paraId="5267D0AD" w14:textId="77777777" w:rsidR="00C022FD" w:rsidRPr="00805244" w:rsidRDefault="00A56755" w:rsidP="00405B39">
      <w:pPr>
        <w:rPr>
          <w:color w:val="auto"/>
        </w:rPr>
      </w:pPr>
      <w:r w:rsidRPr="00805244">
        <w:rPr>
          <w:color w:val="auto"/>
        </w:rPr>
        <w:t>This chapter laid down a mono-method, positivist, deductive and quantitative methodology. The aim and hypotheses of the research were consistent with the five measurement variables and four simple regression models used, as well as a convenience sample and cross-sectional online questionnaire. Data screening, cautious reliability and factorability checks, and ethical protection supported the research process. The statistical results were reported and interpreted in Chapter 4.</w:t>
      </w:r>
    </w:p>
    <w:p w14:paraId="73BD5E1A" w14:textId="77777777" w:rsidR="002833A8" w:rsidRPr="00805244" w:rsidRDefault="002833A8">
      <w:pPr>
        <w:rPr>
          <w:color w:val="auto"/>
          <w:lang w:val="en-US"/>
        </w:rPr>
      </w:pPr>
      <w:r w:rsidRPr="00805244">
        <w:rPr>
          <w:color w:val="auto"/>
          <w:lang w:val="en-US"/>
        </w:rPr>
        <w:br w:type="page"/>
      </w:r>
    </w:p>
    <w:p w14:paraId="42D002CE" w14:textId="77777777" w:rsidR="002833A8" w:rsidRPr="00805244" w:rsidRDefault="002833A8" w:rsidP="002833A8">
      <w:pPr>
        <w:pStyle w:val="Heading1"/>
        <w:rPr>
          <w:color w:val="auto"/>
        </w:rPr>
      </w:pPr>
      <w:bookmarkStart w:id="60" w:name="_Toc241072267"/>
      <w:r w:rsidRPr="00805244">
        <w:rPr>
          <w:color w:val="auto"/>
        </w:rPr>
        <w:lastRenderedPageBreak/>
        <w:t>Chapter 4: Findings and Discussion</w:t>
      </w:r>
      <w:bookmarkEnd w:id="60"/>
    </w:p>
    <w:p w14:paraId="41088050" w14:textId="77777777" w:rsidR="002833A8" w:rsidRPr="00805244" w:rsidRDefault="002833A8" w:rsidP="002833A8">
      <w:pPr>
        <w:pStyle w:val="Heading2"/>
        <w:rPr>
          <w:color w:val="auto"/>
        </w:rPr>
      </w:pPr>
      <w:bookmarkStart w:id="61" w:name="_n6kiky5qg0m2" w:colFirst="0" w:colLast="0"/>
      <w:bookmarkStart w:id="62" w:name="_Toc241072268"/>
      <w:bookmarkEnd w:id="61"/>
      <w:r w:rsidRPr="00805244">
        <w:rPr>
          <w:color w:val="auto"/>
        </w:rPr>
        <w:t>4.1 Introduction</w:t>
      </w:r>
      <w:bookmarkEnd w:id="62"/>
    </w:p>
    <w:p w14:paraId="7E2F50FB" w14:textId="77777777" w:rsidR="002833A8" w:rsidRPr="00805244" w:rsidRDefault="002833A8" w:rsidP="00405B39">
      <w:pPr>
        <w:rPr>
          <w:color w:val="auto"/>
        </w:rPr>
      </w:pPr>
      <w:r w:rsidRPr="00805244">
        <w:rPr>
          <w:color w:val="auto"/>
        </w:rPr>
        <w:t>The chapter discusses the findings of the survey conducted for this research and tests the suggested hypothesis models using SPSS software. Each study variable was measured using five items, and the average score was used to indicate overall perception of 170 respondents for each variable. Possible response patterns are also explored based on the demographic characteristics of the respondents. Reliability was assessed through the reported overall Cronbach’s alpha, while KMO and Bartlett’s Test provided a preliminary factorability check. Furthermore, Pearson correlation and simple linear regression were used to examine the reported relationships between AI tools and the four study outcomes.</w:t>
      </w:r>
    </w:p>
    <w:p w14:paraId="784297CE" w14:textId="77777777" w:rsidR="002833A8" w:rsidRPr="00805244" w:rsidRDefault="002833A8" w:rsidP="002833A8">
      <w:pPr>
        <w:pStyle w:val="Heading2"/>
        <w:rPr>
          <w:color w:val="auto"/>
        </w:rPr>
      </w:pPr>
      <w:bookmarkStart w:id="63" w:name="_3nfh393ncpxs" w:colFirst="0" w:colLast="0"/>
      <w:bookmarkStart w:id="64" w:name="_Toc241072269"/>
      <w:bookmarkEnd w:id="63"/>
      <w:r w:rsidRPr="00805244">
        <w:rPr>
          <w:color w:val="auto"/>
        </w:rPr>
        <w:t>4.2 Demographic Analysis</w:t>
      </w:r>
      <w:bookmarkEnd w:id="64"/>
    </w:p>
    <w:p w14:paraId="2DC6A5F5" w14:textId="77777777" w:rsidR="002833A8" w:rsidRPr="00805244" w:rsidRDefault="002833A8" w:rsidP="002833A8">
      <w:pPr>
        <w:jc w:val="center"/>
        <w:rPr>
          <w:color w:val="auto"/>
        </w:rPr>
      </w:pPr>
      <w:r w:rsidRPr="00805244">
        <w:rPr>
          <w:noProof/>
          <w:color w:val="auto"/>
        </w:rPr>
        <w:drawing>
          <wp:inline distT="114300" distB="114300" distL="114300" distR="114300" wp14:anchorId="6F689462" wp14:editId="1A117082">
            <wp:extent cx="5715000" cy="2609850"/>
            <wp:effectExtent l="0" t="0" r="0" b="0"/>
            <wp:docPr id="67467499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15000" cy="2609850"/>
                    </a:xfrm>
                    <a:prstGeom prst="rect">
                      <a:avLst/>
                    </a:prstGeom>
                    <a:ln/>
                  </pic:spPr>
                </pic:pic>
              </a:graphicData>
            </a:graphic>
          </wp:inline>
        </w:drawing>
      </w:r>
    </w:p>
    <w:p w14:paraId="38D9860A" w14:textId="77777777" w:rsidR="002833A8" w:rsidRPr="00805244" w:rsidRDefault="002833A8" w:rsidP="007036B2">
      <w:pPr>
        <w:pStyle w:val="Heading5"/>
        <w:rPr>
          <w:b w:val="0"/>
          <w:color w:val="auto"/>
        </w:rPr>
      </w:pPr>
      <w:bookmarkStart w:id="65" w:name="_Toc241072205"/>
      <w:r w:rsidRPr="00805244">
        <w:rPr>
          <w:color w:val="auto"/>
        </w:rPr>
        <w:t>Table 1: Demographic Frequency</w:t>
      </w:r>
      <w:bookmarkEnd w:id="65"/>
    </w:p>
    <w:p w14:paraId="0BF805E7" w14:textId="77777777" w:rsidR="002833A8" w:rsidRPr="00805244" w:rsidRDefault="002833A8" w:rsidP="002833A8">
      <w:pPr>
        <w:rPr>
          <w:color w:val="auto"/>
        </w:rPr>
      </w:pPr>
      <w:r w:rsidRPr="00805244">
        <w:rPr>
          <w:color w:val="auto"/>
        </w:rPr>
        <w:t xml:space="preserve">There were no missing values on five variables in demographic responses of 170 participants and the results are summarised in Table 1. Mean age score is 2.66, and median and mode are 3, suggesting that 35-44 years category is the most frequent. Male respondents were greater than female respondents, with a mean of 1.47, a median of 1 and a mode of 1 for gender. </w:t>
      </w:r>
      <w:r w:rsidRPr="00805244">
        <w:rPr>
          <w:color w:val="auto"/>
        </w:rPr>
        <w:lastRenderedPageBreak/>
        <w:t>Education had a mean of 3.24 and a mode of 3, indicating that the largest group were those with a bachelor’s degree. Mean for employment was 3.71, median was 4 with multiple modes, showing a varied employment profile. AI-enabled healthcare service use had a mean score of 2.99 and a mode of 4, indicating that AI-personalised healthcare communication was the most popular healthcare service among participants in this survey.</w:t>
      </w:r>
    </w:p>
    <w:p w14:paraId="45072158" w14:textId="77777777" w:rsidR="002833A8" w:rsidRPr="00805244" w:rsidRDefault="002833A8" w:rsidP="002833A8">
      <w:pPr>
        <w:jc w:val="center"/>
        <w:rPr>
          <w:color w:val="auto"/>
        </w:rPr>
      </w:pPr>
      <w:r w:rsidRPr="00805244">
        <w:rPr>
          <w:noProof/>
          <w:color w:val="auto"/>
        </w:rPr>
        <w:drawing>
          <wp:inline distT="114300" distB="114300" distL="114300" distR="114300" wp14:anchorId="2A15FD46" wp14:editId="28A23C4D">
            <wp:extent cx="5731200" cy="3378200"/>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3378200"/>
                    </a:xfrm>
                    <a:prstGeom prst="rect">
                      <a:avLst/>
                    </a:prstGeom>
                    <a:ln/>
                  </pic:spPr>
                </pic:pic>
              </a:graphicData>
            </a:graphic>
          </wp:inline>
        </w:drawing>
      </w:r>
    </w:p>
    <w:p w14:paraId="3D97102D" w14:textId="77777777" w:rsidR="002833A8" w:rsidRPr="00805244" w:rsidRDefault="002833A8" w:rsidP="007036B2">
      <w:pPr>
        <w:pStyle w:val="Heading4"/>
        <w:rPr>
          <w:color w:val="auto"/>
        </w:rPr>
      </w:pPr>
      <w:bookmarkStart w:id="66" w:name="_Toc241072223"/>
      <w:r w:rsidRPr="00805244">
        <w:rPr>
          <w:color w:val="auto"/>
        </w:rPr>
        <w:t>Figure 7: Age</w:t>
      </w:r>
      <w:bookmarkEnd w:id="66"/>
    </w:p>
    <w:p w14:paraId="675454B4" w14:textId="77777777" w:rsidR="002833A8" w:rsidRPr="00805244" w:rsidRDefault="002833A8" w:rsidP="002833A8">
      <w:pPr>
        <w:rPr>
          <w:color w:val="auto"/>
        </w:rPr>
      </w:pPr>
      <w:r w:rsidRPr="00805244">
        <w:rPr>
          <w:color w:val="auto"/>
        </w:rPr>
        <w:t>Figure 7 indicates that respondents aged 35-44 years, totalling up to 30.59% as the biggest group, while lowest age group of 55 years accounted for 4.71% of all respondents.</w:t>
      </w:r>
    </w:p>
    <w:p w14:paraId="29426CBC" w14:textId="77777777" w:rsidR="002833A8" w:rsidRPr="00805244" w:rsidRDefault="002833A8" w:rsidP="002833A8">
      <w:pPr>
        <w:jc w:val="center"/>
        <w:rPr>
          <w:b/>
          <w:bCs/>
          <w:color w:val="auto"/>
        </w:rPr>
      </w:pPr>
      <w:r w:rsidRPr="00805244">
        <w:rPr>
          <w:b/>
          <w:bCs/>
          <w:noProof/>
          <w:color w:val="auto"/>
        </w:rPr>
        <w:lastRenderedPageBreak/>
        <w:drawing>
          <wp:inline distT="114300" distB="114300" distL="114300" distR="114300" wp14:anchorId="72F00F97" wp14:editId="7E9307D7">
            <wp:extent cx="5731200" cy="337820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3378200"/>
                    </a:xfrm>
                    <a:prstGeom prst="rect">
                      <a:avLst/>
                    </a:prstGeom>
                    <a:ln/>
                  </pic:spPr>
                </pic:pic>
              </a:graphicData>
            </a:graphic>
          </wp:inline>
        </w:drawing>
      </w:r>
    </w:p>
    <w:p w14:paraId="74523EFC" w14:textId="77777777" w:rsidR="002833A8" w:rsidRPr="00805244" w:rsidRDefault="002833A8" w:rsidP="007036B2">
      <w:pPr>
        <w:pStyle w:val="Heading4"/>
        <w:rPr>
          <w:color w:val="auto"/>
        </w:rPr>
      </w:pPr>
      <w:bookmarkStart w:id="67" w:name="_Toc241072224"/>
      <w:r w:rsidRPr="00805244">
        <w:rPr>
          <w:color w:val="auto"/>
        </w:rPr>
        <w:t>Figure 8: Gender</w:t>
      </w:r>
      <w:bookmarkEnd w:id="67"/>
    </w:p>
    <w:p w14:paraId="12474FD2" w14:textId="77777777" w:rsidR="002833A8" w:rsidRPr="00805244" w:rsidRDefault="002833A8" w:rsidP="002833A8">
      <w:pPr>
        <w:rPr>
          <w:color w:val="auto"/>
        </w:rPr>
      </w:pPr>
      <w:r w:rsidRPr="00805244">
        <w:rPr>
          <w:color w:val="auto"/>
        </w:rPr>
        <w:t>Figure 8 indicates that male respondents represented the highest proportion at 52.94%, while female respondents accounted for lowest at 47.06%. The difference is relatively small, indicating that the sample is reasonably balanced in terms of gender.</w:t>
      </w:r>
    </w:p>
    <w:p w14:paraId="54CDF1F2" w14:textId="77777777" w:rsidR="002833A8" w:rsidRPr="00805244" w:rsidRDefault="002833A8" w:rsidP="002833A8">
      <w:pPr>
        <w:jc w:val="center"/>
        <w:rPr>
          <w:b/>
          <w:bCs/>
          <w:color w:val="auto"/>
        </w:rPr>
      </w:pPr>
      <w:r w:rsidRPr="00805244">
        <w:rPr>
          <w:b/>
          <w:bCs/>
          <w:noProof/>
          <w:color w:val="auto"/>
        </w:rPr>
        <w:drawing>
          <wp:inline distT="114300" distB="114300" distL="114300" distR="114300" wp14:anchorId="69A0CA33" wp14:editId="5879F38C">
            <wp:extent cx="5731200" cy="3378200"/>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31200" cy="3378200"/>
                    </a:xfrm>
                    <a:prstGeom prst="rect">
                      <a:avLst/>
                    </a:prstGeom>
                    <a:ln/>
                  </pic:spPr>
                </pic:pic>
              </a:graphicData>
            </a:graphic>
          </wp:inline>
        </w:drawing>
      </w:r>
    </w:p>
    <w:p w14:paraId="7BC7B5C4" w14:textId="77777777" w:rsidR="002833A8" w:rsidRPr="00805244" w:rsidRDefault="002833A8" w:rsidP="007036B2">
      <w:pPr>
        <w:pStyle w:val="Heading4"/>
        <w:rPr>
          <w:color w:val="auto"/>
        </w:rPr>
      </w:pPr>
      <w:bookmarkStart w:id="68" w:name="_Toc241072225"/>
      <w:r w:rsidRPr="00805244">
        <w:rPr>
          <w:color w:val="auto"/>
        </w:rPr>
        <w:lastRenderedPageBreak/>
        <w:t>Figure 9: Education Level</w:t>
      </w:r>
      <w:bookmarkEnd w:id="68"/>
    </w:p>
    <w:p w14:paraId="37950CC6" w14:textId="77777777" w:rsidR="002833A8" w:rsidRPr="00805244" w:rsidRDefault="002833A8" w:rsidP="002833A8">
      <w:pPr>
        <w:rPr>
          <w:color w:val="auto"/>
        </w:rPr>
      </w:pPr>
      <w:r w:rsidRPr="00805244">
        <w:rPr>
          <w:color w:val="auto"/>
        </w:rPr>
        <w:t xml:space="preserve">Figure 9 shows that most of the respondents, 40.59%, had a Bachelor's degree, while only 2.35% </w:t>
      </w:r>
      <w:r w:rsidR="007036B2" w:rsidRPr="00805244">
        <w:rPr>
          <w:color w:val="auto"/>
        </w:rPr>
        <w:t xml:space="preserve">of </w:t>
      </w:r>
      <w:r w:rsidRPr="00805244">
        <w:rPr>
          <w:color w:val="auto"/>
        </w:rPr>
        <w:t>participants are categorised as “secondary and below education”.</w:t>
      </w:r>
    </w:p>
    <w:p w14:paraId="6C17E969" w14:textId="77777777" w:rsidR="002833A8" w:rsidRPr="00805244" w:rsidRDefault="002833A8" w:rsidP="002833A8">
      <w:pPr>
        <w:jc w:val="center"/>
        <w:rPr>
          <w:b/>
          <w:bCs/>
          <w:color w:val="auto"/>
        </w:rPr>
      </w:pPr>
      <w:r w:rsidRPr="00805244">
        <w:rPr>
          <w:b/>
          <w:bCs/>
          <w:noProof/>
          <w:color w:val="auto"/>
        </w:rPr>
        <w:drawing>
          <wp:inline distT="114300" distB="114300" distL="114300" distR="114300" wp14:anchorId="598126B6" wp14:editId="4AB700B0">
            <wp:extent cx="5731200" cy="33782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731200" cy="3378200"/>
                    </a:xfrm>
                    <a:prstGeom prst="rect">
                      <a:avLst/>
                    </a:prstGeom>
                    <a:ln/>
                  </pic:spPr>
                </pic:pic>
              </a:graphicData>
            </a:graphic>
          </wp:inline>
        </w:drawing>
      </w:r>
    </w:p>
    <w:p w14:paraId="6C62470B" w14:textId="77777777" w:rsidR="002833A8" w:rsidRPr="00805244" w:rsidRDefault="002833A8" w:rsidP="007036B2">
      <w:pPr>
        <w:pStyle w:val="Heading4"/>
        <w:rPr>
          <w:color w:val="auto"/>
        </w:rPr>
      </w:pPr>
      <w:bookmarkStart w:id="69" w:name="_Toc241072226"/>
      <w:r w:rsidRPr="00805244">
        <w:rPr>
          <w:color w:val="auto"/>
        </w:rPr>
        <w:t>Figure 10: Employment Status</w:t>
      </w:r>
      <w:bookmarkEnd w:id="69"/>
    </w:p>
    <w:p w14:paraId="114C7267" w14:textId="77777777" w:rsidR="002833A8" w:rsidRPr="00805244" w:rsidRDefault="002833A8" w:rsidP="002833A8">
      <w:pPr>
        <w:rPr>
          <w:color w:val="auto"/>
        </w:rPr>
      </w:pPr>
      <w:r w:rsidRPr="00805244">
        <w:rPr>
          <w:color w:val="auto"/>
        </w:rPr>
        <w:t>According to Figure 10, the highest proportion, accounting for 27.65% of all respondents, was in the economically active group (full-time and part-time employees), while only 2.35% of respondents belonged to the retired group.</w:t>
      </w:r>
    </w:p>
    <w:p w14:paraId="3CCD8135" w14:textId="77777777" w:rsidR="002833A8" w:rsidRPr="00805244" w:rsidRDefault="002833A8" w:rsidP="002833A8">
      <w:pPr>
        <w:jc w:val="center"/>
        <w:rPr>
          <w:b/>
          <w:bCs/>
          <w:color w:val="auto"/>
        </w:rPr>
      </w:pPr>
      <w:r w:rsidRPr="00805244">
        <w:rPr>
          <w:b/>
          <w:bCs/>
          <w:noProof/>
          <w:color w:val="auto"/>
        </w:rPr>
        <w:lastRenderedPageBreak/>
        <w:drawing>
          <wp:inline distT="114300" distB="114300" distL="114300" distR="114300" wp14:anchorId="69A24158" wp14:editId="10B1ABE8">
            <wp:extent cx="5731200" cy="3378200"/>
            <wp:effectExtent l="0" t="0" r="0" b="0"/>
            <wp:docPr id="14010752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731200" cy="3378200"/>
                    </a:xfrm>
                    <a:prstGeom prst="rect">
                      <a:avLst/>
                    </a:prstGeom>
                    <a:ln/>
                  </pic:spPr>
                </pic:pic>
              </a:graphicData>
            </a:graphic>
          </wp:inline>
        </w:drawing>
      </w:r>
    </w:p>
    <w:p w14:paraId="32E2930A" w14:textId="77777777" w:rsidR="002833A8" w:rsidRPr="00805244" w:rsidRDefault="002833A8" w:rsidP="00405B39">
      <w:pPr>
        <w:pStyle w:val="Heading4"/>
        <w:rPr>
          <w:color w:val="auto"/>
        </w:rPr>
      </w:pPr>
      <w:bookmarkStart w:id="70" w:name="_Toc241072227"/>
      <w:r w:rsidRPr="00805244">
        <w:rPr>
          <w:color w:val="auto"/>
        </w:rPr>
        <w:t>Figure 11: Use of AI-enabled Healthcare Services</w:t>
      </w:r>
      <w:bookmarkEnd w:id="70"/>
    </w:p>
    <w:p w14:paraId="392FB6BB" w14:textId="77777777" w:rsidR="002833A8" w:rsidRPr="00805244" w:rsidRDefault="002833A8" w:rsidP="002833A8">
      <w:pPr>
        <w:rPr>
          <w:color w:val="auto"/>
        </w:rPr>
      </w:pPr>
      <w:r w:rsidRPr="00805244">
        <w:rPr>
          <w:color w:val="auto"/>
        </w:rPr>
        <w:t>Figure 11 indicates that “AI-personalised healthcare communication” was most commonly used at 33.53%, whereas “AI-supported monitoring or recommendations” recorded the lowest usage at 6.47%.</w:t>
      </w:r>
    </w:p>
    <w:p w14:paraId="76820470" w14:textId="77777777" w:rsidR="002833A8" w:rsidRPr="00805244" w:rsidRDefault="002833A8" w:rsidP="002833A8">
      <w:pPr>
        <w:pStyle w:val="Heading2"/>
        <w:rPr>
          <w:color w:val="auto"/>
        </w:rPr>
      </w:pPr>
      <w:bookmarkStart w:id="71" w:name="_ctd0fy34f3ue" w:colFirst="0" w:colLast="0"/>
      <w:bookmarkStart w:id="72" w:name="_Toc241072270"/>
      <w:bookmarkEnd w:id="71"/>
      <w:r w:rsidRPr="00805244">
        <w:rPr>
          <w:color w:val="auto"/>
        </w:rPr>
        <w:t>4.3 Descriptive Analysis</w:t>
      </w:r>
      <w:bookmarkEnd w:id="72"/>
    </w:p>
    <w:p w14:paraId="74F13B17" w14:textId="77777777" w:rsidR="002833A8" w:rsidRPr="00805244" w:rsidRDefault="002833A8" w:rsidP="002833A8">
      <w:pPr>
        <w:jc w:val="center"/>
        <w:rPr>
          <w:color w:val="auto"/>
        </w:rPr>
      </w:pPr>
      <w:r w:rsidRPr="00805244">
        <w:rPr>
          <w:noProof/>
          <w:color w:val="auto"/>
        </w:rPr>
        <w:drawing>
          <wp:inline distT="114300" distB="114300" distL="114300" distR="114300" wp14:anchorId="0B1C9C15" wp14:editId="639C78F7">
            <wp:extent cx="5143500" cy="223837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143500" cy="2238375"/>
                    </a:xfrm>
                    <a:prstGeom prst="rect">
                      <a:avLst/>
                    </a:prstGeom>
                    <a:ln/>
                  </pic:spPr>
                </pic:pic>
              </a:graphicData>
            </a:graphic>
          </wp:inline>
        </w:drawing>
      </w:r>
    </w:p>
    <w:p w14:paraId="6574CBAD" w14:textId="77777777" w:rsidR="002833A8" w:rsidRPr="00805244" w:rsidRDefault="002833A8" w:rsidP="007036B2">
      <w:pPr>
        <w:pStyle w:val="Heading5"/>
        <w:rPr>
          <w:color w:val="auto"/>
        </w:rPr>
      </w:pPr>
      <w:bookmarkStart w:id="73" w:name="_Toc241072206"/>
      <w:r w:rsidRPr="00805244">
        <w:rPr>
          <w:color w:val="auto"/>
        </w:rPr>
        <w:lastRenderedPageBreak/>
        <w:t>Table 2: Descriptive Statistics</w:t>
      </w:r>
      <w:bookmarkEnd w:id="73"/>
    </w:p>
    <w:p w14:paraId="4CB6A275" w14:textId="77777777" w:rsidR="002833A8" w:rsidRPr="00805244" w:rsidRDefault="002833A8" w:rsidP="00405B39">
      <w:pPr>
        <w:rPr>
          <w:color w:val="auto"/>
        </w:rPr>
      </w:pPr>
      <w:r w:rsidRPr="00805244">
        <w:rPr>
          <w:color w:val="auto"/>
        </w:rPr>
        <w:t>Table 2 shows the descriptive statistics of 170 valid responses to identify the survey trends and patterns. Minimum and maximum scores were 1 and 5 for all variables, indicating that participants used a full range of scores. “Mean score” for “AI Tools in UK Healthcare Services” was 3.9824, which suggests that respondents had a positive attitude towards the role of AI tools in enhancing accessibility, communication, personalisation and healthcare service delivery. A score around 4 means that participants generally agreed with those statements (Fangni, 2025). This positive attitude aligns with the findings of Ogundare et al. (2025), which indicated that patient attitudes towards the use of AI can influence their care experience. Table 2 shows that “Consumer Trust” had a mean of 4.0024, which means respondents had a positive attitude towards AI-supported healthcare. Comparatively greater variation in trust perceptions was indicated by its standard deviation of 0.86346, which was highest of all variables. Gong et al. (2024) reported that patient knowledge of AI influences their trust towards AI medical services.</w:t>
      </w:r>
    </w:p>
    <w:p w14:paraId="158350F3" w14:textId="77777777" w:rsidR="002833A8" w:rsidRPr="00805244" w:rsidRDefault="002833A8" w:rsidP="00405B39">
      <w:pPr>
        <w:rPr>
          <w:color w:val="auto"/>
        </w:rPr>
      </w:pPr>
      <w:r w:rsidRPr="00805244">
        <w:rPr>
          <w:color w:val="auto"/>
        </w:rPr>
        <w:t>Mean and standard deviation for “Brand Reputation and Brand Image” were 4.0588 and 0.79812, respectively. It shows that participants agree with effective utilisation of AI, which can reinforce healthcare-provider image. Moreover, Razzaq et al. (2024) discovered that brand image of the hospital enhances the link between service quality and patient loyalty. “Patient Loyalty and Consumer Loyalty” scored a mean of 4.0553 and a standard deviation of 0.85048, representing some variation in loyalty perception. Based on the findings of Pratami et al. (2023), it can be concluded that digital patient experience, innovation and service quality can collectively affect patient loyalty. “Brand Competitiveness” had a mean of 4.0824, which indicated strong agreement with statements linking AI to competitive advantage and differentiation. Therefore, respondents associated AI positively with healthcare organisations' competitive positioning (Ali Mohamad et al., 2023). As all means were close to 4, Table 2 reflects positive perceptions for each of the variables.</w:t>
      </w:r>
    </w:p>
    <w:p w14:paraId="69C54A13" w14:textId="77777777" w:rsidR="002833A8" w:rsidRPr="00805244" w:rsidRDefault="002833A8" w:rsidP="002833A8">
      <w:pPr>
        <w:pStyle w:val="Heading2"/>
        <w:rPr>
          <w:color w:val="auto"/>
        </w:rPr>
      </w:pPr>
      <w:bookmarkStart w:id="74" w:name="_9k10hsn5djnp" w:colFirst="0" w:colLast="0"/>
      <w:bookmarkStart w:id="75" w:name="_Toc241072271"/>
      <w:bookmarkEnd w:id="74"/>
      <w:r w:rsidRPr="00805244">
        <w:rPr>
          <w:color w:val="auto"/>
        </w:rPr>
        <w:lastRenderedPageBreak/>
        <w:t>4.4 Reliability Analysis</w:t>
      </w:r>
      <w:bookmarkEnd w:id="75"/>
    </w:p>
    <w:p w14:paraId="50B7A5E6" w14:textId="77777777" w:rsidR="002833A8" w:rsidRPr="00805244" w:rsidRDefault="002833A8" w:rsidP="002833A8">
      <w:pPr>
        <w:jc w:val="center"/>
        <w:rPr>
          <w:color w:val="auto"/>
        </w:rPr>
      </w:pPr>
      <w:r w:rsidRPr="00805244">
        <w:rPr>
          <w:noProof/>
          <w:color w:val="auto"/>
        </w:rPr>
        <w:drawing>
          <wp:inline distT="114300" distB="114300" distL="114300" distR="114300" wp14:anchorId="04D9836F" wp14:editId="2793FBCA">
            <wp:extent cx="1724025" cy="904875"/>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1"/>
                    <a:srcRect/>
                    <a:stretch>
                      <a:fillRect/>
                    </a:stretch>
                  </pic:blipFill>
                  <pic:spPr>
                    <a:xfrm>
                      <a:off x="0" y="0"/>
                      <a:ext cx="1724025" cy="904875"/>
                    </a:xfrm>
                    <a:prstGeom prst="rect">
                      <a:avLst/>
                    </a:prstGeom>
                    <a:ln/>
                  </pic:spPr>
                </pic:pic>
              </a:graphicData>
            </a:graphic>
          </wp:inline>
        </w:drawing>
      </w:r>
    </w:p>
    <w:p w14:paraId="30645115" w14:textId="77777777" w:rsidR="002833A8" w:rsidRPr="00805244" w:rsidRDefault="002833A8" w:rsidP="007036B2">
      <w:pPr>
        <w:pStyle w:val="Heading5"/>
        <w:rPr>
          <w:color w:val="auto"/>
        </w:rPr>
      </w:pPr>
      <w:bookmarkStart w:id="76" w:name="_Toc241072207"/>
      <w:r w:rsidRPr="00805244">
        <w:rPr>
          <w:color w:val="auto"/>
        </w:rPr>
        <w:t>Table 3: Reliability Statistics</w:t>
      </w:r>
      <w:bookmarkEnd w:id="76"/>
    </w:p>
    <w:p w14:paraId="13875505" w14:textId="77777777" w:rsidR="002833A8" w:rsidRPr="00805244" w:rsidRDefault="002833A8" w:rsidP="00405B39">
      <w:pPr>
        <w:rPr>
          <w:color w:val="auto"/>
        </w:rPr>
      </w:pPr>
      <w:r w:rsidRPr="00805244">
        <w:rPr>
          <w:color w:val="auto"/>
        </w:rPr>
        <w:t>Table 3 reports a Cronbach's Alpha value of 0.949 across the five composite research variables, indicating high overall internal consistency among these variables. Cronbach's Alpha assesses the consistency of items considered as a set, and values of 0.70 or above are commonly treated as acceptable (Izah et al., 2024). However, because the reported alpha was calculated across five distinct composite variables rather than separately within each five-item construct, it should not be interpreted as proof that every individual construct was independently reliable.</w:t>
      </w:r>
    </w:p>
    <w:p w14:paraId="49D551BF" w14:textId="77777777" w:rsidR="002833A8" w:rsidRPr="00805244" w:rsidRDefault="002833A8" w:rsidP="002833A8">
      <w:pPr>
        <w:pStyle w:val="Heading2"/>
        <w:rPr>
          <w:color w:val="auto"/>
        </w:rPr>
      </w:pPr>
      <w:bookmarkStart w:id="77" w:name="_jmuk6tmnx22l" w:colFirst="0" w:colLast="0"/>
      <w:bookmarkStart w:id="78" w:name="_Toc241072272"/>
      <w:bookmarkEnd w:id="77"/>
      <w:r w:rsidRPr="00805244">
        <w:rPr>
          <w:color w:val="auto"/>
        </w:rPr>
        <w:t>4.5 Validity Analysis</w:t>
      </w:r>
      <w:bookmarkEnd w:id="78"/>
    </w:p>
    <w:p w14:paraId="17ADD751" w14:textId="77777777" w:rsidR="002833A8" w:rsidRPr="00805244" w:rsidRDefault="002833A8" w:rsidP="002833A8">
      <w:pPr>
        <w:jc w:val="center"/>
        <w:rPr>
          <w:color w:val="auto"/>
        </w:rPr>
      </w:pPr>
      <w:r w:rsidRPr="00805244">
        <w:rPr>
          <w:noProof/>
          <w:color w:val="auto"/>
        </w:rPr>
        <w:drawing>
          <wp:inline distT="114300" distB="114300" distL="114300" distR="114300" wp14:anchorId="732F2C47" wp14:editId="73C28CF6">
            <wp:extent cx="3695700" cy="1190625"/>
            <wp:effectExtent l="0" t="0" r="0" b="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3695700" cy="1190625"/>
                    </a:xfrm>
                    <a:prstGeom prst="rect">
                      <a:avLst/>
                    </a:prstGeom>
                    <a:ln/>
                  </pic:spPr>
                </pic:pic>
              </a:graphicData>
            </a:graphic>
          </wp:inline>
        </w:drawing>
      </w:r>
    </w:p>
    <w:p w14:paraId="032A0A7B" w14:textId="77777777" w:rsidR="002833A8" w:rsidRPr="00805244" w:rsidRDefault="002833A8" w:rsidP="007036B2">
      <w:pPr>
        <w:pStyle w:val="Heading5"/>
        <w:rPr>
          <w:color w:val="auto"/>
        </w:rPr>
      </w:pPr>
      <w:bookmarkStart w:id="79" w:name="_Toc241072208"/>
      <w:r w:rsidRPr="00805244">
        <w:rPr>
          <w:color w:val="auto"/>
        </w:rPr>
        <w:t>Table 4: Validity Statistics</w:t>
      </w:r>
      <w:bookmarkEnd w:id="79"/>
    </w:p>
    <w:p w14:paraId="7EE0D22B" w14:textId="77777777" w:rsidR="002833A8" w:rsidRPr="00805244" w:rsidRDefault="002833A8" w:rsidP="00405B39">
      <w:pPr>
        <w:rPr>
          <w:color w:val="auto"/>
        </w:rPr>
      </w:pPr>
      <w:r w:rsidRPr="00805244">
        <w:rPr>
          <w:color w:val="auto"/>
        </w:rPr>
        <w:t>Table 4 shows the results of KMO and Bartlett's Test as a preliminary check of sampling adequacy and factorability for the five composite variables. The KMO value is 0.873, which indicates good sampling adequacy, and Bartlett's Test was significant (χ² = 881.677, df = 10, p &lt; 0.001), indicating sufficient inter-correlations for factor-based examination (Govindasamy et al., 2024). These tests do not by themselves establish construct validity, and no stronger validity claim is made from them.</w:t>
      </w:r>
    </w:p>
    <w:p w14:paraId="11EBB263" w14:textId="77777777" w:rsidR="002833A8" w:rsidRPr="00805244" w:rsidRDefault="002833A8" w:rsidP="002833A8">
      <w:pPr>
        <w:pStyle w:val="Heading2"/>
        <w:rPr>
          <w:color w:val="auto"/>
        </w:rPr>
      </w:pPr>
      <w:bookmarkStart w:id="80" w:name="_7z86jz84qkx0" w:colFirst="0" w:colLast="0"/>
      <w:bookmarkStart w:id="81" w:name="_Toc241072273"/>
      <w:bookmarkEnd w:id="80"/>
      <w:r w:rsidRPr="00805244">
        <w:rPr>
          <w:color w:val="auto"/>
        </w:rPr>
        <w:lastRenderedPageBreak/>
        <w:t>4.6 Hypothesis Testing using Correlation and Regression Analysis</w:t>
      </w:r>
      <w:bookmarkEnd w:id="81"/>
    </w:p>
    <w:p w14:paraId="1A2746A0" w14:textId="77777777" w:rsidR="009C08C4" w:rsidRPr="00805244" w:rsidRDefault="001C7B57">
      <w:pPr>
        <w:rPr>
          <w:color w:val="auto"/>
        </w:rPr>
      </w:pPr>
      <w:r w:rsidRPr="00805244">
        <w:rPr>
          <w:color w:val="auto"/>
        </w:rPr>
        <w:t>The hypothesis models link to the research questions as follows: H1 directly addresses RQ2; H2 and H3 provide supporting evidence on brand-related outcomes relevant to RQ3; and H4 directly addresses RQ3. RQ1 is addressed through descriptive analysis, while RQ4 is addressed through the discussion and recommendations rather than a separate hypothesis test.</w:t>
      </w:r>
    </w:p>
    <w:p w14:paraId="6FCD269D" w14:textId="77777777" w:rsidR="002833A8" w:rsidRPr="00805244" w:rsidRDefault="002833A8" w:rsidP="002833A8">
      <w:pPr>
        <w:pStyle w:val="Heading3"/>
        <w:rPr>
          <w:color w:val="auto"/>
        </w:rPr>
      </w:pPr>
      <w:bookmarkStart w:id="82" w:name="_6a8hfxvw7yf" w:colFirst="0" w:colLast="0"/>
      <w:bookmarkStart w:id="83" w:name="_Toc241072274"/>
      <w:bookmarkEnd w:id="82"/>
      <w:r w:rsidRPr="00805244">
        <w:rPr>
          <w:color w:val="auto"/>
        </w:rPr>
        <w:t>4.6.1 Hypothesis Model 1</w:t>
      </w:r>
      <w:bookmarkEnd w:id="83"/>
    </w:p>
    <w:p w14:paraId="2C4F419C" w14:textId="77777777" w:rsidR="002833A8" w:rsidRPr="00805244" w:rsidRDefault="002833A8" w:rsidP="002833A8">
      <w:pPr>
        <w:rPr>
          <w:color w:val="auto"/>
        </w:rPr>
      </w:pPr>
      <w:r w:rsidRPr="00805244">
        <w:rPr>
          <w:color w:val="auto"/>
        </w:rPr>
        <w:t>H1: “AI tools in UK healthcare services are positively associated with consumer trust.”</w:t>
      </w:r>
    </w:p>
    <w:p w14:paraId="7794B8CA" w14:textId="77777777" w:rsidR="002833A8" w:rsidRPr="00805244" w:rsidRDefault="002833A8" w:rsidP="002833A8">
      <w:pPr>
        <w:rPr>
          <w:color w:val="auto"/>
        </w:rPr>
      </w:pPr>
      <w:r w:rsidRPr="00805244">
        <w:rPr>
          <w:color w:val="auto"/>
        </w:rPr>
        <w:t>H0: “AI tools in UK healthcare services are not significantly associated with consumer trust.”</w:t>
      </w:r>
    </w:p>
    <w:p w14:paraId="1F82034A" w14:textId="77777777" w:rsidR="002833A8" w:rsidRPr="00805244" w:rsidRDefault="002833A8" w:rsidP="002833A8">
      <w:pPr>
        <w:rPr>
          <w:color w:val="auto"/>
        </w:rPr>
      </w:pPr>
      <w:r w:rsidRPr="00805244">
        <w:rPr>
          <w:color w:val="auto"/>
        </w:rPr>
        <w:t xml:space="preserve">“Hypothesis Model 1” investigates positive relationship between perception of consumers of the use of AI tools and consumer trust in UK healthcare. Trust plays a crucial role in the responsible adoption of AI in healthcare, as patients' trust is essential for successful integration of AI technologies </w:t>
      </w:r>
      <w:r w:rsidRPr="00805244">
        <w:rPr>
          <w:color w:val="auto"/>
          <w:sz w:val="23"/>
          <w:szCs w:val="23"/>
        </w:rPr>
        <w:t>(Nong and Platt, 2025)</w:t>
      </w:r>
      <w:r w:rsidRPr="00805244">
        <w:rPr>
          <w:color w:val="auto"/>
        </w:rPr>
        <w:t>. Thus, the model tests relationship between AI tools and consumer trust.</w:t>
      </w:r>
    </w:p>
    <w:p w14:paraId="59C4E28E" w14:textId="77777777" w:rsidR="002833A8" w:rsidRPr="00805244" w:rsidRDefault="002833A8" w:rsidP="002833A8">
      <w:pPr>
        <w:jc w:val="center"/>
        <w:rPr>
          <w:color w:val="auto"/>
        </w:rPr>
      </w:pPr>
      <w:r w:rsidRPr="00805244">
        <w:rPr>
          <w:noProof/>
          <w:color w:val="auto"/>
        </w:rPr>
        <w:drawing>
          <wp:inline distT="114300" distB="114300" distL="114300" distR="114300" wp14:anchorId="09A6AC3C" wp14:editId="5A2A3ECE">
            <wp:extent cx="4686300" cy="2343150"/>
            <wp:effectExtent l="0" t="0" r="0" b="0"/>
            <wp:docPr id="11419059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4686300" cy="2343150"/>
                    </a:xfrm>
                    <a:prstGeom prst="rect">
                      <a:avLst/>
                    </a:prstGeom>
                    <a:ln/>
                  </pic:spPr>
                </pic:pic>
              </a:graphicData>
            </a:graphic>
          </wp:inline>
        </w:drawing>
      </w:r>
    </w:p>
    <w:p w14:paraId="71345606" w14:textId="77777777" w:rsidR="002833A8" w:rsidRPr="00805244" w:rsidRDefault="002833A8" w:rsidP="007036B2">
      <w:pPr>
        <w:pStyle w:val="Heading5"/>
        <w:rPr>
          <w:color w:val="auto"/>
        </w:rPr>
      </w:pPr>
      <w:bookmarkStart w:id="84" w:name="_Toc241072209"/>
      <w:r w:rsidRPr="00805244">
        <w:rPr>
          <w:color w:val="auto"/>
        </w:rPr>
        <w:t>Table 5: Correlation Analysis 1</w:t>
      </w:r>
      <w:bookmarkEnd w:id="84"/>
    </w:p>
    <w:p w14:paraId="7FD5085B" w14:textId="77777777" w:rsidR="002833A8" w:rsidRPr="00805244" w:rsidRDefault="002833A8" w:rsidP="00405B39">
      <w:pPr>
        <w:rPr>
          <w:color w:val="auto"/>
        </w:rPr>
      </w:pPr>
      <w:r w:rsidRPr="00805244">
        <w:rPr>
          <w:color w:val="auto"/>
        </w:rPr>
        <w:t xml:space="preserve">As per Table 5, the Pearson correlation coefficient between the variables is 0.811. Pearson correlation ranges from -1 to +1, with values closer to +1 indicating a stronger positive linear association (Schober et al., 2021). The result indicates that more positive perceptions of AI </w:t>
      </w:r>
      <w:r w:rsidRPr="00805244">
        <w:rPr>
          <w:color w:val="auto"/>
        </w:rPr>
        <w:lastRenderedPageBreak/>
        <w:t>tools are associated with higher consumer trust. As the significance value is below 0.05, the result indicates a statistically significant positive association between AI tools and consumer trust.</w:t>
      </w:r>
    </w:p>
    <w:p w14:paraId="2AAE85B8" w14:textId="77777777" w:rsidR="002833A8" w:rsidRPr="00805244" w:rsidRDefault="002833A8" w:rsidP="002833A8">
      <w:pPr>
        <w:jc w:val="center"/>
        <w:rPr>
          <w:b/>
          <w:bCs/>
          <w:color w:val="auto"/>
        </w:rPr>
      </w:pPr>
      <w:r w:rsidRPr="00805244">
        <w:rPr>
          <w:b/>
          <w:bCs/>
          <w:noProof/>
          <w:color w:val="auto"/>
        </w:rPr>
        <w:drawing>
          <wp:inline distT="114300" distB="114300" distL="114300" distR="114300" wp14:anchorId="21B849D7" wp14:editId="35F59140">
            <wp:extent cx="5731200" cy="5080000"/>
            <wp:effectExtent l="0" t="0" r="0" b="0"/>
            <wp:docPr id="83687174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4"/>
                    <a:srcRect/>
                    <a:stretch>
                      <a:fillRect/>
                    </a:stretch>
                  </pic:blipFill>
                  <pic:spPr>
                    <a:xfrm>
                      <a:off x="0" y="0"/>
                      <a:ext cx="5731200" cy="5080000"/>
                    </a:xfrm>
                    <a:prstGeom prst="rect">
                      <a:avLst/>
                    </a:prstGeom>
                    <a:ln/>
                  </pic:spPr>
                </pic:pic>
              </a:graphicData>
            </a:graphic>
          </wp:inline>
        </w:drawing>
      </w:r>
    </w:p>
    <w:p w14:paraId="044CA4A9" w14:textId="77777777" w:rsidR="002833A8" w:rsidRPr="00805244" w:rsidRDefault="002833A8" w:rsidP="007036B2">
      <w:pPr>
        <w:pStyle w:val="Heading5"/>
        <w:rPr>
          <w:color w:val="auto"/>
        </w:rPr>
      </w:pPr>
      <w:bookmarkStart w:id="85" w:name="_Toc241072210"/>
      <w:r w:rsidRPr="00805244">
        <w:rPr>
          <w:color w:val="auto"/>
        </w:rPr>
        <w:t>Table 6: Regression Analysis 1</w:t>
      </w:r>
      <w:bookmarkEnd w:id="85"/>
    </w:p>
    <w:p w14:paraId="0B559F72" w14:textId="77777777" w:rsidR="002833A8" w:rsidRPr="00805244" w:rsidRDefault="002833A8" w:rsidP="00405B39">
      <w:pPr>
        <w:rPr>
          <w:color w:val="auto"/>
        </w:rPr>
      </w:pPr>
      <w:r w:rsidRPr="00805244">
        <w:rPr>
          <w:color w:val="auto"/>
        </w:rPr>
        <w:t>Table 6 shows that the R-square value is 0.658, meaning that the simple regression model with AI tools accounts for 65.8% of the variance in consumer trust within this sample. R-square is the percentage of variability in an outcome accounted for by a regression model (Chicco et al., 2021). The overall model is statistically significant, with ANOVA p &lt; 0.001, and the coefficient for AI tools is positive and significant (p &lt; 0.001). Hence, H1 is supported: “AI tools in UK healthcare services are positively associated with consumer trust.”</w:t>
      </w:r>
    </w:p>
    <w:p w14:paraId="6ED286CB" w14:textId="77777777" w:rsidR="002833A8" w:rsidRPr="00805244" w:rsidRDefault="002833A8" w:rsidP="002833A8">
      <w:pPr>
        <w:pStyle w:val="Heading3"/>
        <w:rPr>
          <w:color w:val="auto"/>
        </w:rPr>
      </w:pPr>
      <w:bookmarkStart w:id="86" w:name="_bc84836qqtit" w:colFirst="0" w:colLast="0"/>
      <w:bookmarkStart w:id="87" w:name="_Toc241072275"/>
      <w:bookmarkEnd w:id="86"/>
      <w:r w:rsidRPr="00805244">
        <w:rPr>
          <w:color w:val="auto"/>
        </w:rPr>
        <w:lastRenderedPageBreak/>
        <w:t>4.6.2 Hypothesis Model 2</w:t>
      </w:r>
      <w:bookmarkEnd w:id="87"/>
    </w:p>
    <w:p w14:paraId="1D8A044C" w14:textId="77777777" w:rsidR="002833A8" w:rsidRPr="00805244" w:rsidRDefault="002833A8" w:rsidP="002833A8">
      <w:pPr>
        <w:rPr>
          <w:color w:val="auto"/>
        </w:rPr>
      </w:pPr>
      <w:r w:rsidRPr="00805244">
        <w:rPr>
          <w:color w:val="auto"/>
        </w:rPr>
        <w:t>H2: “AI tools in UK healthcare services are positively associated with brand reputation and brand image.”</w:t>
      </w:r>
    </w:p>
    <w:p w14:paraId="52D39679" w14:textId="77777777" w:rsidR="002833A8" w:rsidRPr="00805244" w:rsidRDefault="002833A8" w:rsidP="002833A8">
      <w:pPr>
        <w:rPr>
          <w:color w:val="auto"/>
        </w:rPr>
      </w:pPr>
      <w:r w:rsidRPr="00805244">
        <w:rPr>
          <w:color w:val="auto"/>
        </w:rPr>
        <w:t>H0: “AI tools in UK healthcare services are not significantly associated with brand reputation and brand image.”</w:t>
      </w:r>
    </w:p>
    <w:p w14:paraId="1A408902" w14:textId="77777777" w:rsidR="002833A8" w:rsidRPr="00805244" w:rsidRDefault="002833A8" w:rsidP="00405B39">
      <w:pPr>
        <w:rPr>
          <w:color w:val="auto"/>
        </w:rPr>
      </w:pPr>
      <w:r w:rsidRPr="00805244">
        <w:rPr>
          <w:color w:val="auto"/>
        </w:rPr>
        <w:t xml:space="preserve">Confidence, comfort, ethical considerations, and patient-centred expectations are factors that influence public perceptions of healthcare AI (Witkowski et al., 2024). “Hypothesis Model 2” is whether there is a relationship between favourable perceptions of AI tools and brand reputation and brand image among UK healthcare consumers. </w:t>
      </w:r>
    </w:p>
    <w:p w14:paraId="38D4DE87" w14:textId="77777777" w:rsidR="002833A8" w:rsidRPr="00805244" w:rsidRDefault="002833A8" w:rsidP="002833A8">
      <w:pPr>
        <w:jc w:val="center"/>
        <w:rPr>
          <w:color w:val="auto"/>
        </w:rPr>
      </w:pPr>
      <w:r w:rsidRPr="00805244">
        <w:rPr>
          <w:noProof/>
          <w:color w:val="auto"/>
        </w:rPr>
        <w:drawing>
          <wp:inline distT="114300" distB="114300" distL="114300" distR="114300" wp14:anchorId="28D21D6B" wp14:editId="1FBF4B32">
            <wp:extent cx="4686300" cy="2486025"/>
            <wp:effectExtent l="0" t="0" r="0" b="0"/>
            <wp:docPr id="6466291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4686300" cy="2486025"/>
                    </a:xfrm>
                    <a:prstGeom prst="rect">
                      <a:avLst/>
                    </a:prstGeom>
                    <a:ln/>
                  </pic:spPr>
                </pic:pic>
              </a:graphicData>
            </a:graphic>
          </wp:inline>
        </w:drawing>
      </w:r>
    </w:p>
    <w:p w14:paraId="5969C1D9" w14:textId="77777777" w:rsidR="002833A8" w:rsidRPr="00805244" w:rsidRDefault="002833A8" w:rsidP="007036B2">
      <w:pPr>
        <w:pStyle w:val="Heading5"/>
        <w:rPr>
          <w:color w:val="auto"/>
        </w:rPr>
      </w:pPr>
      <w:bookmarkStart w:id="88" w:name="_Toc241072211"/>
      <w:r w:rsidRPr="00805244">
        <w:rPr>
          <w:color w:val="auto"/>
        </w:rPr>
        <w:t>Table 7: Correlation Analysis 2</w:t>
      </w:r>
      <w:bookmarkEnd w:id="88"/>
    </w:p>
    <w:p w14:paraId="493E95BF" w14:textId="77777777" w:rsidR="002833A8" w:rsidRPr="00805244" w:rsidRDefault="002833A8" w:rsidP="00405B39">
      <w:pPr>
        <w:rPr>
          <w:color w:val="auto"/>
        </w:rPr>
      </w:pPr>
      <w:r w:rsidRPr="00805244">
        <w:rPr>
          <w:color w:val="auto"/>
        </w:rPr>
        <w:t>Table 7 identifies a Pearson correlation value of 0.819, which indicates a strong positive association between the two variables. It shows that positive perceptions of AI tools are associated with higher perceptions of healthcare-provider reputation and image. The significance value is below 0.001, indicating that the observed association is statistically significant. A simple linear regression was then used to examine the corresponding bivariate model.</w:t>
      </w:r>
    </w:p>
    <w:p w14:paraId="01039A28" w14:textId="77777777" w:rsidR="002833A8" w:rsidRPr="00805244" w:rsidRDefault="002833A8" w:rsidP="002833A8">
      <w:pPr>
        <w:jc w:val="center"/>
        <w:rPr>
          <w:b/>
          <w:bCs/>
          <w:color w:val="auto"/>
        </w:rPr>
      </w:pPr>
      <w:r w:rsidRPr="00805244">
        <w:rPr>
          <w:b/>
          <w:bCs/>
          <w:noProof/>
          <w:color w:val="auto"/>
        </w:rPr>
        <w:lastRenderedPageBreak/>
        <w:drawing>
          <wp:inline distT="114300" distB="114300" distL="114300" distR="114300" wp14:anchorId="08B46EEC" wp14:editId="0D0FF83A">
            <wp:extent cx="5731200" cy="51562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6"/>
                    <a:srcRect/>
                    <a:stretch>
                      <a:fillRect/>
                    </a:stretch>
                  </pic:blipFill>
                  <pic:spPr>
                    <a:xfrm>
                      <a:off x="0" y="0"/>
                      <a:ext cx="5731200" cy="5156200"/>
                    </a:xfrm>
                    <a:prstGeom prst="rect">
                      <a:avLst/>
                    </a:prstGeom>
                    <a:ln/>
                  </pic:spPr>
                </pic:pic>
              </a:graphicData>
            </a:graphic>
          </wp:inline>
        </w:drawing>
      </w:r>
    </w:p>
    <w:p w14:paraId="023D94E0" w14:textId="77777777" w:rsidR="002833A8" w:rsidRPr="00805244" w:rsidRDefault="002833A8" w:rsidP="007036B2">
      <w:pPr>
        <w:pStyle w:val="Heading5"/>
        <w:rPr>
          <w:color w:val="auto"/>
        </w:rPr>
      </w:pPr>
      <w:bookmarkStart w:id="89" w:name="_Toc241072212"/>
      <w:r w:rsidRPr="00805244">
        <w:rPr>
          <w:color w:val="auto"/>
        </w:rPr>
        <w:t>Table 8: Regression Analysis 2</w:t>
      </w:r>
      <w:bookmarkEnd w:id="89"/>
    </w:p>
    <w:p w14:paraId="0F850C87" w14:textId="77777777" w:rsidR="002833A8" w:rsidRPr="00805244" w:rsidRDefault="002833A8" w:rsidP="00405B39">
      <w:pPr>
        <w:rPr>
          <w:color w:val="auto"/>
        </w:rPr>
      </w:pPr>
      <w:r w:rsidRPr="00805244">
        <w:rPr>
          <w:color w:val="auto"/>
        </w:rPr>
        <w:t>Table 8 shows that the R-square value for AI tools and brand reputation and image is 0.671. This means that the simple regression model with AI tools accounts for 67.1% of the variance in brand reputation and image within this sample. The ANOVA result is significant (p &lt; 0.001), and the coefficient is positive and significant (B = 0.875, Beta = 0.819). Medina Aguerrebere et al. (2024) also discovered that hospitals rely on online and AI tools to enhance stakeholder connections and brand reputation. Therefore, H2 is supported: “AI tools in UK healthcare services are positively associated with brand reputation and brand image.”</w:t>
      </w:r>
    </w:p>
    <w:p w14:paraId="7E3E4A07" w14:textId="77777777" w:rsidR="002833A8" w:rsidRPr="00805244" w:rsidRDefault="002833A8" w:rsidP="002833A8">
      <w:pPr>
        <w:pStyle w:val="Heading3"/>
        <w:rPr>
          <w:color w:val="auto"/>
        </w:rPr>
      </w:pPr>
      <w:bookmarkStart w:id="90" w:name="_c5h3o08i7vtl" w:colFirst="0" w:colLast="0"/>
      <w:bookmarkStart w:id="91" w:name="_Toc241072276"/>
      <w:bookmarkEnd w:id="90"/>
      <w:r w:rsidRPr="00805244">
        <w:rPr>
          <w:color w:val="auto"/>
        </w:rPr>
        <w:lastRenderedPageBreak/>
        <w:t>4.6.3 Hypothesis Model 3</w:t>
      </w:r>
      <w:bookmarkEnd w:id="91"/>
    </w:p>
    <w:p w14:paraId="36AADBD4" w14:textId="77777777" w:rsidR="002833A8" w:rsidRPr="00805244" w:rsidRDefault="002833A8" w:rsidP="002833A8">
      <w:pPr>
        <w:rPr>
          <w:color w:val="auto"/>
        </w:rPr>
      </w:pPr>
      <w:r w:rsidRPr="00805244">
        <w:rPr>
          <w:color w:val="auto"/>
        </w:rPr>
        <w:t>H3: “AI tools in UK healthcare services are positively associated with patient and consumer loyalty.”</w:t>
      </w:r>
    </w:p>
    <w:p w14:paraId="53C017D3" w14:textId="77777777" w:rsidR="002833A8" w:rsidRPr="00805244" w:rsidRDefault="002833A8" w:rsidP="002833A8">
      <w:pPr>
        <w:rPr>
          <w:color w:val="auto"/>
        </w:rPr>
      </w:pPr>
      <w:r w:rsidRPr="00805244">
        <w:rPr>
          <w:color w:val="auto"/>
        </w:rPr>
        <w:t>H0: “AI tools in UK healthcare services are not significantly associated with patient and consumer loyalty.”</w:t>
      </w:r>
    </w:p>
    <w:p w14:paraId="0B5EE241" w14:textId="77777777" w:rsidR="002833A8" w:rsidRPr="00805244" w:rsidRDefault="002833A8" w:rsidP="00405B39">
      <w:pPr>
        <w:rPr>
          <w:color w:val="auto"/>
        </w:rPr>
      </w:pPr>
      <w:r w:rsidRPr="00805244">
        <w:rPr>
          <w:color w:val="auto"/>
        </w:rPr>
        <w:t xml:space="preserve">Responsible AI can enhance patient engagement and value, facilitating better patient-provider relationships and consumer behaviours (Kumar et al., 2023). “Hypothesis Model 3” focuses on a positive relationship between use of AI in healthcare services in UK and patient and consumer loyalty. </w:t>
      </w:r>
    </w:p>
    <w:p w14:paraId="521AA0F8" w14:textId="77777777" w:rsidR="002833A8" w:rsidRPr="00805244" w:rsidRDefault="002833A8" w:rsidP="002833A8">
      <w:pPr>
        <w:jc w:val="center"/>
        <w:rPr>
          <w:color w:val="auto"/>
        </w:rPr>
      </w:pPr>
      <w:r w:rsidRPr="00805244">
        <w:rPr>
          <w:noProof/>
          <w:color w:val="auto"/>
        </w:rPr>
        <w:drawing>
          <wp:inline distT="114300" distB="114300" distL="114300" distR="114300" wp14:anchorId="38B28E28" wp14:editId="35045A24">
            <wp:extent cx="4686300" cy="2486025"/>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7"/>
                    <a:srcRect/>
                    <a:stretch>
                      <a:fillRect/>
                    </a:stretch>
                  </pic:blipFill>
                  <pic:spPr>
                    <a:xfrm>
                      <a:off x="0" y="0"/>
                      <a:ext cx="4686300" cy="2486025"/>
                    </a:xfrm>
                    <a:prstGeom prst="rect">
                      <a:avLst/>
                    </a:prstGeom>
                    <a:ln/>
                  </pic:spPr>
                </pic:pic>
              </a:graphicData>
            </a:graphic>
          </wp:inline>
        </w:drawing>
      </w:r>
    </w:p>
    <w:p w14:paraId="629E1D43" w14:textId="77777777" w:rsidR="002833A8" w:rsidRPr="00805244" w:rsidRDefault="002833A8" w:rsidP="007036B2">
      <w:pPr>
        <w:pStyle w:val="Heading5"/>
        <w:rPr>
          <w:color w:val="auto"/>
        </w:rPr>
      </w:pPr>
      <w:bookmarkStart w:id="92" w:name="_Toc241072213"/>
      <w:r w:rsidRPr="00805244">
        <w:rPr>
          <w:color w:val="auto"/>
        </w:rPr>
        <w:t>Table 9: Correlation Analysis 3</w:t>
      </w:r>
      <w:bookmarkEnd w:id="92"/>
    </w:p>
    <w:p w14:paraId="66D58501" w14:textId="77777777" w:rsidR="002833A8" w:rsidRPr="00805244" w:rsidRDefault="002833A8" w:rsidP="00405B39">
      <w:pPr>
        <w:rPr>
          <w:color w:val="auto"/>
        </w:rPr>
      </w:pPr>
      <w:r w:rsidRPr="00805244">
        <w:rPr>
          <w:color w:val="auto"/>
        </w:rPr>
        <w:t>As per Table 9, there is a strong positive correlation between AI tools in healthcare services in the UK and patient and consumer loyalty, with a Pearson correlation value of 0.747. This means that more positive perceptions of AI-enabled healthcare are associated with higher loyalty towards healthcare providers. Pratami et al. (2023) discovered that digital patient experience, innovation and service quality influence patient loyalty in healthcare environments. The significance value is &lt;0.001, indicating that the association is statistically significant.</w:t>
      </w:r>
    </w:p>
    <w:p w14:paraId="285C6642" w14:textId="77777777" w:rsidR="002833A8" w:rsidRPr="00805244" w:rsidRDefault="002833A8" w:rsidP="002833A8">
      <w:pPr>
        <w:jc w:val="center"/>
        <w:rPr>
          <w:b/>
          <w:bCs/>
          <w:color w:val="auto"/>
        </w:rPr>
      </w:pPr>
      <w:r w:rsidRPr="00805244">
        <w:rPr>
          <w:b/>
          <w:bCs/>
          <w:noProof/>
          <w:color w:val="auto"/>
        </w:rPr>
        <w:lastRenderedPageBreak/>
        <w:drawing>
          <wp:inline distT="114300" distB="114300" distL="114300" distR="114300" wp14:anchorId="0302E71B" wp14:editId="2168A9FD">
            <wp:extent cx="5731200" cy="510540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8"/>
                    <a:srcRect/>
                    <a:stretch>
                      <a:fillRect/>
                    </a:stretch>
                  </pic:blipFill>
                  <pic:spPr>
                    <a:xfrm>
                      <a:off x="0" y="0"/>
                      <a:ext cx="5731200" cy="5105400"/>
                    </a:xfrm>
                    <a:prstGeom prst="rect">
                      <a:avLst/>
                    </a:prstGeom>
                    <a:ln/>
                  </pic:spPr>
                </pic:pic>
              </a:graphicData>
            </a:graphic>
          </wp:inline>
        </w:drawing>
      </w:r>
    </w:p>
    <w:p w14:paraId="7BCBC538" w14:textId="77777777" w:rsidR="002833A8" w:rsidRPr="00805244" w:rsidRDefault="002833A8" w:rsidP="007036B2">
      <w:pPr>
        <w:pStyle w:val="Heading5"/>
        <w:rPr>
          <w:color w:val="auto"/>
        </w:rPr>
      </w:pPr>
      <w:bookmarkStart w:id="93" w:name="_Toc241072214"/>
      <w:r w:rsidRPr="00805244">
        <w:rPr>
          <w:color w:val="auto"/>
        </w:rPr>
        <w:t>Table 10: Regression Analysis 3</w:t>
      </w:r>
      <w:bookmarkEnd w:id="93"/>
    </w:p>
    <w:p w14:paraId="5359EDFA" w14:textId="77777777" w:rsidR="002833A8" w:rsidRPr="00805244" w:rsidRDefault="002833A8" w:rsidP="00405B39">
      <w:pPr>
        <w:rPr>
          <w:color w:val="auto"/>
        </w:rPr>
      </w:pPr>
      <w:r w:rsidRPr="00805244">
        <w:rPr>
          <w:color w:val="auto"/>
        </w:rPr>
        <w:t>The R-squared value for AI tools and patient and consumer loyalty is 0.558, as presented in Table 10. Thus, the simple regression model with AI tools accounts for 55.8% of the variance in loyalty within this sample. The ANOVA result is significant, with F = 212.256 and p &lt; 0.001. The coefficient is positive and significant, which supports H3. Alabdali and Husain (2025) identified that the quality of the telemedicine platform had a significant impact on patient satisfaction, which in turn was associated with enhanced patient loyalty. The present result supports the conclusion that “AI tools in UK healthcare services are positively associated with patient and consumer loyalty.”</w:t>
      </w:r>
    </w:p>
    <w:p w14:paraId="3C0B7ABE" w14:textId="77777777" w:rsidR="002833A8" w:rsidRPr="00805244" w:rsidRDefault="002833A8" w:rsidP="002833A8">
      <w:pPr>
        <w:pStyle w:val="Heading3"/>
        <w:rPr>
          <w:color w:val="auto"/>
        </w:rPr>
      </w:pPr>
      <w:bookmarkStart w:id="94" w:name="_utye84h9tpc0" w:colFirst="0" w:colLast="0"/>
      <w:bookmarkStart w:id="95" w:name="_Toc241072277"/>
      <w:bookmarkEnd w:id="94"/>
      <w:r w:rsidRPr="00805244">
        <w:rPr>
          <w:color w:val="auto"/>
        </w:rPr>
        <w:lastRenderedPageBreak/>
        <w:t>4.6.4 Hypothesis Model 4</w:t>
      </w:r>
      <w:bookmarkEnd w:id="95"/>
    </w:p>
    <w:p w14:paraId="1F70AC95" w14:textId="77777777" w:rsidR="002833A8" w:rsidRPr="00805244" w:rsidRDefault="002833A8" w:rsidP="002833A8">
      <w:pPr>
        <w:rPr>
          <w:color w:val="auto"/>
        </w:rPr>
      </w:pPr>
      <w:r w:rsidRPr="00805244">
        <w:rPr>
          <w:color w:val="auto"/>
        </w:rPr>
        <w:t>H4: “AI tools in UK healthcare services are positively associated with brand competitiveness.”</w:t>
      </w:r>
    </w:p>
    <w:p w14:paraId="409996A3" w14:textId="77777777" w:rsidR="002833A8" w:rsidRPr="00805244" w:rsidRDefault="002833A8" w:rsidP="002833A8">
      <w:pPr>
        <w:rPr>
          <w:color w:val="auto"/>
        </w:rPr>
      </w:pPr>
      <w:r w:rsidRPr="00805244">
        <w:rPr>
          <w:color w:val="auto"/>
        </w:rPr>
        <w:t>H0: “AI tools in UK healthcare services are not significantly associated with brand competitiveness.”</w:t>
      </w:r>
    </w:p>
    <w:p w14:paraId="5F34C221" w14:textId="77777777" w:rsidR="002833A8" w:rsidRPr="00805244" w:rsidRDefault="002833A8" w:rsidP="00405B39">
      <w:pPr>
        <w:rPr>
          <w:color w:val="auto"/>
        </w:rPr>
      </w:pPr>
      <w:r w:rsidRPr="00805244">
        <w:rPr>
          <w:color w:val="auto"/>
        </w:rPr>
        <w:t>By effectively and responsibly applying technologies like AI in healthcare organisations, AI may be associated with perceived strategic value in competitive environments, including perceptions of safety, efficiency and organisational performance (Epelde, 2024). This hypothesis examines the association between perceptions of AI technologies and brand competitiveness in the UK healthcare services sector.</w:t>
      </w:r>
    </w:p>
    <w:p w14:paraId="060860CE" w14:textId="77777777" w:rsidR="002833A8" w:rsidRPr="00805244" w:rsidRDefault="002833A8" w:rsidP="002833A8">
      <w:pPr>
        <w:jc w:val="center"/>
        <w:rPr>
          <w:color w:val="auto"/>
        </w:rPr>
      </w:pPr>
      <w:r w:rsidRPr="00805244">
        <w:rPr>
          <w:noProof/>
          <w:color w:val="auto"/>
        </w:rPr>
        <w:drawing>
          <wp:inline distT="114300" distB="114300" distL="114300" distR="114300" wp14:anchorId="474E04B6" wp14:editId="171794A2">
            <wp:extent cx="4686300" cy="234315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4686300" cy="2343150"/>
                    </a:xfrm>
                    <a:prstGeom prst="rect">
                      <a:avLst/>
                    </a:prstGeom>
                    <a:ln/>
                  </pic:spPr>
                </pic:pic>
              </a:graphicData>
            </a:graphic>
          </wp:inline>
        </w:drawing>
      </w:r>
    </w:p>
    <w:p w14:paraId="0A767922" w14:textId="77777777" w:rsidR="002833A8" w:rsidRPr="00805244" w:rsidRDefault="002833A8" w:rsidP="007036B2">
      <w:pPr>
        <w:pStyle w:val="Heading5"/>
        <w:rPr>
          <w:color w:val="auto"/>
        </w:rPr>
      </w:pPr>
      <w:bookmarkStart w:id="96" w:name="_Toc241072215"/>
      <w:r w:rsidRPr="00805244">
        <w:rPr>
          <w:color w:val="auto"/>
        </w:rPr>
        <w:t>Table 11: Correlation Analysis 4</w:t>
      </w:r>
      <w:bookmarkEnd w:id="96"/>
    </w:p>
    <w:p w14:paraId="7E11CCF6" w14:textId="77777777" w:rsidR="002833A8" w:rsidRPr="00805244" w:rsidRDefault="002833A8" w:rsidP="002833A8">
      <w:pPr>
        <w:rPr>
          <w:color w:val="auto"/>
        </w:rPr>
      </w:pPr>
      <w:r w:rsidRPr="00805244">
        <w:rPr>
          <w:color w:val="auto"/>
        </w:rPr>
        <w:t>The Pearson correlation value for AI tools in UK healthcare services and brand competitiveness is 0.756 (refer to Table 11). This indicates a strong positive correlation, meaning that stronger perceived competitive positioning of healthcare providers is associated with more positive perceptions of AI tools. Pavithra and Afza (2024) found that AI and robotics can contribute to the competitive edge of hospitals in patient care, operational efficiency, cost reduction and differentiation. Hence, the correlation analysis supports H4.</w:t>
      </w:r>
    </w:p>
    <w:p w14:paraId="0BF101BD" w14:textId="77777777" w:rsidR="002833A8" w:rsidRPr="00805244" w:rsidRDefault="002833A8" w:rsidP="002833A8">
      <w:pPr>
        <w:jc w:val="center"/>
        <w:rPr>
          <w:b/>
          <w:bCs/>
          <w:color w:val="auto"/>
        </w:rPr>
      </w:pPr>
      <w:r w:rsidRPr="00805244">
        <w:rPr>
          <w:b/>
          <w:bCs/>
          <w:noProof/>
          <w:color w:val="auto"/>
        </w:rPr>
        <w:lastRenderedPageBreak/>
        <w:drawing>
          <wp:inline distT="114300" distB="114300" distL="114300" distR="114300" wp14:anchorId="7EADCE82" wp14:editId="6CD85240">
            <wp:extent cx="5731200" cy="5130800"/>
            <wp:effectExtent l="0" t="0" r="0" b="0"/>
            <wp:docPr id="148851033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731200" cy="5130800"/>
                    </a:xfrm>
                    <a:prstGeom prst="rect">
                      <a:avLst/>
                    </a:prstGeom>
                    <a:ln/>
                  </pic:spPr>
                </pic:pic>
              </a:graphicData>
            </a:graphic>
          </wp:inline>
        </w:drawing>
      </w:r>
    </w:p>
    <w:p w14:paraId="37DC799D" w14:textId="77777777" w:rsidR="002833A8" w:rsidRPr="00805244" w:rsidRDefault="002833A8" w:rsidP="007036B2">
      <w:pPr>
        <w:pStyle w:val="Heading5"/>
        <w:rPr>
          <w:color w:val="auto"/>
        </w:rPr>
      </w:pPr>
      <w:bookmarkStart w:id="97" w:name="_Toc241072216"/>
      <w:r w:rsidRPr="00805244">
        <w:rPr>
          <w:color w:val="auto"/>
        </w:rPr>
        <w:t>Table 12: Regression Analysis 4</w:t>
      </w:r>
      <w:bookmarkEnd w:id="97"/>
    </w:p>
    <w:p w14:paraId="20326097" w14:textId="77777777" w:rsidR="002833A8" w:rsidRPr="00805244" w:rsidRDefault="002833A8" w:rsidP="00405B39">
      <w:pPr>
        <w:rPr>
          <w:color w:val="auto"/>
        </w:rPr>
      </w:pPr>
      <w:r w:rsidRPr="00805244">
        <w:rPr>
          <w:color w:val="auto"/>
        </w:rPr>
        <w:t>From the results in Table 12, the R-square value for AI tools and brand competitiveness is 0.572. The simple regression model with AI tools accounts for 57.2% of the variance in perceived brand competitiveness within this sample. The ANOVA result is significant, with F = 224.625 and p &lt; 0.001. The coefficient is also positive and significant (B = 0.833 and Beta = 0.756). According to Pu et al. (2025), AI-powered strategic decision systems have resulted in better market positioning, brand influence and technological innovation capabilities. Thus, H4 is supported: “AI tools in UK healthcare services are positively associated with brand competitiveness.”</w:t>
      </w:r>
    </w:p>
    <w:p w14:paraId="47B0518E" w14:textId="77777777" w:rsidR="002833A8" w:rsidRPr="00805244" w:rsidRDefault="002833A8" w:rsidP="002833A8">
      <w:pPr>
        <w:pStyle w:val="Heading2"/>
        <w:rPr>
          <w:color w:val="auto"/>
        </w:rPr>
      </w:pPr>
      <w:bookmarkStart w:id="98" w:name="_i5d61wd0sjuq" w:colFirst="0" w:colLast="0"/>
      <w:bookmarkStart w:id="99" w:name="_Toc241072278"/>
      <w:bookmarkEnd w:id="98"/>
      <w:r w:rsidRPr="00805244">
        <w:rPr>
          <w:color w:val="auto"/>
        </w:rPr>
        <w:lastRenderedPageBreak/>
        <w:t>4.7 Discussion</w:t>
      </w:r>
      <w:bookmarkEnd w:id="99"/>
    </w:p>
    <w:p w14:paraId="5235801D" w14:textId="77777777" w:rsidR="002833A8" w:rsidRPr="00805244" w:rsidRDefault="002833A8" w:rsidP="002833A8">
      <w:pPr>
        <w:rPr>
          <w:b/>
          <w:bCs/>
          <w:i/>
          <w:iCs/>
          <w:color w:val="auto"/>
        </w:rPr>
      </w:pPr>
      <w:r w:rsidRPr="00805244">
        <w:rPr>
          <w:b/>
          <w:bCs/>
          <w:i/>
          <w:iCs/>
          <w:color w:val="auto"/>
        </w:rPr>
        <w:t>Discussion of RQ1</w:t>
      </w:r>
    </w:p>
    <w:p w14:paraId="6980B5F8" w14:textId="77777777" w:rsidR="002833A8" w:rsidRPr="00805244" w:rsidRDefault="002833A8" w:rsidP="00405B39">
      <w:pPr>
        <w:rPr>
          <w:color w:val="auto"/>
        </w:rPr>
      </w:pPr>
      <w:r w:rsidRPr="00805244">
        <w:rPr>
          <w:color w:val="auto"/>
        </w:rPr>
        <w:t xml:space="preserve">The study aimed to assess UK consumers’ perceptions of the contribution of AI tools to healthcare-service accessibility, communication, personalisation and patient experience through RQ1. </w:t>
      </w:r>
      <w:r w:rsidR="00B512BB" w:rsidRPr="00805244">
        <w:rPr>
          <w:color w:val="auto"/>
        </w:rPr>
        <w:t xml:space="preserve">Results showed that there was a positive perception with a mean score of 3.9824, implying that the respondents generally agreed with the statements that AI could be beneficial for service delivery. </w:t>
      </w:r>
      <w:r w:rsidRPr="00805244">
        <w:rPr>
          <w:color w:val="auto"/>
        </w:rPr>
        <w:t>This is in line with NHS England (2024), which states that the AI-supported appointment scheduling system resulted in a 30% drop in non-attendance, allowing an additional 1,910 patients to be seen. Brown et al. (2023) found significant decreases in patient travel as a result of remote reviews, but this study was not specifically focused on AI. Hence, the current results provide consumer-level evidence of favourable perceptions of AI-related service benefits rather than proof of improved service performance.</w:t>
      </w:r>
    </w:p>
    <w:p w14:paraId="09D1D858" w14:textId="77777777" w:rsidR="002833A8" w:rsidRPr="00805244" w:rsidRDefault="002833A8" w:rsidP="00405B39">
      <w:pPr>
        <w:rPr>
          <w:color w:val="auto"/>
        </w:rPr>
      </w:pPr>
      <w:r w:rsidRPr="00805244">
        <w:rPr>
          <w:color w:val="auto"/>
        </w:rPr>
        <w:t>The positive perception of communication aligns with Haider et al. (2025), who reported that there was positive feedback on using personalised chatbots to enhance customer satisfaction and engagement. Kim et al. (2025), however, found that ratings were high for AI-supported FAQ and much lower for the safety rating for message triage. The comparison indicates that there could be a disparity between what consumers are willing to accept when it comes to routine communication tasks and what they are not willing to accept when it comes to clinically sensitive tasks. Davies et al. (2024) reported that AI-generated health messages were persuasive, but users preferred human sources, indicating that even when messages are of high quality, there is still a human preference for reassurance.</w:t>
      </w:r>
    </w:p>
    <w:p w14:paraId="52655500" w14:textId="77777777" w:rsidR="00B512BB" w:rsidRPr="00805244" w:rsidRDefault="002833A8" w:rsidP="00B512BB">
      <w:pPr>
        <w:rPr>
          <w:color w:val="auto"/>
        </w:rPr>
      </w:pPr>
      <w:r w:rsidRPr="00805244">
        <w:rPr>
          <w:color w:val="auto"/>
        </w:rPr>
        <w:t xml:space="preserve">The results on personalisation align with Hassan and Omenogor (2025), who asserted that there is a need to include predictive systems to achieve tailored prevention. Al-Nafjan et al. (2025) cautioned that predictive evidence is mostly restricted to data-rich environments and lacks transferability between healthcare environments. Therefore, positive perceptions of </w:t>
      </w:r>
      <w:r w:rsidRPr="00805244">
        <w:rPr>
          <w:color w:val="auto"/>
        </w:rPr>
        <w:lastRenderedPageBreak/>
        <w:t xml:space="preserve">personalisation may depend on accurate and representative data. The results are consistent with TAM because respondents generally perceived AI tools positively. </w:t>
      </w:r>
      <w:r w:rsidR="00B512BB" w:rsidRPr="00805244">
        <w:rPr>
          <w:color w:val="auto"/>
        </w:rPr>
        <w:t>However, Farre et al. (2023) discovered that older, poorer and ethnic minority communities were less digitally involved. Therefore, for UK healthcare professionals, it is essential to incorporate AI convenience alongside inclusive design, human alternatives, and continued professional support to facilitate accessibility and experience for various patient populations.</w:t>
      </w:r>
    </w:p>
    <w:p w14:paraId="147AC136" w14:textId="77777777" w:rsidR="00B512BB" w:rsidRPr="00805244" w:rsidRDefault="00B512BB" w:rsidP="00B512BB">
      <w:pPr>
        <w:rPr>
          <w:b/>
          <w:bCs/>
          <w:i/>
          <w:iCs/>
          <w:color w:val="auto"/>
        </w:rPr>
      </w:pPr>
      <w:r w:rsidRPr="00805244">
        <w:rPr>
          <w:b/>
          <w:bCs/>
          <w:i/>
          <w:iCs/>
          <w:color w:val="auto"/>
        </w:rPr>
        <w:t>Discussion of RQ2</w:t>
      </w:r>
    </w:p>
    <w:p w14:paraId="4452F0C9" w14:textId="77777777" w:rsidR="002833A8" w:rsidRPr="00805244" w:rsidRDefault="00B512BB" w:rsidP="00B512BB">
      <w:pPr>
        <w:rPr>
          <w:color w:val="auto"/>
        </w:rPr>
      </w:pPr>
      <w:r w:rsidRPr="00805244">
        <w:rPr>
          <w:color w:val="auto"/>
        </w:rPr>
        <w:t xml:space="preserve">As seen in the results, there is a positive correlation between the use of AI tools and consumer trust, with a Pearson correlation coefficient of 0.811 and an R² value of 0.658 in the simple regression model. </w:t>
      </w:r>
      <w:r w:rsidR="002833A8" w:rsidRPr="00805244">
        <w:rPr>
          <w:color w:val="auto"/>
        </w:rPr>
        <w:t>This corroborates the findings of Zhan et al. (2024), which revealed that usefulness, content credibility, and relative service quality were significant factors in fostering trust towards healthcare voice assistants. The current findings therefore show a strong association between favourable AI perceptions and trust within this sample. Unsafe outputs, hidden errors and biased data may result in serious clinical consequences, as cautioned by Al Kuwaiti et al. (2023), which helps explain why reliable performance may matter in the UK healthcare context. Nizette et al. (2025) concluded that providing more detailed explanations made participants feel more confident and accepted, while providing too much control over the user may lead to information overload. Similarly, Afroogh et al. (2024) found that visual and example-based explanations led to greater trust than text-only explanations. These comparisons suggest that transparency should be understandable rather than excessive.</w:t>
      </w:r>
    </w:p>
    <w:p w14:paraId="3CEC2364" w14:textId="77777777" w:rsidR="002833A8" w:rsidRPr="00805244" w:rsidRDefault="002833A8" w:rsidP="00405B39">
      <w:pPr>
        <w:rPr>
          <w:color w:val="auto"/>
        </w:rPr>
      </w:pPr>
      <w:r w:rsidRPr="00805244">
        <w:rPr>
          <w:color w:val="auto"/>
        </w:rPr>
        <w:t xml:space="preserve">Wong et al. (2024) found that the protection of the regulations reinforced the level of trust, and that empowerment of privacy was less effective when consumers were powerless. Kumar et al. (2023) associated trustworthy healthcare AI with data security and ability to recover from failures and adapt to changing needs. This interpretation is further reinforced with human oversight. Sauerbrei et al. (2023) identified that patients responded positively to AI augmenting </w:t>
      </w:r>
      <w:r w:rsidRPr="00805244">
        <w:rPr>
          <w:color w:val="auto"/>
        </w:rPr>
        <w:lastRenderedPageBreak/>
        <w:t xml:space="preserve">healthcare providers rather than supplanting them and Chi and Hoang Vu (2023) revealed that patients' trust in AI can be influenced by its level of understanding and empathy. The results address Trust Theory as trust is related to competence, integrity and responsible conduct. All of these should be complemented by dependable performance in UK healthcare providers, coupled with explanations which are comprehensible, data protection, safety controls and visible professional oversight. </w:t>
      </w:r>
    </w:p>
    <w:p w14:paraId="4A167B09" w14:textId="77777777" w:rsidR="002833A8" w:rsidRPr="00805244" w:rsidRDefault="002833A8" w:rsidP="002833A8">
      <w:pPr>
        <w:rPr>
          <w:b/>
          <w:bCs/>
          <w:i/>
          <w:iCs/>
          <w:color w:val="auto"/>
        </w:rPr>
      </w:pPr>
      <w:r w:rsidRPr="00805244">
        <w:rPr>
          <w:b/>
          <w:bCs/>
          <w:i/>
          <w:iCs/>
          <w:color w:val="auto"/>
        </w:rPr>
        <w:t>Discussion of RQ3</w:t>
      </w:r>
    </w:p>
    <w:p w14:paraId="5B7ADB97" w14:textId="77777777" w:rsidR="002833A8" w:rsidRPr="00805244" w:rsidRDefault="002833A8" w:rsidP="00405B39">
      <w:pPr>
        <w:rPr>
          <w:color w:val="auto"/>
        </w:rPr>
      </w:pPr>
      <w:r w:rsidRPr="00805244">
        <w:rPr>
          <w:color w:val="auto"/>
        </w:rPr>
        <w:t>RQ3 examined the relationship between consumers’ perceptions of AI tools and perceived brand competitiveness. Brand competitiveness had the highest mean score at 4.0824, while AI tools and brand competitiveness were strongly and positively correlated (r = 0.756, p &lt; 0.001). The corresponding simple regression model accounted for 57.2% of the variance in perceived brand competitiveness. Senyapar (2024) argues that healthcare brand competitiveness is linked to reputation, preference, loyalty and trust created through differentiated and high-quality services, while Badmus and Adetunji (2023) reported relationships between algorithmic transparency, customer trust and brand equity. The current result is therefore consistent with literature suggesting that consumers may connect well-managed AI-enabled services with stronger provider positioning.</w:t>
      </w:r>
    </w:p>
    <w:p w14:paraId="13470919" w14:textId="77777777" w:rsidR="002833A8" w:rsidRPr="00805244" w:rsidRDefault="00B33F42" w:rsidP="00405B39">
      <w:pPr>
        <w:rPr>
          <w:color w:val="auto"/>
        </w:rPr>
      </w:pPr>
      <w:r w:rsidRPr="00805244">
        <w:rPr>
          <w:color w:val="auto"/>
        </w:rPr>
        <w:t xml:space="preserve">The results should not be understood as indicating that competitiveness is an effect of AI. Yang and Kim (2026) discovered that there was no direct path from digital quality to loyalty, while satisfaction was a significant predictor, illustrating that brand-related outcomes may involve intermediate mechanisms. Chen et al. (2022) also concluded that trust influenced engagement and loyalty in another service context. In the present dissertation, AI perceptions were associated separately with consumer trust (r = 0.811) and brand competitiveness (r = 0.756). UK providers can therefore treat trust as a relevant strategic consideration, while RQ3 is </w:t>
      </w:r>
      <w:r w:rsidRPr="00805244">
        <w:rPr>
          <w:color w:val="auto"/>
        </w:rPr>
        <w:lastRenderedPageBreak/>
        <w:t>answered by the reported association between AI perceptions and brand competitiveness rather than by a mediation or causal pathway.</w:t>
      </w:r>
    </w:p>
    <w:p w14:paraId="2734C45F" w14:textId="77777777" w:rsidR="002833A8" w:rsidRPr="00805244" w:rsidRDefault="002833A8" w:rsidP="002833A8">
      <w:pPr>
        <w:rPr>
          <w:b/>
          <w:bCs/>
          <w:i/>
          <w:iCs/>
          <w:color w:val="auto"/>
        </w:rPr>
      </w:pPr>
      <w:r w:rsidRPr="00805244">
        <w:rPr>
          <w:b/>
          <w:bCs/>
          <w:i/>
          <w:iCs/>
          <w:color w:val="auto"/>
        </w:rPr>
        <w:t>Discussion of RQ4</w:t>
      </w:r>
    </w:p>
    <w:p w14:paraId="2E5E4482" w14:textId="77777777" w:rsidR="002833A8" w:rsidRPr="00805244" w:rsidRDefault="00B512BB" w:rsidP="00405B39">
      <w:pPr>
        <w:rPr>
          <w:color w:val="auto"/>
        </w:rPr>
      </w:pPr>
      <w:r w:rsidRPr="00805244">
        <w:rPr>
          <w:color w:val="auto"/>
        </w:rPr>
        <w:t>RQ4 examined the responsible use of AI tools in healthcare in the UK, while maintaining trust and competitiveness. The findings show positive perceptions of all the study variables and the four hypothesis models were statistically significant. The results revealed that positive attitudes toward AI were related to trust, reputation, loyalty and competitiveness among respondents in the sample. The literature suggests that not only adoption, but also governance may account for such positive outcomes. Jenko et al. (2025) suggest five key factors for the success of healthcare AI: data quality, clinical validation, cybersecurity, workforce management and service integration. Al Kuwaiti et al. (2023) cautioned that prejudiced data, concealed errors and unsafe outputs can lead to severe repercussions. In a UK healthcare setting, these findings call for caution when implementing such practices and not assuming that they will automatically lead to better brand or consumer outcomes.</w:t>
      </w:r>
    </w:p>
    <w:p w14:paraId="7176FA74" w14:textId="77777777" w:rsidR="00AE6F0D" w:rsidRPr="00805244" w:rsidRDefault="002833A8" w:rsidP="00405B39">
      <w:pPr>
        <w:rPr>
          <w:color w:val="auto"/>
        </w:rPr>
      </w:pPr>
      <w:r w:rsidRPr="00805244">
        <w:rPr>
          <w:color w:val="auto"/>
        </w:rPr>
        <w:t xml:space="preserve">Transparency is important, as well, and as illustrated in the literature, more is not necessarily better. Nizette et al. (2025) concluded that explanations led to greater confidence and acceptance, but too much user control might result in overload. Afroogh et al. (2024) reported that the visual and example-based explanations were more trustworthy than the text-only explanations. Therefore, providers should describe when and what AI is, how it works, its constraints and its utilisation boundaries, where the responsibility of professionals still lies. There is a need for human oversight as well. Sauerbrei et al. (2023) revealed a preference for doctor-led AI over replacement, whereas Davies et al. (2024) demonstrated that even with persuasive AI communication, there was a persistent preference for human communication. This helps to maintain escalation pathways and professional accountability. Farre et al. (2023) reported that older users, as well as those with lower incomes and of ethnic minority groups, </w:t>
      </w:r>
      <w:r w:rsidRPr="00805244">
        <w:rPr>
          <w:color w:val="auto"/>
        </w:rPr>
        <w:lastRenderedPageBreak/>
        <w:t>exhibited lower levels of digital participation. Therefore, AI should be used to supplement, but not replace, access routes. Overall, AI should be used to enhance efficiency and personalisation in a way that is transparent, controlled and monitored by humans, and accessible to everyone, without undermining the trust and competitiveness of the system while keeping the focus on patient-centred care.</w:t>
      </w:r>
    </w:p>
    <w:p w14:paraId="7C731C10" w14:textId="77777777" w:rsidR="00AE6F0D" w:rsidRPr="00805244" w:rsidRDefault="00AE6F0D" w:rsidP="00AE6F0D">
      <w:pPr>
        <w:pStyle w:val="Heading2"/>
        <w:rPr>
          <w:color w:val="auto"/>
        </w:rPr>
      </w:pPr>
      <w:bookmarkStart w:id="100" w:name="_Toc241072279"/>
      <w:r w:rsidRPr="00805244">
        <w:rPr>
          <w:color w:val="auto"/>
        </w:rPr>
        <w:t>4.8 Summary</w:t>
      </w:r>
      <w:bookmarkEnd w:id="100"/>
    </w:p>
    <w:p w14:paraId="67088F9D" w14:textId="77777777" w:rsidR="00F844B6" w:rsidRPr="00805244" w:rsidRDefault="00AE6F0D" w:rsidP="00405B39">
      <w:pPr>
        <w:rPr>
          <w:color w:val="auto"/>
        </w:rPr>
      </w:pPr>
      <w:r w:rsidRPr="00805244">
        <w:rPr>
          <w:color w:val="auto"/>
        </w:rPr>
        <w:t>The findings from the 170 survey responses analysed in Chapter 4 suggest generally positive perceptions of AI tools in healthcare services in the UK. Demographic and descriptive findings indicated positive levels of consumer trust, brand reputation, loyalty and competitiveness alongside positive perceptions of AI. The reported Cronbach's alpha revealed good overall consistency for all five composite variables, and KMO and Bartlett's Test revealed good factorability but did not independently meet the criteria for construct validity. Pearson correlation and simple linear regression confirmed all four hypotheses with significant positive correlations between the use of AI tools and consumer trust, brand reputation and image, patient and consumer loyalty, and brand competitiveness. These relationships were associative and should also be considered in conjunction with issues of system reliability, transparency, privacy protections, human supervision and equitable access.</w:t>
      </w:r>
      <w:r w:rsidR="00F844B6" w:rsidRPr="00805244">
        <w:rPr>
          <w:color w:val="auto"/>
        </w:rPr>
        <w:br w:type="page"/>
      </w:r>
    </w:p>
    <w:p w14:paraId="4E7A7956" w14:textId="77777777" w:rsidR="00F137ED" w:rsidRPr="00805244" w:rsidRDefault="00F137ED" w:rsidP="00F137ED">
      <w:pPr>
        <w:pStyle w:val="Heading1"/>
        <w:rPr>
          <w:color w:val="auto"/>
        </w:rPr>
      </w:pPr>
      <w:bookmarkStart w:id="101" w:name="_Toc241072280"/>
      <w:r w:rsidRPr="00805244">
        <w:rPr>
          <w:color w:val="auto"/>
        </w:rPr>
        <w:lastRenderedPageBreak/>
        <w:t>Chapter 5: Recommendations and Conclusions</w:t>
      </w:r>
      <w:bookmarkEnd w:id="101"/>
    </w:p>
    <w:p w14:paraId="4B8DC962" w14:textId="77777777" w:rsidR="00F137ED" w:rsidRPr="00805244" w:rsidRDefault="00F137ED" w:rsidP="00F137ED">
      <w:pPr>
        <w:pStyle w:val="Heading2"/>
        <w:rPr>
          <w:color w:val="auto"/>
        </w:rPr>
      </w:pPr>
      <w:bookmarkStart w:id="102" w:name="_ejfkotkx1jkk" w:colFirst="0" w:colLast="0"/>
      <w:bookmarkStart w:id="103" w:name="_Toc241072281"/>
      <w:bookmarkEnd w:id="102"/>
      <w:r w:rsidRPr="00805244">
        <w:rPr>
          <w:color w:val="auto"/>
        </w:rPr>
        <w:t>5.1 Conclusions and Answers to the Research Questions</w:t>
      </w:r>
      <w:bookmarkEnd w:id="103"/>
    </w:p>
    <w:p w14:paraId="19739915" w14:textId="77777777" w:rsidR="00F137ED" w:rsidRPr="00805244" w:rsidRDefault="00F137ED" w:rsidP="00F137ED">
      <w:pPr>
        <w:rPr>
          <w:b/>
          <w:bCs/>
          <w:i/>
          <w:iCs/>
          <w:color w:val="auto"/>
        </w:rPr>
      </w:pPr>
      <w:r w:rsidRPr="00805244">
        <w:rPr>
          <w:b/>
          <w:bCs/>
          <w:i/>
          <w:iCs/>
          <w:color w:val="auto"/>
        </w:rPr>
        <w:t>Conclusion for RQ1</w:t>
      </w:r>
    </w:p>
    <w:p w14:paraId="02C4845D" w14:textId="77777777" w:rsidR="00F137ED" w:rsidRPr="00805244" w:rsidRDefault="00AE6F0D" w:rsidP="00F137ED">
      <w:pPr>
        <w:rPr>
          <w:color w:val="auto"/>
          <w:lang w:val="en-US"/>
        </w:rPr>
      </w:pPr>
      <w:r w:rsidRPr="00805244">
        <w:rPr>
          <w:color w:val="auto"/>
        </w:rPr>
        <w:t>The survey results show that UK consumers had a positive attitude towards AI-enabled healthcare services. The overall mean (3.9824) suggests that there was a general agreement among the respondents with statements relating to AI in accessibility, communication, personalisation and service experience. Not all types of AI were received with open arms, however. AI-personalised communication was the most used service (33.53%) and AI-supported monitoring or recommendations was the least used service (6.47%). This indicates varying levels of exposure to or comfort with AI applications, although the survey does not indicate what caused the difference. The result is in line with TAM which states that people are more likely to accept technologies that are perceived as useful and easy to use. Thus, the study is reflective of people's general positive perceptions of AI and not conclusive evidence that AI improves healthcare performance.</w:t>
      </w:r>
    </w:p>
    <w:p w14:paraId="48168D12" w14:textId="77777777" w:rsidR="00F137ED" w:rsidRPr="00805244" w:rsidRDefault="00F137ED" w:rsidP="00F137ED">
      <w:pPr>
        <w:rPr>
          <w:b/>
          <w:bCs/>
          <w:i/>
          <w:iCs/>
          <w:color w:val="auto"/>
        </w:rPr>
      </w:pPr>
      <w:r w:rsidRPr="00805244">
        <w:rPr>
          <w:b/>
          <w:bCs/>
          <w:i/>
          <w:iCs/>
          <w:color w:val="auto"/>
        </w:rPr>
        <w:t>Conclusion for RQ2</w:t>
      </w:r>
    </w:p>
    <w:p w14:paraId="242EC89B" w14:textId="77777777" w:rsidR="00F137ED" w:rsidRPr="00805244" w:rsidRDefault="00AE6F0D" w:rsidP="00F137ED">
      <w:pPr>
        <w:rPr>
          <w:color w:val="auto"/>
          <w:lang w:val="en-US"/>
        </w:rPr>
      </w:pPr>
      <w:r w:rsidRPr="00805244">
        <w:rPr>
          <w:color w:val="auto"/>
        </w:rPr>
        <w:t>The findings show a high degree of correlation between perceptions of AI tools and consumer trust. The mean value of consumer trust was 4.0024 and the Pearson correlation between AI tools and consumer trust was 0.811 (p &lt; 0.001). Overall, the simple regression model explained 65.8% of the variance in trust for this sample. Thus, positive perceptions of AI were related to higher levels of consumer trust, although the cross-sectional design means that it is not possible to determine that AI caused the increase. According to Trust Theory and the literature reviewed, reliability, transparency, privacy, safety and human oversight are relevant conditions to consider when interpreting this relationship, but none of these were tested separately as predictors in the reported regression.</w:t>
      </w:r>
    </w:p>
    <w:p w14:paraId="31D29D5A" w14:textId="77777777" w:rsidR="00F137ED" w:rsidRPr="00805244" w:rsidRDefault="00F137ED" w:rsidP="00F137ED">
      <w:pPr>
        <w:rPr>
          <w:b/>
          <w:bCs/>
          <w:i/>
          <w:iCs/>
          <w:color w:val="auto"/>
        </w:rPr>
      </w:pPr>
      <w:r w:rsidRPr="00805244">
        <w:rPr>
          <w:b/>
          <w:bCs/>
          <w:i/>
          <w:iCs/>
          <w:color w:val="auto"/>
        </w:rPr>
        <w:t>Conclusion for RQ3</w:t>
      </w:r>
    </w:p>
    <w:p w14:paraId="77EB64A0" w14:textId="77777777" w:rsidR="00F137ED" w:rsidRPr="00805244" w:rsidRDefault="00E14006" w:rsidP="00405B39">
      <w:pPr>
        <w:rPr>
          <w:color w:val="auto"/>
        </w:rPr>
      </w:pPr>
      <w:r w:rsidRPr="00805244">
        <w:rPr>
          <w:color w:val="auto"/>
        </w:rPr>
        <w:lastRenderedPageBreak/>
        <w:t>RQ3 examined the relationship between consumers’ perceptions of AI tools and perceived brand competitiveness. The highest mean score was for brand competitiveness (4.0824), and brand competitiveness was highly correlated with AI tools (r = 0.756, p &lt; 0.001). The simple regression model accounted for 57.2% of the variance in perceived brand competitiveness within this sample. These results support an association between favourable AI perceptions and stronger competitive brand perceptions, but they do not show that AI directly causes greater competitiveness. Consumer trust was separately associated with AI tools (r = 0.811), providing additional context for the wider pattern of consumer perceptions without changing the focus of RQ3.</w:t>
      </w:r>
    </w:p>
    <w:p w14:paraId="1C8053A6" w14:textId="77777777" w:rsidR="00F137ED" w:rsidRPr="00805244" w:rsidRDefault="00F137ED" w:rsidP="00F137ED">
      <w:pPr>
        <w:rPr>
          <w:b/>
          <w:bCs/>
          <w:i/>
          <w:iCs/>
          <w:color w:val="auto"/>
        </w:rPr>
      </w:pPr>
      <w:r w:rsidRPr="00805244">
        <w:rPr>
          <w:b/>
          <w:bCs/>
          <w:i/>
          <w:iCs/>
          <w:color w:val="auto"/>
        </w:rPr>
        <w:t>Conclusion for RQ4</w:t>
      </w:r>
    </w:p>
    <w:p w14:paraId="0215D529" w14:textId="77777777" w:rsidR="00F137ED" w:rsidRPr="00805244" w:rsidRDefault="00F137ED" w:rsidP="00405B39">
      <w:pPr>
        <w:rPr>
          <w:color w:val="auto"/>
        </w:rPr>
      </w:pPr>
      <w:r w:rsidRPr="00805244">
        <w:rPr>
          <w:color w:val="auto"/>
        </w:rPr>
        <w:t xml:space="preserve">The wider research indicates that positive outcomes depend on how AI is managed in practice, while the current study found statistically significant positive associations between AI perceptions and trust, reputation, loyalty and competitiveness. The findings therefore support monitoring these consumer outcomes when AI-enabled services are implemented. The reviewed literature further indicates the importance of reliable performance, transparency, privacy protection, safety, human oversight and inclusive alternatives. </w:t>
      </w:r>
      <w:r w:rsidR="00E14006" w:rsidRPr="00805244">
        <w:rPr>
          <w:color w:val="auto"/>
        </w:rPr>
        <w:t>These conditions should not be regarded as predictors separately tested in this dissertation, but as conditions of implementation. In sum, responsible, patient-centred deployment would be more consistent with the evidence than the notion that technology adoption in itself is a means to greater trust or competitiveness.</w:t>
      </w:r>
    </w:p>
    <w:p w14:paraId="1A9F2ECF" w14:textId="77777777" w:rsidR="00F137ED" w:rsidRPr="00805244" w:rsidRDefault="00F137ED" w:rsidP="00F137ED">
      <w:pPr>
        <w:pStyle w:val="Heading2"/>
        <w:rPr>
          <w:color w:val="auto"/>
        </w:rPr>
      </w:pPr>
      <w:bookmarkStart w:id="104" w:name="_qnii6rl2k50r" w:colFirst="0" w:colLast="0"/>
      <w:bookmarkStart w:id="105" w:name="_Toc241072282"/>
      <w:bookmarkEnd w:id="104"/>
      <w:r w:rsidRPr="00805244">
        <w:rPr>
          <w:color w:val="auto"/>
        </w:rPr>
        <w:t>5.2 Achievement of Research Objectives</w:t>
      </w:r>
      <w:bookmarkEnd w:id="105"/>
    </w:p>
    <w:p w14:paraId="67D3756B" w14:textId="77777777" w:rsidR="00F137ED" w:rsidRPr="00805244" w:rsidRDefault="00F137ED" w:rsidP="00F137ED">
      <w:pPr>
        <w:rPr>
          <w:b/>
          <w:bCs/>
          <w:i/>
          <w:iCs/>
          <w:color w:val="auto"/>
        </w:rPr>
      </w:pPr>
      <w:r w:rsidRPr="00805244">
        <w:rPr>
          <w:b/>
          <w:bCs/>
          <w:i/>
          <w:iCs/>
          <w:color w:val="auto"/>
        </w:rPr>
        <w:t>Achieving RO1</w:t>
      </w:r>
    </w:p>
    <w:p w14:paraId="364C7FE2" w14:textId="77777777" w:rsidR="00F137ED" w:rsidRPr="00805244" w:rsidRDefault="00F137ED" w:rsidP="00405B39">
      <w:pPr>
        <w:rPr>
          <w:color w:val="auto"/>
        </w:rPr>
      </w:pPr>
      <w:r w:rsidRPr="00805244">
        <w:rPr>
          <w:color w:val="auto"/>
        </w:rPr>
        <w:t xml:space="preserve">The first objective was achieved by considering consumer views on AI-supported accessibility, communication, personalisation and patient experience. Of the 170 responses analysed, the overall mean for AI perceptions was 3.9824, indicating generally positive perceptions. The use </w:t>
      </w:r>
      <w:r w:rsidRPr="00805244">
        <w:rPr>
          <w:color w:val="auto"/>
        </w:rPr>
        <w:lastRenderedPageBreak/>
        <w:t>pattern was also part of the explanation for consumer interaction with various AI services, particularly the more frequent use of personalised communication compared with monitoring and recommendations. This objective was met as the research was designed to assess consumer perceptions rather than objective healthcare performance. Thus, the results illustrate respondents’ evaluations of AI-powered service support in the UK health sector.</w:t>
      </w:r>
    </w:p>
    <w:p w14:paraId="2FD2DE2A" w14:textId="77777777" w:rsidR="00F137ED" w:rsidRPr="00805244" w:rsidRDefault="00F137ED" w:rsidP="00F137ED">
      <w:pPr>
        <w:rPr>
          <w:b/>
          <w:bCs/>
          <w:i/>
          <w:iCs/>
          <w:color w:val="auto"/>
        </w:rPr>
      </w:pPr>
      <w:r w:rsidRPr="00805244">
        <w:rPr>
          <w:b/>
          <w:bCs/>
          <w:i/>
          <w:iCs/>
          <w:color w:val="auto"/>
        </w:rPr>
        <w:t>Achieving RO2</w:t>
      </w:r>
    </w:p>
    <w:p w14:paraId="47A1BBA9" w14:textId="77777777" w:rsidR="00F137ED" w:rsidRPr="00805244" w:rsidRDefault="00F137ED" w:rsidP="00405B39">
      <w:pPr>
        <w:rPr>
          <w:color w:val="auto"/>
        </w:rPr>
      </w:pPr>
      <w:r w:rsidRPr="00805244">
        <w:rPr>
          <w:color w:val="auto"/>
        </w:rPr>
        <w:t>The study found a correlation of 0.811 between AI tools and consumer trust, with an R-square of 0.658 and a statistically significant result. This indicates that more positive AI perceptions were strongly associated with higher trust levels among respondents. Objective 2 was therefore achieved for the overall AI-trust relationship. Transparency, reliability, privacy and safety informed the interpretation through the literature and questionnaire content, but they were not tested separately as individual predictors.</w:t>
      </w:r>
    </w:p>
    <w:p w14:paraId="22A92A66" w14:textId="77777777" w:rsidR="00F137ED" w:rsidRPr="00805244" w:rsidRDefault="00F137ED" w:rsidP="00F137ED">
      <w:pPr>
        <w:rPr>
          <w:b/>
          <w:bCs/>
          <w:i/>
          <w:iCs/>
          <w:color w:val="auto"/>
        </w:rPr>
      </w:pPr>
      <w:r w:rsidRPr="00805244">
        <w:rPr>
          <w:b/>
          <w:bCs/>
          <w:i/>
          <w:iCs/>
          <w:color w:val="auto"/>
        </w:rPr>
        <w:t>Achieving RO3</w:t>
      </w:r>
    </w:p>
    <w:p w14:paraId="4ECC4307" w14:textId="77777777" w:rsidR="00F137ED" w:rsidRPr="00805244" w:rsidRDefault="00F137ED" w:rsidP="00405B39">
      <w:pPr>
        <w:rPr>
          <w:color w:val="auto"/>
        </w:rPr>
      </w:pPr>
      <w:r w:rsidRPr="00805244">
        <w:rPr>
          <w:color w:val="auto"/>
        </w:rPr>
        <w:t>Objective 3 was achieved by testing how consumers’ perceptions of AI tools were associated with brand-related outcomes. AI tools were positively associated with brand reputation and image (r = 0.819), patient and consumer loyalty (r = 0.747), and perceived brand competitiveness (r = 0.756), with all reported relationships statistically significant. These results support the objective at the level of perceived brand outcomes, while the cross-sectional design does not establish causal effects.</w:t>
      </w:r>
    </w:p>
    <w:p w14:paraId="0D343152" w14:textId="77777777" w:rsidR="00F137ED" w:rsidRPr="00805244" w:rsidRDefault="00F137ED" w:rsidP="00F137ED">
      <w:pPr>
        <w:rPr>
          <w:b/>
          <w:bCs/>
          <w:i/>
          <w:iCs/>
          <w:color w:val="auto"/>
        </w:rPr>
      </w:pPr>
      <w:r w:rsidRPr="00805244">
        <w:rPr>
          <w:b/>
          <w:bCs/>
          <w:i/>
          <w:iCs/>
          <w:color w:val="auto"/>
        </w:rPr>
        <w:t>Achieving RO4</w:t>
      </w:r>
    </w:p>
    <w:p w14:paraId="2654DF19" w14:textId="77777777" w:rsidR="00F137ED" w:rsidRPr="00805244" w:rsidRDefault="00F137ED" w:rsidP="00405B39">
      <w:pPr>
        <w:rPr>
          <w:color w:val="auto"/>
        </w:rPr>
      </w:pPr>
      <w:r w:rsidRPr="00805244">
        <w:rPr>
          <w:color w:val="auto"/>
        </w:rPr>
        <w:t xml:space="preserve">The study has given a basis for recommendations on responsible implementation of AI, and therefore objective 4 was achieved. The results show that positive perceptions of AI are associated with trust, reputation, loyalty and competitiveness. The recommendations therefore use these consumer outcomes as management priorities and combine them with the implementation conditions identified in the reviewed literature, including human supervision, </w:t>
      </w:r>
      <w:r w:rsidRPr="00805244">
        <w:rPr>
          <w:color w:val="auto"/>
        </w:rPr>
        <w:lastRenderedPageBreak/>
        <w:t xml:space="preserve">understandable transparency, privacy protection, safe performance and inclusive access. </w:t>
      </w:r>
      <w:r w:rsidR="002B1F7F" w:rsidRPr="00805244">
        <w:rPr>
          <w:color w:val="auto"/>
        </w:rPr>
        <w:t>This connects the recommendations with the findings of the study without treating literature-based governance factors as independently tested effects.</w:t>
      </w:r>
    </w:p>
    <w:p w14:paraId="20FF806D" w14:textId="77777777" w:rsidR="00F137ED" w:rsidRPr="00805244" w:rsidRDefault="00F137ED" w:rsidP="00F137ED">
      <w:pPr>
        <w:pStyle w:val="Heading2"/>
        <w:rPr>
          <w:color w:val="auto"/>
        </w:rPr>
      </w:pPr>
      <w:bookmarkStart w:id="106" w:name="_hmmxlq8y9bpb" w:colFirst="0" w:colLast="0"/>
      <w:bookmarkStart w:id="107" w:name="_Toc241072283"/>
      <w:bookmarkEnd w:id="106"/>
      <w:r w:rsidRPr="00805244">
        <w:rPr>
          <w:color w:val="auto"/>
        </w:rPr>
        <w:t>5.3 Recommendations for Managerial Practice</w:t>
      </w:r>
      <w:bookmarkEnd w:id="107"/>
    </w:p>
    <w:p w14:paraId="04EE8DDF" w14:textId="77777777" w:rsidR="00F137ED" w:rsidRPr="00805244" w:rsidRDefault="00F137ED" w:rsidP="00F137ED">
      <w:pPr>
        <w:rPr>
          <w:b/>
          <w:bCs/>
          <w:i/>
          <w:iCs/>
          <w:color w:val="auto"/>
        </w:rPr>
      </w:pPr>
      <w:r w:rsidRPr="00805244">
        <w:rPr>
          <w:b/>
          <w:bCs/>
          <w:i/>
          <w:iCs/>
          <w:color w:val="auto"/>
        </w:rPr>
        <w:t>Recommendation 1: Maintaining Human Involvement in AI-Supported Healthcare</w:t>
      </w:r>
    </w:p>
    <w:p w14:paraId="4EC5674C" w14:textId="77777777" w:rsidR="00F137ED" w:rsidRPr="00805244" w:rsidRDefault="002B1F7F" w:rsidP="00405B39">
      <w:pPr>
        <w:rPr>
          <w:color w:val="auto"/>
          <w:lang w:val="en-US"/>
        </w:rPr>
      </w:pPr>
      <w:r w:rsidRPr="00805244">
        <w:rPr>
          <w:color w:val="auto"/>
        </w:rPr>
        <w:t>The analysis showed that there is a strong correlation between AI perceptions and consumer trust (r = 0.811), indicating that consumer trust is one of the factors that should be taken into account when introducing AI-supported services in healthcare. Even though the human factor was not explicitly tested in this study, in Sauerbrei et al. (2023) the participants stated that they wanted AI to enhance, but not substitute, healthcare providers, and Davies et al. (2024) reported similar findings. When clinicians are communicating or making decisions involving sensitive information, the providers should set clear guidelines on clinician review, escalation and accountability. This integrates the convenience of AI with security and service-governance measures to ensure that the service is safe, accountable and consumer-friendly.</w:t>
      </w:r>
    </w:p>
    <w:p w14:paraId="0618ACCC" w14:textId="77777777" w:rsidR="00F137ED" w:rsidRPr="00805244" w:rsidRDefault="00F137ED" w:rsidP="00F137ED">
      <w:pPr>
        <w:rPr>
          <w:b/>
          <w:bCs/>
          <w:i/>
          <w:iCs/>
          <w:color w:val="auto"/>
        </w:rPr>
      </w:pPr>
      <w:r w:rsidRPr="00805244">
        <w:rPr>
          <w:b/>
          <w:bCs/>
          <w:i/>
          <w:iCs/>
          <w:color w:val="auto"/>
        </w:rPr>
        <w:t>Recommendation 2: Providing Understandable AI Transparency</w:t>
      </w:r>
    </w:p>
    <w:p w14:paraId="7BA9CDF2" w14:textId="77777777" w:rsidR="00F137ED" w:rsidRPr="00805244" w:rsidRDefault="002B1F7F" w:rsidP="00405B39">
      <w:pPr>
        <w:rPr>
          <w:color w:val="auto"/>
        </w:rPr>
      </w:pPr>
      <w:r w:rsidRPr="00805244">
        <w:rPr>
          <w:color w:val="auto"/>
        </w:rPr>
        <w:t>Healthcare professionals should be capable of explaining to consumers in a way that they understand how AI is being used. The relevance of understandable communication as a management priority in this study is supported by the strong AI-trust association, but transparency was not assessed as an independent predictor.</w:t>
      </w:r>
      <w:r w:rsidR="00F137ED" w:rsidRPr="00805244">
        <w:rPr>
          <w:color w:val="auto"/>
        </w:rPr>
        <w:t xml:space="preserve"> People should be informed about the presence of AI, its function, its information, its limitations and when a professional will be involved. Nizette et al. (2025) found that explanations can boost confidence and acceptance, while excessive information or control can create overload. Afroogh et al. (2024) also reported that visual and example-based explanations can help to build trust. Managers should therefore use straightforward language and clear examples.</w:t>
      </w:r>
    </w:p>
    <w:p w14:paraId="3C4EB3D3" w14:textId="77777777" w:rsidR="00F137ED" w:rsidRPr="00805244" w:rsidRDefault="00F137ED" w:rsidP="00F137ED">
      <w:pPr>
        <w:rPr>
          <w:b/>
          <w:bCs/>
          <w:i/>
          <w:iCs/>
          <w:color w:val="auto"/>
        </w:rPr>
      </w:pPr>
      <w:r w:rsidRPr="00805244">
        <w:rPr>
          <w:b/>
          <w:bCs/>
          <w:i/>
          <w:iCs/>
          <w:color w:val="auto"/>
        </w:rPr>
        <w:t>Recommendation 3: Strengthening Privacy, Safety and AI Governance</w:t>
      </w:r>
    </w:p>
    <w:p w14:paraId="325589AF" w14:textId="77777777" w:rsidR="00F137ED" w:rsidRPr="00805244" w:rsidRDefault="00F137ED" w:rsidP="00405B39">
      <w:pPr>
        <w:rPr>
          <w:color w:val="auto"/>
        </w:rPr>
      </w:pPr>
      <w:r w:rsidRPr="00805244">
        <w:rPr>
          <w:color w:val="auto"/>
        </w:rPr>
        <w:lastRenderedPageBreak/>
        <w:t>Managers should consider privacy, safety and AI governance as patient-protection and brand-risk management issues. The study found that favourable AI perceptions were associated with trust and brand outcomes, although privacy and safety were not isolated statistically as separate predictors. Al Kuwaiti et al. (2023) warned that biased data, hidden errors and unsafe outputs can have serious consequences, while Jenko et al. (2025) identified data quality, clinical validation, cybersecurity, workforce management and service integration as important to successful healthcare AI. Providers should therefore use regular monitoring, validation, privacy reviews, incident reporting and clear accountability to reduce technical and reputational risks.</w:t>
      </w:r>
    </w:p>
    <w:p w14:paraId="168FC4DC" w14:textId="77777777" w:rsidR="00F137ED" w:rsidRPr="00805244" w:rsidRDefault="00F137ED" w:rsidP="00F137ED">
      <w:pPr>
        <w:rPr>
          <w:b/>
          <w:bCs/>
          <w:i/>
          <w:iCs/>
          <w:color w:val="auto"/>
        </w:rPr>
      </w:pPr>
      <w:r w:rsidRPr="00805244">
        <w:rPr>
          <w:b/>
          <w:bCs/>
          <w:i/>
          <w:iCs/>
          <w:color w:val="auto"/>
        </w:rPr>
        <w:t>Recommendation 4: Preserving Inclusive and Alternative Access Routes</w:t>
      </w:r>
    </w:p>
    <w:p w14:paraId="247FEDF0" w14:textId="77777777" w:rsidR="00F137ED" w:rsidRPr="00805244" w:rsidRDefault="00F137ED" w:rsidP="00405B39">
      <w:pPr>
        <w:rPr>
          <w:color w:val="auto"/>
        </w:rPr>
      </w:pPr>
      <w:r w:rsidRPr="00805244">
        <w:rPr>
          <w:color w:val="auto"/>
        </w:rPr>
        <w:t>AI should not be used to create healthcare pathways that are exclusive to digital channels. The present sample included only 4.71% of respondents aged 55 and above, so the study cannot confidently generalise digital-access conclusions to older consumers. Farre et al. (2023) found lower digital participation among older people, lower-income groups and ethnic-minority groups. Managers should therefore retain telephone, face-to-face and staff-assisted routes alongside AI-enabled ones and monitor which groups use AI less or experience greater difficulty. This supports convenience without making access dependent on digital confidence.</w:t>
      </w:r>
    </w:p>
    <w:p w14:paraId="5AD7C4A3" w14:textId="77777777" w:rsidR="00F137ED" w:rsidRPr="00805244" w:rsidRDefault="00F137ED" w:rsidP="00F137ED">
      <w:pPr>
        <w:rPr>
          <w:b/>
          <w:bCs/>
          <w:i/>
          <w:iCs/>
          <w:color w:val="auto"/>
        </w:rPr>
      </w:pPr>
      <w:r w:rsidRPr="00805244">
        <w:rPr>
          <w:b/>
          <w:bCs/>
          <w:i/>
          <w:iCs/>
          <w:color w:val="auto"/>
        </w:rPr>
        <w:t>Recommendation 5: Managing Consumer Trust as a Brand Asset</w:t>
      </w:r>
    </w:p>
    <w:p w14:paraId="229F80C0" w14:textId="77777777" w:rsidR="00F137ED" w:rsidRPr="00805244" w:rsidRDefault="00E14006" w:rsidP="00405B39">
      <w:pPr>
        <w:rPr>
          <w:color w:val="auto"/>
        </w:rPr>
      </w:pPr>
      <w:r w:rsidRPr="00805244">
        <w:rPr>
          <w:color w:val="auto"/>
        </w:rPr>
        <w:t xml:space="preserve">Consumer trust is a key indicator of the success of implementing AI in healthcare management, in addition to cost, speed or automation. The study revealed that there are strong positive relationships between AI perceptions and consumer trust (r = 0.811), brand reputation and image (r = 0.819), loyalty (r = 0.747), and brand competitiveness (r = 0.756). These results directly inform the monitoring of trust, satisfaction, complaints, perceived reliability, reputation and continued-use intentions as AI-enabled services evolve. The relevance of these </w:t>
      </w:r>
      <w:r w:rsidRPr="00805244">
        <w:rPr>
          <w:color w:val="auto"/>
        </w:rPr>
        <w:lastRenderedPageBreak/>
        <w:t>relationship measures is also supported by the literature in the field of hospital brand image and patient experience in the hospital environment (Razzaq et al., 2024; Pratami et al., 2023).</w:t>
      </w:r>
    </w:p>
    <w:p w14:paraId="5C1B0FED" w14:textId="77777777" w:rsidR="00F137ED" w:rsidRPr="00805244" w:rsidRDefault="00F137ED" w:rsidP="00F137ED">
      <w:pPr>
        <w:pStyle w:val="Heading2"/>
        <w:rPr>
          <w:color w:val="auto"/>
        </w:rPr>
      </w:pPr>
      <w:bookmarkStart w:id="108" w:name="_cyhqzomqnwyp" w:colFirst="0" w:colLast="0"/>
      <w:bookmarkStart w:id="109" w:name="_Toc241072284"/>
      <w:bookmarkEnd w:id="108"/>
      <w:r w:rsidRPr="00805244">
        <w:rPr>
          <w:color w:val="auto"/>
        </w:rPr>
        <w:t>5.4 Contribution to Theory and New Knowledge</w:t>
      </w:r>
      <w:bookmarkEnd w:id="109"/>
    </w:p>
    <w:p w14:paraId="153EF08F" w14:textId="77777777" w:rsidR="00E14006" w:rsidRPr="00805244" w:rsidRDefault="00E14006" w:rsidP="00405B39">
      <w:pPr>
        <w:rPr>
          <w:color w:val="auto"/>
        </w:rPr>
      </w:pPr>
      <w:r w:rsidRPr="00805244">
        <w:rPr>
          <w:color w:val="auto"/>
        </w:rPr>
        <w:t>The main theoretical contribution of this paper is the integration of TAM, Trust Theory and CBBE Theory in a single consumer-related healthcare context. TAM can be used to comprehend why consumers may make use of AI if they find it beneficial and easy to use. However, the healthcare dimension is addressed by Trust Theory, which suggests that usefulness alone may not be sufficient if consumers are concerned about reliability, privacy, safety and professional responsibility. CBBE Theory describes the relationship between positive service experiences and reputation, preference, loyalty and perceived competitive strength.</w:t>
      </w:r>
    </w:p>
    <w:p w14:paraId="2A9F6249" w14:textId="77777777" w:rsidR="00E14006" w:rsidRPr="00805244" w:rsidRDefault="00E14006" w:rsidP="00405B39">
      <w:pPr>
        <w:rPr>
          <w:color w:val="auto"/>
        </w:rPr>
      </w:pPr>
      <w:r w:rsidRPr="00805244">
        <w:rPr>
          <w:color w:val="auto"/>
        </w:rPr>
        <w:t>The study relates healthcare AI to branding and explains the management focus of the study. It takes into account technology adoption and technology trust as well as perceptions of AI-enabled services and their relationships with trust, reputation, loyalty and competitiveness in one study. The results thus offer a holistic view of consumer perception without claiming causal relationships.</w:t>
      </w:r>
    </w:p>
    <w:p w14:paraId="3F8A572C" w14:textId="77777777" w:rsidR="00F137ED" w:rsidRPr="00805244" w:rsidRDefault="00F137ED" w:rsidP="00405B39">
      <w:pPr>
        <w:rPr>
          <w:color w:val="auto"/>
        </w:rPr>
      </w:pPr>
      <w:r w:rsidRPr="00805244">
        <w:rPr>
          <w:color w:val="auto"/>
        </w:rPr>
        <w:t>Another contribution is the parallel consideration of trust and brand competitiveness. The results show that AI perceptions were strongly associated separately with consumer trust and brand competitiveness. This is consistent with the theoretical possibility that trusted AI experiences may contribute to stronger brand relationships. However, this was not tested as a mediation effect. The contribution should therefore be regarded as a conceptual pathway for future testing rather than an established empirical mechanism.</w:t>
      </w:r>
    </w:p>
    <w:p w14:paraId="393F05DB" w14:textId="77777777" w:rsidR="00F137ED" w:rsidRPr="00805244" w:rsidRDefault="00F137ED" w:rsidP="00F137ED">
      <w:pPr>
        <w:pStyle w:val="Heading2"/>
        <w:rPr>
          <w:color w:val="auto"/>
        </w:rPr>
      </w:pPr>
      <w:bookmarkStart w:id="110" w:name="_3qmbtge1t0an" w:colFirst="0" w:colLast="0"/>
      <w:bookmarkStart w:id="111" w:name="_Toc241072285"/>
      <w:bookmarkEnd w:id="110"/>
      <w:r w:rsidRPr="00805244">
        <w:rPr>
          <w:color w:val="auto"/>
        </w:rPr>
        <w:t>5.5 Limitations and Directions for Future Research</w:t>
      </w:r>
      <w:bookmarkEnd w:id="111"/>
    </w:p>
    <w:p w14:paraId="41D0785A" w14:textId="77777777" w:rsidR="00F137ED" w:rsidRPr="00805244" w:rsidRDefault="00F137ED" w:rsidP="00405B39">
      <w:pPr>
        <w:rPr>
          <w:color w:val="auto"/>
        </w:rPr>
      </w:pPr>
      <w:r w:rsidRPr="00805244">
        <w:rPr>
          <w:color w:val="auto"/>
        </w:rPr>
        <w:t xml:space="preserve">The study has several limitations which limit the scope of generalisation of the findings. The number of respondents was 170, using convenience sampling, which does not represent all </w:t>
      </w:r>
      <w:r w:rsidRPr="00805244">
        <w:rPr>
          <w:color w:val="auto"/>
        </w:rPr>
        <w:lastRenderedPageBreak/>
        <w:t>healthcare consumers in the UK. There was also some imbalance in the demographic profile, with the 35-44 age group being the largest group, 40.59% of respondents having a bachelor's degree and only 4.71% being 55 and above. Future studies should be conducted on larger samples that include more older consumers and digitally excluded consumers using probability, quota or stratified sampling. This was a cross-sectional design which measured perceptions at one time. This means the study can only detect relationships and not whether the use of AI leads to a decrease or increase in trust or competitiveness later on. Future studies may be conducted longitudinally to examine changes in attitudes before and after consumer experience of AI-enabled services.</w:t>
      </w:r>
    </w:p>
    <w:p w14:paraId="20D21FED" w14:textId="381F79C0" w:rsidR="005030A0" w:rsidRPr="005030A0" w:rsidRDefault="00F137ED" w:rsidP="005030A0">
      <w:r w:rsidRPr="00805244">
        <w:rPr>
          <w:color w:val="auto"/>
        </w:rPr>
        <w:t>The study did not depend on objective indicators of clinical precision, service execution or market competitiveness, but on perceptions instead. Future research might integrate consumer surveys with behavioural or provider-performance information. Although consumer trust and brand competitiveness were examined as separate outcomes of AI perceptions, their direct relationship was outside the revised RQ3 and was not tested. Future research could examine the proposed AI service quality, trust and competitiveness pathway through mediation analysis, structural equation modelling or path analysis. The mono-method quantitative design also provides limited insight into why consumers hold particular views. Interviews or mixed-method studies might be used to examine reasons for distrust, preferred forms of explanation and differences between NHS and private healthcare. The reported associations remain useful, but the limitations suggest directions for improved designs in the future.</w:t>
      </w:r>
      <w:r w:rsidR="005030A0">
        <w:br w:type="page"/>
      </w:r>
    </w:p>
    <w:p w14:paraId="799D30DC" w14:textId="30CF6E95" w:rsidR="004B1505" w:rsidRDefault="00C95B9A" w:rsidP="00C95B9A">
      <w:pPr>
        <w:pStyle w:val="Heading1"/>
      </w:pPr>
      <w:bookmarkStart w:id="112" w:name="_Toc241072286"/>
      <w:r>
        <w:lastRenderedPageBreak/>
        <w:t>References</w:t>
      </w:r>
      <w:bookmarkEnd w:id="112"/>
    </w:p>
    <w:p w14:paraId="1E686EB8" w14:textId="77777777" w:rsidR="000A5D99" w:rsidRPr="00C95B9A" w:rsidRDefault="000A5D99" w:rsidP="00C95B9A">
      <w:pPr>
        <w:rPr>
          <w:lang w:val="en-IN"/>
        </w:rPr>
      </w:pPr>
      <w:r w:rsidRPr="00C95B9A">
        <w:rPr>
          <w:lang w:val="en-IN"/>
        </w:rPr>
        <w:t xml:space="preserve">Adeoye, S. and Adams, R. (2024) ‘Leveraging artificial intelligence for predictive healthcare: A data-driven approach to early diagnosis and personalized treatment’, </w:t>
      </w:r>
      <w:r w:rsidRPr="00C95B9A">
        <w:rPr>
          <w:i/>
          <w:iCs/>
          <w:lang w:val="en-IN"/>
        </w:rPr>
        <w:t>Cognizance Journal of Multidisciplinary Studies</w:t>
      </w:r>
      <w:r w:rsidRPr="00C95B9A">
        <w:rPr>
          <w:lang w:val="en-IN"/>
        </w:rPr>
        <w:t xml:space="preserve">, 4, pp. 80–97. </w:t>
      </w:r>
      <w:hyperlink r:id="rId31" w:history="1">
        <w:r w:rsidRPr="00C95B9A">
          <w:rPr>
            <w:rStyle w:val="Hyperlink"/>
            <w:lang w:val="en-IN"/>
          </w:rPr>
          <w:t>https://doi.org/10.47760/cognizance.2024.v04i11.006</w:t>
        </w:r>
      </w:hyperlink>
    </w:p>
    <w:p w14:paraId="276C59FE" w14:textId="77777777" w:rsidR="000A5D99" w:rsidRPr="00C95B9A" w:rsidRDefault="000A5D99" w:rsidP="00C95B9A">
      <w:pPr>
        <w:rPr>
          <w:lang w:val="en-IN"/>
        </w:rPr>
      </w:pPr>
      <w:r w:rsidRPr="00C95B9A">
        <w:rPr>
          <w:lang w:val="en-IN"/>
        </w:rPr>
        <w:t xml:space="preserve">Afroogh, S., Akbari, A., Malone, E., Kargar, M. and Alambeigi, H. (2024) ‘Trust in AI: Progress, challenges, and future directions’, </w:t>
      </w:r>
      <w:r w:rsidRPr="00C95B9A">
        <w:rPr>
          <w:i/>
          <w:iCs/>
          <w:lang w:val="en-IN"/>
        </w:rPr>
        <w:t>Humanities and Social Sciences Communications</w:t>
      </w:r>
      <w:r w:rsidRPr="00C95B9A">
        <w:rPr>
          <w:lang w:val="en-IN"/>
        </w:rPr>
        <w:t xml:space="preserve">, 11(1), p. 1568. </w:t>
      </w:r>
      <w:hyperlink r:id="rId32" w:history="1">
        <w:r w:rsidRPr="00C95B9A">
          <w:rPr>
            <w:rStyle w:val="Hyperlink"/>
            <w:lang w:val="en-IN"/>
          </w:rPr>
          <w:t>https://doi.org/10.1057/s41599-024-04044-8</w:t>
        </w:r>
      </w:hyperlink>
    </w:p>
    <w:p w14:paraId="02C53440" w14:textId="77777777" w:rsidR="000A5D99" w:rsidRPr="00C95B9A" w:rsidRDefault="000A5D99" w:rsidP="00C95B9A">
      <w:pPr>
        <w:rPr>
          <w:lang w:val="en-IN"/>
        </w:rPr>
      </w:pPr>
      <w:r w:rsidRPr="00C95B9A">
        <w:rPr>
          <w:lang w:val="en-IN"/>
        </w:rPr>
        <w:t xml:space="preserve">Al Kuwaiti, A., Nazer, K., Al-Reedy, A., Al-Shehri, S., Al-Muhanna, A., Subbarayalu, A.V., Al Muhanna, D. and Al-Muhanna, F.A. (2023) ‘A review of the role of artificial intelligence in healthcare’, </w:t>
      </w:r>
      <w:r w:rsidRPr="00C95B9A">
        <w:rPr>
          <w:i/>
          <w:iCs/>
          <w:lang w:val="en-IN"/>
        </w:rPr>
        <w:t>Journal of Personalized Medicine</w:t>
      </w:r>
      <w:r w:rsidRPr="00C95B9A">
        <w:rPr>
          <w:lang w:val="en-IN"/>
        </w:rPr>
        <w:t xml:space="preserve">, 13(6), p. 951. </w:t>
      </w:r>
      <w:hyperlink r:id="rId33" w:history="1">
        <w:r w:rsidRPr="00C95B9A">
          <w:rPr>
            <w:rStyle w:val="Hyperlink"/>
            <w:lang w:val="en-IN"/>
          </w:rPr>
          <w:t>https://doi.org/10.3390/jpm13060951</w:t>
        </w:r>
      </w:hyperlink>
    </w:p>
    <w:p w14:paraId="62723FF5" w14:textId="77777777" w:rsidR="000A5D99" w:rsidRPr="000E05BD" w:rsidRDefault="000A5D99" w:rsidP="000A5D99">
      <w:pPr>
        <w:rPr>
          <w:lang w:val="en-IN"/>
        </w:rPr>
      </w:pPr>
      <w:r w:rsidRPr="000E05BD">
        <w:rPr>
          <w:lang w:val="en-IN"/>
        </w:rPr>
        <w:t xml:space="preserve">Alabdali, M.A. and Husain, K.S. (2025) ‘Understanding the relationship between patient satisfaction and loyalty through telemedicine platform quality: An empirical study’, </w:t>
      </w:r>
      <w:r w:rsidRPr="000E05BD">
        <w:rPr>
          <w:i/>
          <w:iCs/>
          <w:lang w:val="en-IN"/>
        </w:rPr>
        <w:t>International Journal of Healthcare Management</w:t>
      </w:r>
      <w:r w:rsidRPr="000E05BD">
        <w:rPr>
          <w:lang w:val="en-IN"/>
        </w:rPr>
        <w:t xml:space="preserve">, 18(2), pp. 253–265. </w:t>
      </w:r>
      <w:hyperlink r:id="rId34" w:tgtFrame="_new" w:history="1">
        <w:r w:rsidRPr="000E05BD">
          <w:rPr>
            <w:rStyle w:val="Hyperlink"/>
            <w:lang w:val="en-IN"/>
          </w:rPr>
          <w:t>https://doi.org/10.1080/20479700.2023.2290351</w:t>
        </w:r>
      </w:hyperlink>
    </w:p>
    <w:p w14:paraId="540C8980" w14:textId="77777777" w:rsidR="000A5D99" w:rsidRPr="00C95B9A" w:rsidRDefault="000A5D99" w:rsidP="00C95B9A">
      <w:pPr>
        <w:rPr>
          <w:lang w:val="en-IN"/>
        </w:rPr>
      </w:pPr>
      <w:r w:rsidRPr="00C95B9A">
        <w:rPr>
          <w:lang w:val="en-IN"/>
        </w:rPr>
        <w:t xml:space="preserve">AlDhaen, F.S. (2025) ‘AI-powered transformation of healthcare: Enhancing patient safety through AI interventions with the mediating role of operational efficiency and moderating role of digital competence—insights from the Gulf Cooperation Council region’, </w:t>
      </w:r>
      <w:r w:rsidRPr="00C95B9A">
        <w:rPr>
          <w:i/>
          <w:iCs/>
          <w:lang w:val="en-IN"/>
        </w:rPr>
        <w:t>Healthcare</w:t>
      </w:r>
      <w:r w:rsidRPr="00C95B9A">
        <w:rPr>
          <w:lang w:val="en-IN"/>
        </w:rPr>
        <w:t xml:space="preserve">, 13(6), p. 614. </w:t>
      </w:r>
      <w:hyperlink r:id="rId35" w:history="1">
        <w:r w:rsidRPr="00C95B9A">
          <w:rPr>
            <w:rStyle w:val="Hyperlink"/>
            <w:lang w:val="en-IN"/>
          </w:rPr>
          <w:t>https://doi.org/10.3390/healthcare13060614</w:t>
        </w:r>
      </w:hyperlink>
    </w:p>
    <w:p w14:paraId="0003C8C6" w14:textId="77777777" w:rsidR="000A5D99" w:rsidRPr="00257866" w:rsidRDefault="000A5D99" w:rsidP="00257866">
      <w:pPr>
        <w:rPr>
          <w:lang w:val="en-US"/>
        </w:rPr>
      </w:pPr>
      <w:r w:rsidRPr="00257866">
        <w:rPr>
          <w:lang w:val="en-US"/>
        </w:rPr>
        <w:t xml:space="preserve">Ali Mohamad, T., Bastone, A., Bernhard, F. and Schiavone, F. (2023) ‘How artificial intelligence impacts the competitive position of healthcare organizations’, </w:t>
      </w:r>
      <w:r w:rsidRPr="00257866">
        <w:rPr>
          <w:i/>
          <w:iCs/>
          <w:lang w:val="en-US"/>
        </w:rPr>
        <w:t>Journal of Organizational Change Management</w:t>
      </w:r>
      <w:r w:rsidRPr="00257866">
        <w:rPr>
          <w:lang w:val="en-US"/>
        </w:rPr>
        <w:t xml:space="preserve">, 36(8), pp. 49–70. Available at: </w:t>
      </w:r>
      <w:hyperlink r:id="rId36" w:history="1">
        <w:r w:rsidRPr="00257866">
          <w:rPr>
            <w:rStyle w:val="Hyperlink"/>
            <w:lang w:val="en-US"/>
          </w:rPr>
          <w:t>https://doi.org/10.1108/JOCM-03-2023-0057</w:t>
        </w:r>
      </w:hyperlink>
    </w:p>
    <w:p w14:paraId="2C39FC2B" w14:textId="77777777" w:rsidR="000A5D99" w:rsidRPr="00257866" w:rsidRDefault="000A5D99" w:rsidP="00257866">
      <w:pPr>
        <w:rPr>
          <w:lang w:val="en-US"/>
        </w:rPr>
      </w:pPr>
      <w:r w:rsidRPr="00257866">
        <w:rPr>
          <w:lang w:val="en-US"/>
        </w:rPr>
        <w:t xml:space="preserve">Ali, O., Abdelbaki, W., Shrestha, A., Elbasi, E., Alryalat, M.A.A. and Dwivedi, Y.K. (2023) ‘A systematic literature review of artificial intelligence in the healthcare sector: Benefits, </w:t>
      </w:r>
      <w:r w:rsidRPr="00257866">
        <w:rPr>
          <w:lang w:val="en-US"/>
        </w:rPr>
        <w:lastRenderedPageBreak/>
        <w:t xml:space="preserve">challenges, methodologies, and functionalities’, </w:t>
      </w:r>
      <w:r w:rsidRPr="00257866">
        <w:rPr>
          <w:i/>
          <w:iCs/>
          <w:lang w:val="en-US"/>
        </w:rPr>
        <w:t>Journal of Innovation &amp; Knowledge</w:t>
      </w:r>
      <w:r w:rsidRPr="00257866">
        <w:rPr>
          <w:lang w:val="en-US"/>
        </w:rPr>
        <w:t xml:space="preserve">, 8(1), article 100333. Available at: </w:t>
      </w:r>
      <w:hyperlink r:id="rId37" w:history="1">
        <w:r w:rsidRPr="00257866">
          <w:rPr>
            <w:rStyle w:val="Hyperlink"/>
            <w:lang w:val="en-US"/>
          </w:rPr>
          <w:t>https://doi.org/10.1016/j.jik.2023.100333</w:t>
        </w:r>
      </w:hyperlink>
    </w:p>
    <w:p w14:paraId="478BC5DA" w14:textId="77777777" w:rsidR="000A5D99" w:rsidRPr="00C95B9A" w:rsidRDefault="000A5D99" w:rsidP="00C95B9A">
      <w:pPr>
        <w:rPr>
          <w:lang w:val="en-IN"/>
        </w:rPr>
      </w:pPr>
      <w:r w:rsidRPr="00C95B9A">
        <w:rPr>
          <w:lang w:val="en-IN"/>
        </w:rPr>
        <w:t xml:space="preserve">Al-Nafjan, A., Aljuhani, A., Alshebel, A., Alharbi, A. and Alshehri, A. (2025) ‘Artificial intelligence in predictive healthcare: A systematic review’, </w:t>
      </w:r>
      <w:r w:rsidRPr="00C95B9A">
        <w:rPr>
          <w:i/>
          <w:iCs/>
          <w:lang w:val="en-IN"/>
        </w:rPr>
        <w:t>Journal of Clinical Medicine</w:t>
      </w:r>
      <w:r w:rsidRPr="00C95B9A">
        <w:rPr>
          <w:lang w:val="en-IN"/>
        </w:rPr>
        <w:t xml:space="preserve">, 14(19), p. 6752. </w:t>
      </w:r>
      <w:hyperlink r:id="rId38" w:history="1">
        <w:r w:rsidRPr="00C95B9A">
          <w:rPr>
            <w:rStyle w:val="Hyperlink"/>
            <w:lang w:val="en-IN"/>
          </w:rPr>
          <w:t>https://doi.org/10.3390/jcm14196752</w:t>
        </w:r>
      </w:hyperlink>
    </w:p>
    <w:p w14:paraId="583227C1" w14:textId="77777777" w:rsidR="000A5D99" w:rsidRPr="00257866" w:rsidRDefault="000A5D99" w:rsidP="00257866">
      <w:pPr>
        <w:rPr>
          <w:lang w:val="en-US"/>
        </w:rPr>
      </w:pPr>
      <w:r w:rsidRPr="00257866">
        <w:rPr>
          <w:lang w:val="en-US"/>
        </w:rPr>
        <w:t xml:space="preserve">Alsyouf, A., Lutfi, A., Alsubahi, N., Alhazmi, F.N., Al-Mugheed, K., Anshasi, R.J., Alharbi, N.I. and Albugami, M. (2023) ‘The use of a Technology Acceptance Model (TAM) to predict patients’ usage of a personal health record system: The role of security, privacy, and usability’, </w:t>
      </w:r>
      <w:r w:rsidRPr="00257866">
        <w:rPr>
          <w:i/>
          <w:iCs/>
          <w:lang w:val="en-US"/>
        </w:rPr>
        <w:t>International Journal of Environmental Research and Public Health</w:t>
      </w:r>
      <w:r w:rsidRPr="00257866">
        <w:rPr>
          <w:lang w:val="en-US"/>
        </w:rPr>
        <w:t xml:space="preserve">, 20(2), article 1347. Available at: </w:t>
      </w:r>
      <w:hyperlink r:id="rId39" w:history="1">
        <w:r w:rsidRPr="00257866">
          <w:rPr>
            <w:rStyle w:val="Hyperlink"/>
            <w:lang w:val="en-US"/>
          </w:rPr>
          <w:t>https://doi.org/10.3390/ijerph20021347</w:t>
        </w:r>
      </w:hyperlink>
    </w:p>
    <w:p w14:paraId="172BFA52" w14:textId="77777777" w:rsidR="000A5D99" w:rsidRPr="00257866" w:rsidRDefault="000A5D99" w:rsidP="00257866">
      <w:pPr>
        <w:rPr>
          <w:lang w:val="en-US"/>
        </w:rPr>
      </w:pPr>
      <w:r w:rsidRPr="00257866">
        <w:rPr>
          <w:lang w:val="en-US"/>
        </w:rPr>
        <w:t xml:space="preserve">Andrade, C. (2021) ‘The inconvenient truth about convenience and purposive samples’, </w:t>
      </w:r>
      <w:r w:rsidRPr="00257866">
        <w:rPr>
          <w:i/>
          <w:iCs/>
          <w:lang w:val="en-US"/>
        </w:rPr>
        <w:t>Indian Journal of Psychological Medicine</w:t>
      </w:r>
      <w:r w:rsidRPr="00257866">
        <w:rPr>
          <w:lang w:val="en-US"/>
        </w:rPr>
        <w:t xml:space="preserve">, 43(1), pp. 86–88. Available at: </w:t>
      </w:r>
      <w:hyperlink r:id="rId40" w:history="1">
        <w:r w:rsidRPr="00257866">
          <w:rPr>
            <w:rStyle w:val="Hyperlink"/>
            <w:lang w:val="en-US"/>
          </w:rPr>
          <w:t>https://doi.org/10.1177/0253717620977000</w:t>
        </w:r>
      </w:hyperlink>
    </w:p>
    <w:p w14:paraId="0D2EE226" w14:textId="77777777" w:rsidR="000A5D99" w:rsidRPr="00C95B9A" w:rsidRDefault="000A5D99" w:rsidP="00C95B9A">
      <w:pPr>
        <w:rPr>
          <w:lang w:val="en-IN"/>
        </w:rPr>
      </w:pPr>
      <w:r w:rsidRPr="00C95B9A">
        <w:rPr>
          <w:lang w:val="en-IN"/>
        </w:rPr>
        <w:t xml:space="preserve">Anisha, S.A., Sen, A., Ahmad, B. and Bain, C. (2025) ‘Exploring acceptance of digital health technologies for managing non-communicable diseases among older adults: A systematic scoping review’, </w:t>
      </w:r>
      <w:r w:rsidRPr="00C95B9A">
        <w:rPr>
          <w:i/>
          <w:iCs/>
          <w:lang w:val="en-IN"/>
        </w:rPr>
        <w:t>Journal of Medical Systems</w:t>
      </w:r>
      <w:r w:rsidRPr="00C95B9A">
        <w:rPr>
          <w:lang w:val="en-IN"/>
        </w:rPr>
        <w:t xml:space="preserve">, 49(1), p. 35. </w:t>
      </w:r>
      <w:hyperlink r:id="rId41" w:history="1">
        <w:r w:rsidRPr="00C95B9A">
          <w:rPr>
            <w:rStyle w:val="Hyperlink"/>
            <w:lang w:val="en-IN"/>
          </w:rPr>
          <w:t>https://doi.org/10.1007/s10916-025-02166-3</w:t>
        </w:r>
      </w:hyperlink>
    </w:p>
    <w:p w14:paraId="5AA694C9" w14:textId="77777777" w:rsidR="000A5D99" w:rsidRPr="00C95B9A" w:rsidRDefault="000A5D99" w:rsidP="00C95B9A">
      <w:pPr>
        <w:rPr>
          <w:lang w:val="en-IN"/>
        </w:rPr>
      </w:pPr>
      <w:r w:rsidRPr="00C95B9A">
        <w:rPr>
          <w:lang w:val="en-IN"/>
        </w:rPr>
        <w:t xml:space="preserve">Arya, V., Sambyal, R., Sharma, A. and Dwivedi, Y.K. (2024) ‘Brands are calling your AVATAR in Metaverse–A study to explore XR-based gamification marketing activities and consumer-based brand equity in virtual world’, </w:t>
      </w:r>
      <w:r w:rsidRPr="00C95B9A">
        <w:rPr>
          <w:i/>
          <w:iCs/>
          <w:lang w:val="en-IN"/>
        </w:rPr>
        <w:t>Journal of Consumer Behaviour</w:t>
      </w:r>
      <w:r w:rsidRPr="00C95B9A">
        <w:rPr>
          <w:lang w:val="en-IN"/>
        </w:rPr>
        <w:t xml:space="preserve">, 23(2), pp. 556–585. </w:t>
      </w:r>
      <w:hyperlink r:id="rId42" w:history="1">
        <w:r w:rsidRPr="00C95B9A">
          <w:rPr>
            <w:rStyle w:val="Hyperlink"/>
            <w:lang w:val="en-IN"/>
          </w:rPr>
          <w:t>https://doi.org/10.1002/cb.2214</w:t>
        </w:r>
      </w:hyperlink>
    </w:p>
    <w:p w14:paraId="43A6B9B6" w14:textId="77777777" w:rsidR="000A5D99" w:rsidRPr="00C95B9A" w:rsidRDefault="000A5D99" w:rsidP="00C95B9A">
      <w:pPr>
        <w:rPr>
          <w:lang w:val="en-IN"/>
        </w:rPr>
      </w:pPr>
      <w:r w:rsidRPr="00C95B9A">
        <w:rPr>
          <w:lang w:val="en-IN"/>
        </w:rPr>
        <w:t xml:space="preserve">Aytekin, A., Alan, H., Demirel, H., Onur, N., Yalman, A., Livberber, T. and Yiğit-Açıkgöz, F. (2025) ‘Digital health technologies in patient experience literature: A scoping review and future outlook for sustainable digital health interventions’, </w:t>
      </w:r>
      <w:r w:rsidRPr="00C95B9A">
        <w:rPr>
          <w:i/>
          <w:iCs/>
          <w:lang w:val="en-IN"/>
        </w:rPr>
        <w:t>Sustainability</w:t>
      </w:r>
      <w:r w:rsidRPr="00C95B9A">
        <w:rPr>
          <w:lang w:val="en-IN"/>
        </w:rPr>
        <w:t xml:space="preserve">, 17(2), p. 456. </w:t>
      </w:r>
      <w:hyperlink r:id="rId43" w:history="1">
        <w:r w:rsidRPr="00C95B9A">
          <w:rPr>
            <w:rStyle w:val="Hyperlink"/>
            <w:lang w:val="en-IN"/>
          </w:rPr>
          <w:t>https://doi.org/10.3390/su17020456</w:t>
        </w:r>
      </w:hyperlink>
    </w:p>
    <w:p w14:paraId="6E2F5B06" w14:textId="77777777" w:rsidR="000A5D99" w:rsidRPr="00C95B9A" w:rsidRDefault="000A5D99" w:rsidP="00C95B9A">
      <w:pPr>
        <w:rPr>
          <w:lang w:val="en-IN"/>
        </w:rPr>
      </w:pPr>
      <w:r w:rsidRPr="00C95B9A">
        <w:rPr>
          <w:lang w:val="en-IN"/>
        </w:rPr>
        <w:lastRenderedPageBreak/>
        <w:t xml:space="preserve">Badmus, O.A. and Adetunji, A.T. (2023) ‘Algorithmic transparency as a competitive edge: Branding and trust in AI-driven enterprises’, </w:t>
      </w:r>
      <w:r w:rsidRPr="00C95B9A">
        <w:rPr>
          <w:i/>
          <w:iCs/>
          <w:lang w:val="en-IN"/>
        </w:rPr>
        <w:t>Scholars Journal of Engineering and Technology</w:t>
      </w:r>
      <w:r w:rsidRPr="00C95B9A">
        <w:rPr>
          <w:lang w:val="en-IN"/>
        </w:rPr>
        <w:t xml:space="preserve">, 12, pp. 315–326. </w:t>
      </w:r>
      <w:hyperlink r:id="rId44" w:history="1">
        <w:r w:rsidRPr="00C95B9A">
          <w:rPr>
            <w:rStyle w:val="Hyperlink"/>
            <w:lang w:val="en-IN"/>
          </w:rPr>
          <w:t>https://doi.org/10.36347/sjet.2023.v11i12.001</w:t>
        </w:r>
      </w:hyperlink>
    </w:p>
    <w:p w14:paraId="29C3E234" w14:textId="77777777" w:rsidR="000A5D99" w:rsidRPr="00257866" w:rsidRDefault="000A5D99" w:rsidP="00257866">
      <w:pPr>
        <w:rPr>
          <w:lang w:val="en-US"/>
        </w:rPr>
      </w:pPr>
      <w:r w:rsidRPr="00257866">
        <w:rPr>
          <w:lang w:val="en-US"/>
        </w:rPr>
        <w:t xml:space="preserve">Barrett, D. and Younas, A. (2024) ‘Induction, deduction and abduction’, </w:t>
      </w:r>
      <w:r w:rsidRPr="00257866">
        <w:rPr>
          <w:i/>
          <w:iCs/>
          <w:lang w:val="en-US"/>
        </w:rPr>
        <w:t>Evidence-Based Nursing</w:t>
      </w:r>
      <w:r w:rsidRPr="00257866">
        <w:rPr>
          <w:lang w:val="en-US"/>
        </w:rPr>
        <w:t xml:space="preserve">, 27(1), pp. 6–7. Available at: </w:t>
      </w:r>
      <w:hyperlink r:id="rId45" w:history="1">
        <w:r w:rsidRPr="00257866">
          <w:rPr>
            <w:rStyle w:val="Hyperlink"/>
            <w:lang w:val="en-US"/>
          </w:rPr>
          <w:t>https://doi.org/10.1136/ebnurs-2023-103873</w:t>
        </w:r>
      </w:hyperlink>
    </w:p>
    <w:p w14:paraId="5AC9A374" w14:textId="77777777" w:rsidR="000A5D99" w:rsidRPr="00257866" w:rsidRDefault="000A5D99" w:rsidP="00257866">
      <w:pPr>
        <w:rPr>
          <w:lang w:val="en-US"/>
        </w:rPr>
      </w:pPr>
      <w:r w:rsidRPr="00257866">
        <w:rPr>
          <w:lang w:val="en-US"/>
        </w:rPr>
        <w:t xml:space="preserve">Brown, M.R.D., Knight, M., Peters, C.J., Maleki, S., Motavalli, A. and Nedjat-Shokouhi, B. (2023) ‘Digital outpatient health solutions as a vehicle to improve healthcare sustainability—A United Kingdom focused policy and practice perspective’, </w:t>
      </w:r>
      <w:r w:rsidRPr="00257866">
        <w:rPr>
          <w:i/>
          <w:iCs/>
          <w:lang w:val="en-US"/>
        </w:rPr>
        <w:t>Frontiers in Digital Health</w:t>
      </w:r>
      <w:r w:rsidRPr="00257866">
        <w:rPr>
          <w:lang w:val="en-US"/>
        </w:rPr>
        <w:t xml:space="preserve">, 5, article 1242896. Available at: </w:t>
      </w:r>
      <w:hyperlink r:id="rId46" w:history="1">
        <w:r w:rsidRPr="00257866">
          <w:rPr>
            <w:rStyle w:val="Hyperlink"/>
            <w:lang w:val="en-US"/>
          </w:rPr>
          <w:t>https://doi.org/10.3389/fdgth.2023.1242896</w:t>
        </w:r>
      </w:hyperlink>
    </w:p>
    <w:p w14:paraId="04908CAF" w14:textId="77777777" w:rsidR="000A5D99" w:rsidRPr="00257866" w:rsidRDefault="000A5D99" w:rsidP="00257866">
      <w:pPr>
        <w:rPr>
          <w:lang w:val="en-US"/>
        </w:rPr>
      </w:pPr>
      <w:r w:rsidRPr="00257866">
        <w:rPr>
          <w:lang w:val="en-US"/>
        </w:rPr>
        <w:t xml:space="preserve">Bujang, M.A., Omar, E.D., Foo, D.H.P. and Hon, Y.K. (2024) ‘Sample size determination for conducting a pilot study to assess reliability of a questionnaire’, </w:t>
      </w:r>
      <w:r w:rsidRPr="00257866">
        <w:rPr>
          <w:i/>
          <w:iCs/>
          <w:lang w:val="en-US"/>
        </w:rPr>
        <w:t>Restorative Dentistry &amp; Endodontics</w:t>
      </w:r>
      <w:r w:rsidRPr="00257866">
        <w:rPr>
          <w:lang w:val="en-US"/>
        </w:rPr>
        <w:t xml:space="preserve">, 49(1), article e3. Available at: </w:t>
      </w:r>
      <w:hyperlink r:id="rId47" w:history="1">
        <w:r w:rsidRPr="00257866">
          <w:rPr>
            <w:rStyle w:val="Hyperlink"/>
            <w:lang w:val="en-US"/>
          </w:rPr>
          <w:t>https://doi.org/10.5395/rde.2024.49.e3</w:t>
        </w:r>
      </w:hyperlink>
    </w:p>
    <w:p w14:paraId="3871CC7F" w14:textId="77777777" w:rsidR="000A5D99" w:rsidRPr="00257866" w:rsidRDefault="000A5D99" w:rsidP="00257866">
      <w:pPr>
        <w:rPr>
          <w:lang w:val="en-US"/>
        </w:rPr>
      </w:pPr>
      <w:r w:rsidRPr="00257866">
        <w:rPr>
          <w:lang w:val="en-US"/>
        </w:rPr>
        <w:t xml:space="preserve">Capili, B. (2021) ‘Overview: Cross-sectional studies’, </w:t>
      </w:r>
      <w:r w:rsidRPr="00257866">
        <w:rPr>
          <w:i/>
          <w:iCs/>
          <w:lang w:val="en-US"/>
        </w:rPr>
        <w:t>American Journal of Nursing</w:t>
      </w:r>
      <w:r w:rsidRPr="00257866">
        <w:rPr>
          <w:lang w:val="en-US"/>
        </w:rPr>
        <w:t xml:space="preserve">, 121(10), pp. 59–62. Available at: </w:t>
      </w:r>
      <w:hyperlink r:id="rId48" w:history="1">
        <w:r w:rsidRPr="00257866">
          <w:rPr>
            <w:rStyle w:val="Hyperlink"/>
            <w:lang w:val="en-US"/>
          </w:rPr>
          <w:t>https://doi.org/10.1097/01.NAJ.0000794280.73744.fe</w:t>
        </w:r>
      </w:hyperlink>
    </w:p>
    <w:p w14:paraId="00BF0373" w14:textId="77777777" w:rsidR="000A5D99" w:rsidRPr="00257866" w:rsidRDefault="000A5D99" w:rsidP="00257866">
      <w:pPr>
        <w:rPr>
          <w:lang w:val="en-US"/>
        </w:rPr>
      </w:pPr>
      <w:r w:rsidRPr="00257866">
        <w:rPr>
          <w:lang w:val="en-US"/>
        </w:rPr>
        <w:t xml:space="preserve">Chen, Y., Prentice, C., Weaven, S. and Hisao, A. (2022) ‘The influence of customer trust and artificial intelligence on customer engagement and loyalty: The case of the home-sharing industry’, </w:t>
      </w:r>
      <w:r w:rsidRPr="00257866">
        <w:rPr>
          <w:i/>
          <w:iCs/>
          <w:lang w:val="en-US"/>
        </w:rPr>
        <w:t>Frontiers in Psychology</w:t>
      </w:r>
      <w:r w:rsidRPr="00257866">
        <w:rPr>
          <w:lang w:val="en-US"/>
        </w:rPr>
        <w:t xml:space="preserve">, 13, article 912339. Available at: </w:t>
      </w:r>
      <w:hyperlink r:id="rId49" w:history="1">
        <w:r w:rsidRPr="00257866">
          <w:rPr>
            <w:rStyle w:val="Hyperlink"/>
            <w:lang w:val="en-US"/>
          </w:rPr>
          <w:t>https://doi.org/10.3389/fpsyg.2022.912339</w:t>
        </w:r>
      </w:hyperlink>
    </w:p>
    <w:p w14:paraId="3AF4080D" w14:textId="77777777" w:rsidR="000A5D99" w:rsidRPr="00C95B9A" w:rsidRDefault="000A5D99" w:rsidP="00C95B9A">
      <w:pPr>
        <w:rPr>
          <w:lang w:val="en-IN"/>
        </w:rPr>
      </w:pPr>
      <w:r w:rsidRPr="00C95B9A">
        <w:rPr>
          <w:lang w:val="en-IN"/>
        </w:rPr>
        <w:t xml:space="preserve">Chi, N.T.K. and Hoang Vu, N. (2023) ‘Investigating customer trust in artificial intelligence: The role of anthropomorphism, empathy response, and interaction’, </w:t>
      </w:r>
      <w:r w:rsidRPr="00C95B9A">
        <w:rPr>
          <w:i/>
          <w:iCs/>
          <w:lang w:val="en-IN"/>
        </w:rPr>
        <w:t>CAAI Transactions on Intelligence Technology</w:t>
      </w:r>
      <w:r w:rsidRPr="00C95B9A">
        <w:rPr>
          <w:lang w:val="en-IN"/>
        </w:rPr>
        <w:t xml:space="preserve">, 8(1), pp. 260–273. </w:t>
      </w:r>
      <w:hyperlink r:id="rId50" w:history="1">
        <w:r w:rsidRPr="00C95B9A">
          <w:rPr>
            <w:rStyle w:val="Hyperlink"/>
            <w:lang w:val="en-IN"/>
          </w:rPr>
          <w:t>https://doi.org/10.1049/cit2.12133</w:t>
        </w:r>
      </w:hyperlink>
    </w:p>
    <w:p w14:paraId="3EE5BA2F" w14:textId="77777777" w:rsidR="000A5D99" w:rsidRPr="00257866" w:rsidRDefault="000A5D99" w:rsidP="00257866">
      <w:pPr>
        <w:rPr>
          <w:lang w:val="en-US"/>
        </w:rPr>
      </w:pPr>
      <w:r w:rsidRPr="00257866">
        <w:rPr>
          <w:lang w:val="en-US"/>
        </w:rPr>
        <w:t xml:space="preserve">Chicco, D., Warrens, M.J. and Jurman, G. (2021) ‘The coefficient of determination R-squared is more informative than SMAPE, MAE, MAPE, MSE and RMSE in regression analysis evaluation’, </w:t>
      </w:r>
      <w:r w:rsidRPr="00257866">
        <w:rPr>
          <w:i/>
          <w:iCs/>
          <w:lang w:val="en-US"/>
        </w:rPr>
        <w:t>PeerJ Computer Science</w:t>
      </w:r>
      <w:r w:rsidRPr="00257866">
        <w:rPr>
          <w:lang w:val="en-US"/>
        </w:rPr>
        <w:t xml:space="preserve">, 7, article e623. Available at: </w:t>
      </w:r>
      <w:hyperlink r:id="rId51" w:history="1">
        <w:r w:rsidRPr="00257866">
          <w:rPr>
            <w:rStyle w:val="Hyperlink"/>
            <w:lang w:val="en-US"/>
          </w:rPr>
          <w:t>https://doi.org/10.7717/peerj-cs.623</w:t>
        </w:r>
      </w:hyperlink>
    </w:p>
    <w:p w14:paraId="0E246BC1" w14:textId="77777777" w:rsidR="000A5D99" w:rsidRPr="00C95B9A" w:rsidRDefault="000A5D99" w:rsidP="00C95B9A">
      <w:pPr>
        <w:rPr>
          <w:lang w:val="en-IN"/>
        </w:rPr>
      </w:pPr>
      <w:r w:rsidRPr="00C95B9A">
        <w:rPr>
          <w:lang w:val="en-IN"/>
        </w:rPr>
        <w:lastRenderedPageBreak/>
        <w:t xml:space="preserve">CQC (2025) </w:t>
      </w:r>
      <w:r w:rsidRPr="00C95B9A">
        <w:rPr>
          <w:i/>
          <w:iCs/>
          <w:lang w:val="en-IN"/>
        </w:rPr>
        <w:t>Adult inpatient survey 2024</w:t>
      </w:r>
      <w:r w:rsidRPr="00C95B9A">
        <w:rPr>
          <w:lang w:val="en-IN"/>
        </w:rPr>
        <w:t xml:space="preserve">. </w:t>
      </w:r>
      <w:hyperlink r:id="rId52" w:history="1">
        <w:r w:rsidRPr="00C95B9A">
          <w:rPr>
            <w:rStyle w:val="Hyperlink"/>
            <w:lang w:val="en-IN"/>
          </w:rPr>
          <w:t>https://www.cqc.org.uk/publications/surveys/adult-inpatient-survey</w:t>
        </w:r>
      </w:hyperlink>
    </w:p>
    <w:p w14:paraId="264673F3" w14:textId="77777777" w:rsidR="000A5D99" w:rsidRPr="00C95B9A" w:rsidRDefault="000A5D99" w:rsidP="00C95B9A">
      <w:pPr>
        <w:rPr>
          <w:lang w:val="en-IN"/>
        </w:rPr>
      </w:pPr>
      <w:r w:rsidRPr="00C95B9A">
        <w:rPr>
          <w:lang w:val="en-IN"/>
        </w:rPr>
        <w:t xml:space="preserve">Davies, G.K., Davies, M.L.K., Adewusi, E., Moneke, K., Adeleke, O., Mosaku, L.A., Oboh, A., Shaba, D.S., Katsina, I.A., Egbedimame, J. and Ssentamu, R. (2024) ‘AI-enhanced culturally sensitive public health messaging: A scoping review’, </w:t>
      </w:r>
      <w:r w:rsidRPr="00C95B9A">
        <w:rPr>
          <w:i/>
          <w:iCs/>
          <w:lang w:val="en-IN"/>
        </w:rPr>
        <w:t>E-Health Telecommunication Systems and Networks</w:t>
      </w:r>
      <w:r w:rsidRPr="00C95B9A">
        <w:rPr>
          <w:lang w:val="en-IN"/>
        </w:rPr>
        <w:t xml:space="preserve">, 13(4), pp. 45–66. </w:t>
      </w:r>
      <w:hyperlink r:id="rId53" w:history="1">
        <w:r w:rsidRPr="00C95B9A">
          <w:rPr>
            <w:rStyle w:val="Hyperlink"/>
            <w:lang w:val="en-IN"/>
          </w:rPr>
          <w:t>https://doi.org/10.4236/etsn.2024.134004</w:t>
        </w:r>
      </w:hyperlink>
    </w:p>
    <w:p w14:paraId="77DB0AE3" w14:textId="77777777" w:rsidR="000A5D99" w:rsidRPr="00257866" w:rsidRDefault="000A5D99" w:rsidP="00257866">
      <w:pPr>
        <w:rPr>
          <w:lang w:val="en-US"/>
        </w:rPr>
      </w:pPr>
      <w:r w:rsidRPr="00257866">
        <w:rPr>
          <w:lang w:val="en-US"/>
        </w:rPr>
        <w:t xml:space="preserve">Dawadi, S., Shrestha, S. and Giri, R.A. (2021) ‘Mixed-methods research: A discussion on its types, challenges, and criticisms’, </w:t>
      </w:r>
      <w:r w:rsidRPr="00257866">
        <w:rPr>
          <w:i/>
          <w:iCs/>
          <w:lang w:val="en-US"/>
        </w:rPr>
        <w:t>Journal of Practical Studies in Education</w:t>
      </w:r>
      <w:r w:rsidRPr="00257866">
        <w:rPr>
          <w:lang w:val="en-US"/>
        </w:rPr>
        <w:t xml:space="preserve">, 2(2), pp. 25–36. Available at: </w:t>
      </w:r>
      <w:hyperlink r:id="rId54" w:history="1">
        <w:r w:rsidRPr="00257866">
          <w:rPr>
            <w:rStyle w:val="Hyperlink"/>
            <w:lang w:val="en-US"/>
          </w:rPr>
          <w:t>https://doi.org/10.46809/jpse.v2i2.20</w:t>
        </w:r>
      </w:hyperlink>
    </w:p>
    <w:p w14:paraId="293DAFF6" w14:textId="77777777" w:rsidR="000A5D99" w:rsidRPr="00C95B9A" w:rsidRDefault="000A5D99" w:rsidP="00C95B9A">
      <w:pPr>
        <w:rPr>
          <w:lang w:val="en-IN"/>
        </w:rPr>
      </w:pPr>
      <w:r w:rsidRPr="00C95B9A">
        <w:rPr>
          <w:lang w:val="en-IN"/>
        </w:rPr>
        <w:t xml:space="preserve">Dawson, M. and Elsey, V. (2025) ‘2025 GP Patient Survey results released’, </w:t>
      </w:r>
      <w:r w:rsidRPr="00C95B9A">
        <w:rPr>
          <w:i/>
          <w:iCs/>
          <w:lang w:val="en-IN"/>
        </w:rPr>
        <w:t>Ipsos</w:t>
      </w:r>
      <w:r w:rsidRPr="00C95B9A">
        <w:rPr>
          <w:lang w:val="en-IN"/>
        </w:rPr>
        <w:t xml:space="preserve">, 27 August. </w:t>
      </w:r>
      <w:hyperlink r:id="rId55" w:history="1">
        <w:r w:rsidRPr="00C95B9A">
          <w:rPr>
            <w:rStyle w:val="Hyperlink"/>
            <w:lang w:val="en-IN"/>
          </w:rPr>
          <w:t>https://www.ipsos.com/en-uk/2025-gp-patient-survey-results-released</w:t>
        </w:r>
      </w:hyperlink>
    </w:p>
    <w:p w14:paraId="3E942FD5" w14:textId="77777777" w:rsidR="000A5D99" w:rsidRPr="00257866" w:rsidRDefault="000A5D99" w:rsidP="00257866">
      <w:pPr>
        <w:rPr>
          <w:lang w:val="en-US"/>
        </w:rPr>
      </w:pPr>
      <w:r w:rsidRPr="00257866">
        <w:rPr>
          <w:lang w:val="en-US"/>
        </w:rPr>
        <w:t xml:space="preserve">Dlugatch, R., Georgieva, A. and Kerasidou, A. (2023) ‘Trustworthy artificial intelligence and ethical design: Public perceptions of trustworthiness of an AI-based decision-support tool in the context of intrapartum care’, </w:t>
      </w:r>
      <w:r w:rsidRPr="00257866">
        <w:rPr>
          <w:i/>
          <w:iCs/>
          <w:lang w:val="en-US"/>
        </w:rPr>
        <w:t>BMC Medical Ethics</w:t>
      </w:r>
      <w:r w:rsidRPr="00257866">
        <w:rPr>
          <w:lang w:val="en-US"/>
        </w:rPr>
        <w:t xml:space="preserve">, 24, article 42. Available at: </w:t>
      </w:r>
      <w:hyperlink r:id="rId56" w:history="1">
        <w:r w:rsidRPr="00257866">
          <w:rPr>
            <w:rStyle w:val="Hyperlink"/>
            <w:lang w:val="en-US"/>
          </w:rPr>
          <w:t>https://doi.org/10.1186/s12910-023-00917-w</w:t>
        </w:r>
      </w:hyperlink>
    </w:p>
    <w:p w14:paraId="55FBD273" w14:textId="77777777" w:rsidR="000A5D99" w:rsidRPr="00C95B9A" w:rsidRDefault="000A5D99" w:rsidP="00C95B9A">
      <w:pPr>
        <w:rPr>
          <w:lang w:val="en-IN"/>
        </w:rPr>
      </w:pPr>
      <w:r w:rsidRPr="00C95B9A">
        <w:rPr>
          <w:lang w:val="en-IN"/>
        </w:rPr>
        <w:t xml:space="preserve">Dodson, P., Haase, A.M., Jeffreys, M. and Hales, C. (2024) ‘Capturing patient experiences of care with digital technology to improve service delivery and quality of care: A scoping review’, </w:t>
      </w:r>
      <w:r w:rsidRPr="00C95B9A">
        <w:rPr>
          <w:i/>
          <w:iCs/>
          <w:lang w:val="en-IN"/>
        </w:rPr>
        <w:t>Digital Health</w:t>
      </w:r>
      <w:r w:rsidRPr="00C95B9A">
        <w:rPr>
          <w:lang w:val="en-IN"/>
        </w:rPr>
        <w:t xml:space="preserve">, 10, p. 20552076241282900. </w:t>
      </w:r>
      <w:hyperlink r:id="rId57" w:history="1">
        <w:r w:rsidRPr="00C95B9A">
          <w:rPr>
            <w:rStyle w:val="Hyperlink"/>
            <w:lang w:val="en-IN"/>
          </w:rPr>
          <w:t>https://doi.org/10.1177/20552076241282900</w:t>
        </w:r>
      </w:hyperlink>
    </w:p>
    <w:p w14:paraId="38C557F9" w14:textId="77777777" w:rsidR="000A5D99" w:rsidRPr="00C95B9A" w:rsidRDefault="000A5D99" w:rsidP="00C95B9A">
      <w:pPr>
        <w:rPr>
          <w:lang w:val="en-IN"/>
        </w:rPr>
      </w:pPr>
      <w:r w:rsidRPr="00C95B9A">
        <w:rPr>
          <w:lang w:val="en-IN"/>
        </w:rPr>
        <w:t xml:space="preserve">Elad, B. (2026) ‘AI in Healthcare Statistics 2026: Revealing the Future of Medicine’, </w:t>
      </w:r>
      <w:r w:rsidRPr="00C95B9A">
        <w:rPr>
          <w:i/>
          <w:iCs/>
          <w:lang w:val="en-IN"/>
        </w:rPr>
        <w:t>SQ Magazine</w:t>
      </w:r>
      <w:r w:rsidRPr="00C95B9A">
        <w:rPr>
          <w:lang w:val="en-IN"/>
        </w:rPr>
        <w:t xml:space="preserve">, 9 June. </w:t>
      </w:r>
      <w:hyperlink r:id="rId58" w:history="1">
        <w:r w:rsidRPr="00C95B9A">
          <w:rPr>
            <w:rStyle w:val="Hyperlink"/>
            <w:lang w:val="en-IN"/>
          </w:rPr>
          <w:t>https://sqmagazine.co.uk/ai-in-healthcare-statistics</w:t>
        </w:r>
      </w:hyperlink>
    </w:p>
    <w:p w14:paraId="05CCCF44" w14:textId="77777777" w:rsidR="000A5D99" w:rsidRPr="000E05BD" w:rsidRDefault="000A5D99" w:rsidP="000A5D99">
      <w:pPr>
        <w:rPr>
          <w:lang w:val="en-IN"/>
        </w:rPr>
      </w:pPr>
      <w:r w:rsidRPr="000E05BD">
        <w:rPr>
          <w:lang w:val="en-IN"/>
        </w:rPr>
        <w:t xml:space="preserve">Epelde, F. (2024) ‘Revolutionizing patient safety: The economic and clinical impact of artificial intelligence in hospitals’, </w:t>
      </w:r>
      <w:r w:rsidRPr="000E05BD">
        <w:rPr>
          <w:i/>
          <w:iCs/>
          <w:lang w:val="en-IN"/>
        </w:rPr>
        <w:t>Hospitals</w:t>
      </w:r>
      <w:r w:rsidRPr="000E05BD">
        <w:rPr>
          <w:lang w:val="en-IN"/>
        </w:rPr>
        <w:t xml:space="preserve">, 1(2), pp. 185–194. </w:t>
      </w:r>
      <w:hyperlink r:id="rId59" w:tgtFrame="_new" w:history="1">
        <w:r w:rsidRPr="000E05BD">
          <w:rPr>
            <w:rStyle w:val="Hyperlink"/>
            <w:lang w:val="en-IN"/>
          </w:rPr>
          <w:t>https://doi.org/10.3390/hospitals1020015</w:t>
        </w:r>
      </w:hyperlink>
    </w:p>
    <w:p w14:paraId="1D381515" w14:textId="77777777" w:rsidR="000A5D99" w:rsidRPr="000E05BD" w:rsidRDefault="000A5D99" w:rsidP="000A5D99">
      <w:pPr>
        <w:rPr>
          <w:lang w:val="en-IN"/>
        </w:rPr>
      </w:pPr>
      <w:r w:rsidRPr="000E05BD">
        <w:rPr>
          <w:lang w:val="en-IN"/>
        </w:rPr>
        <w:lastRenderedPageBreak/>
        <w:t xml:space="preserve">Fangni, L. (2025) ‘Studying the impact of emotion-AI in cross-cultural communication on the effectiveness of global media’, </w:t>
      </w:r>
      <w:r w:rsidRPr="000E05BD">
        <w:rPr>
          <w:i/>
          <w:iCs/>
          <w:lang w:val="en-IN"/>
        </w:rPr>
        <w:t>Frontiers in Computer Science</w:t>
      </w:r>
      <w:r w:rsidRPr="000E05BD">
        <w:rPr>
          <w:lang w:val="en-IN"/>
        </w:rPr>
        <w:t xml:space="preserve">, 7, p. 1565869. </w:t>
      </w:r>
      <w:hyperlink r:id="rId60" w:tgtFrame="_new" w:history="1">
        <w:r w:rsidRPr="000E05BD">
          <w:rPr>
            <w:rStyle w:val="Hyperlink"/>
            <w:lang w:val="en-IN"/>
          </w:rPr>
          <w:t>https://doi.org/10.3389/fcomp.2025.1565869</w:t>
        </w:r>
      </w:hyperlink>
    </w:p>
    <w:p w14:paraId="0B8D9502" w14:textId="77777777" w:rsidR="000A5D99" w:rsidRPr="00C95B9A" w:rsidRDefault="000A5D99" w:rsidP="00C95B9A">
      <w:pPr>
        <w:rPr>
          <w:lang w:val="en-IN"/>
        </w:rPr>
      </w:pPr>
      <w:r w:rsidRPr="00C95B9A">
        <w:rPr>
          <w:lang w:val="en-IN"/>
        </w:rPr>
        <w:t xml:space="preserve">Farre, A., Fang, M., Hannah, B., Makita, M., McFadden, A., Menezes, D., Rodriguez, A., Sixsmith, J. and Gray, N.M. (2023) ‘Exploring the use of digital technology to deliver healthcare services with explicit consideration of health inequalities in UK settings: A scoping review’, </w:t>
      </w:r>
      <w:r w:rsidRPr="00C95B9A">
        <w:rPr>
          <w:i/>
          <w:iCs/>
          <w:lang w:val="en-IN"/>
        </w:rPr>
        <w:t>Digital Health</w:t>
      </w:r>
      <w:r w:rsidRPr="00C95B9A">
        <w:rPr>
          <w:lang w:val="en-IN"/>
        </w:rPr>
        <w:t xml:space="preserve">, 9, p. 20552076231185442. </w:t>
      </w:r>
      <w:hyperlink r:id="rId61" w:history="1">
        <w:r w:rsidRPr="00C95B9A">
          <w:rPr>
            <w:rStyle w:val="Hyperlink"/>
            <w:lang w:val="en-IN"/>
          </w:rPr>
          <w:t>https://us.sagepub.com/en-us/journals-permissions</w:t>
        </w:r>
      </w:hyperlink>
    </w:p>
    <w:p w14:paraId="519A210D" w14:textId="77777777" w:rsidR="000A5D99" w:rsidRPr="00C95B9A" w:rsidRDefault="000A5D99" w:rsidP="00C95B9A">
      <w:pPr>
        <w:rPr>
          <w:lang w:val="en-IN"/>
        </w:rPr>
      </w:pPr>
      <w:r w:rsidRPr="00C95B9A">
        <w:rPr>
          <w:lang w:val="en-IN"/>
        </w:rPr>
        <w:t xml:space="preserve">Fazakarley, C.A., Breen, M., Leeson, P., Thompson, B. and Williamson, V. (2023) ‘Experiences of using artificial intelligence in healthcare: A qualitative study of UK clinician and key stakeholder perspectives’, </w:t>
      </w:r>
      <w:r w:rsidRPr="00C95B9A">
        <w:rPr>
          <w:i/>
          <w:iCs/>
          <w:lang w:val="en-IN"/>
        </w:rPr>
        <w:t>BMJ Open</w:t>
      </w:r>
      <w:r w:rsidRPr="00C95B9A">
        <w:rPr>
          <w:lang w:val="en-IN"/>
        </w:rPr>
        <w:t xml:space="preserve">, 13(12), p. e076950. </w:t>
      </w:r>
      <w:hyperlink r:id="rId62" w:history="1">
        <w:r w:rsidRPr="00C95B9A">
          <w:rPr>
            <w:rStyle w:val="Hyperlink"/>
            <w:lang w:val="en-IN"/>
          </w:rPr>
          <w:t>http://dx.doi.org/10.1136/bmjopen-2023-076950</w:t>
        </w:r>
      </w:hyperlink>
    </w:p>
    <w:p w14:paraId="20F2D9D3" w14:textId="77777777" w:rsidR="000A5D99" w:rsidRPr="00257866" w:rsidRDefault="000A5D99" w:rsidP="00257866">
      <w:pPr>
        <w:rPr>
          <w:lang w:val="en-US"/>
        </w:rPr>
      </w:pPr>
      <w:r w:rsidRPr="00257866">
        <w:rPr>
          <w:lang w:val="en-US"/>
        </w:rPr>
        <w:t xml:space="preserve">Figueiredo, R.G., Patino, C.M. and Ferreira, J.C. (2025) ‘Cross-sectional studies: Understanding applications, methodological issues, and valuable insights’, </w:t>
      </w:r>
      <w:r w:rsidRPr="00257866">
        <w:rPr>
          <w:i/>
          <w:iCs/>
          <w:lang w:val="en-US"/>
        </w:rPr>
        <w:t>Jornal Brasileiro de Pneumologia</w:t>
      </w:r>
      <w:r w:rsidRPr="00257866">
        <w:rPr>
          <w:lang w:val="en-US"/>
        </w:rPr>
        <w:t xml:space="preserve">, 51(1), article e20250047. Available at: </w:t>
      </w:r>
      <w:hyperlink r:id="rId63" w:history="1">
        <w:r w:rsidRPr="00257866">
          <w:rPr>
            <w:rStyle w:val="Hyperlink"/>
            <w:lang w:val="en-US"/>
          </w:rPr>
          <w:t>https://doi.org/10.36416/1806-3756/e20250047</w:t>
        </w:r>
      </w:hyperlink>
    </w:p>
    <w:p w14:paraId="1F9B2EEC" w14:textId="77777777" w:rsidR="000A5D99" w:rsidRPr="00C95B9A" w:rsidRDefault="000A5D99" w:rsidP="00C95B9A">
      <w:pPr>
        <w:rPr>
          <w:lang w:val="en-IN"/>
        </w:rPr>
      </w:pPr>
      <w:r w:rsidRPr="00C95B9A">
        <w:rPr>
          <w:lang w:val="en-IN"/>
        </w:rPr>
        <w:t xml:space="preserve">Frank, D.A., Jacobsen, L.F., Søndergaard, H.A. and Otterbring, T. (2023) ‘In companies we trust: Consumer adoption of artificial intelligence services and the role of trust in companies and AI autonomy’, </w:t>
      </w:r>
      <w:r w:rsidRPr="00C95B9A">
        <w:rPr>
          <w:i/>
          <w:iCs/>
          <w:lang w:val="en-IN"/>
        </w:rPr>
        <w:t>Information Technology &amp; People</w:t>
      </w:r>
      <w:r w:rsidRPr="00C95B9A">
        <w:rPr>
          <w:lang w:val="en-IN"/>
        </w:rPr>
        <w:t xml:space="preserve">, 36(8), pp. 155–173. </w:t>
      </w:r>
      <w:hyperlink r:id="rId64" w:history="1">
        <w:r w:rsidRPr="00C95B9A">
          <w:rPr>
            <w:rStyle w:val="Hyperlink"/>
            <w:lang w:val="en-IN"/>
          </w:rPr>
          <w:t>https://doi.org/10.1108/ITP-09-2022-0721</w:t>
        </w:r>
      </w:hyperlink>
    </w:p>
    <w:p w14:paraId="1F63E136" w14:textId="77777777" w:rsidR="000A5D99" w:rsidRPr="00C95B9A" w:rsidRDefault="000A5D99" w:rsidP="00C95B9A">
      <w:pPr>
        <w:rPr>
          <w:lang w:val="en-IN"/>
        </w:rPr>
      </w:pPr>
      <w:r w:rsidRPr="00C95B9A">
        <w:rPr>
          <w:lang w:val="en-IN"/>
        </w:rPr>
        <w:t xml:space="preserve">Gobburi, R.K., Olawade, D.B., Olatunji, G.D., Kokori, E., Aderinto, N. and David-Olawade, A.C. (2025) ‘Telemedicine use in rural areas of the United Kingdom to improve access to healthcare facilities: A review of current evidence’, </w:t>
      </w:r>
      <w:r w:rsidRPr="00C95B9A">
        <w:rPr>
          <w:i/>
          <w:iCs/>
          <w:lang w:val="en-IN"/>
        </w:rPr>
        <w:t>Informatics and Health</w:t>
      </w:r>
      <w:r w:rsidRPr="00C95B9A">
        <w:rPr>
          <w:lang w:val="en-IN"/>
        </w:rPr>
        <w:t xml:space="preserve">, 2(1), pp. 41–48. </w:t>
      </w:r>
      <w:hyperlink r:id="rId65" w:history="1">
        <w:r w:rsidRPr="00C95B9A">
          <w:rPr>
            <w:rStyle w:val="Hyperlink"/>
            <w:lang w:val="en-IN"/>
          </w:rPr>
          <w:t>https://doi.org/10.1016/j.infoh.2025.01.003</w:t>
        </w:r>
      </w:hyperlink>
    </w:p>
    <w:p w14:paraId="55C3A769" w14:textId="77777777" w:rsidR="000A5D99" w:rsidRPr="000E05BD" w:rsidRDefault="000A5D99" w:rsidP="000A5D99">
      <w:pPr>
        <w:rPr>
          <w:lang w:val="en-IN"/>
        </w:rPr>
      </w:pPr>
      <w:r w:rsidRPr="000E05BD">
        <w:rPr>
          <w:lang w:val="en-IN"/>
        </w:rPr>
        <w:lastRenderedPageBreak/>
        <w:t xml:space="preserve">Gong, Y., Tang, X. and Peng, H. (2024) ‘The effect of subjective understanding on patients’ trust in AI pharmacy intravenous admixture services’, </w:t>
      </w:r>
      <w:r w:rsidRPr="000E05BD">
        <w:rPr>
          <w:i/>
          <w:iCs/>
          <w:lang w:val="en-IN"/>
        </w:rPr>
        <w:t>Frontiers in Psychology</w:t>
      </w:r>
      <w:r w:rsidRPr="000E05BD">
        <w:rPr>
          <w:lang w:val="en-IN"/>
        </w:rPr>
        <w:t xml:space="preserve">, 15, 1437915. </w:t>
      </w:r>
      <w:hyperlink r:id="rId66" w:tgtFrame="_new" w:history="1">
        <w:r w:rsidRPr="000E05BD">
          <w:rPr>
            <w:rStyle w:val="Hyperlink"/>
            <w:lang w:val="en-IN"/>
          </w:rPr>
          <w:t>https://doi.org/10.3389/fpsyg.2024.1437915</w:t>
        </w:r>
      </w:hyperlink>
    </w:p>
    <w:p w14:paraId="4DFA5C55" w14:textId="77777777" w:rsidR="000A5D99" w:rsidRPr="000E05BD" w:rsidRDefault="000A5D99" w:rsidP="000A5D99">
      <w:pPr>
        <w:rPr>
          <w:lang w:val="en-IN"/>
        </w:rPr>
      </w:pPr>
      <w:r w:rsidRPr="000E05BD">
        <w:rPr>
          <w:lang w:val="en-IN"/>
        </w:rPr>
        <w:t xml:space="preserve">Govindasamy, P., Cumming, T.M. and Abdullah, N. (2024) ‘Validity and reliability of a needs analysis questionnaire for the development of a creativity module’, </w:t>
      </w:r>
      <w:r w:rsidRPr="000E05BD">
        <w:rPr>
          <w:i/>
          <w:iCs/>
          <w:lang w:val="en-IN"/>
        </w:rPr>
        <w:t>Journal of Research in Special Educational Needs</w:t>
      </w:r>
      <w:r w:rsidRPr="000E05BD">
        <w:rPr>
          <w:lang w:val="en-IN"/>
        </w:rPr>
        <w:t xml:space="preserve">, 24(3), pp. 637–652. </w:t>
      </w:r>
      <w:hyperlink r:id="rId67" w:tgtFrame="_new" w:history="1">
        <w:r w:rsidRPr="000E05BD">
          <w:rPr>
            <w:rStyle w:val="Hyperlink"/>
            <w:lang w:val="en-IN"/>
          </w:rPr>
          <w:t>https://doi.org/10.1111/1471-3802.12659</w:t>
        </w:r>
      </w:hyperlink>
    </w:p>
    <w:p w14:paraId="18B50604" w14:textId="77777777" w:rsidR="000A5D99" w:rsidRPr="00C95B9A" w:rsidRDefault="000A5D99" w:rsidP="00C95B9A">
      <w:pPr>
        <w:rPr>
          <w:lang w:val="en-IN"/>
        </w:rPr>
      </w:pPr>
      <w:r w:rsidRPr="00C95B9A">
        <w:rPr>
          <w:lang w:val="en-IN"/>
        </w:rPr>
        <w:t xml:space="preserve">Guo, S., Song, Y., Chen, G., Han, H., Wu, H. and Ma, J. (2025) ‘Promoting trust and intention to adopt health information generated by ChatGPT among healthcare customers: An empirical study’, </w:t>
      </w:r>
      <w:r w:rsidRPr="00C95B9A">
        <w:rPr>
          <w:i/>
          <w:iCs/>
          <w:lang w:val="en-IN"/>
        </w:rPr>
        <w:t>Digital Health</w:t>
      </w:r>
      <w:r w:rsidRPr="00C95B9A">
        <w:rPr>
          <w:lang w:val="en-IN"/>
        </w:rPr>
        <w:t xml:space="preserve">, 11, p. 20552076251374121. </w:t>
      </w:r>
      <w:hyperlink r:id="rId68" w:history="1">
        <w:r w:rsidRPr="00C95B9A">
          <w:rPr>
            <w:rStyle w:val="Hyperlink"/>
            <w:lang w:val="en-IN"/>
          </w:rPr>
          <w:t>https://doi.org/10.1177/20552076251374121</w:t>
        </w:r>
      </w:hyperlink>
    </w:p>
    <w:p w14:paraId="73B498D3" w14:textId="77777777" w:rsidR="000A5D99" w:rsidRPr="00257866" w:rsidRDefault="000A5D99" w:rsidP="00257866">
      <w:pPr>
        <w:rPr>
          <w:lang w:val="en-US"/>
        </w:rPr>
      </w:pPr>
      <w:r w:rsidRPr="00257866">
        <w:rPr>
          <w:lang w:val="en-US"/>
        </w:rPr>
        <w:t xml:space="preserve">Guraya, S.S., Harkin, D.W., Yusoff, M.S.B. and Guraya, S.Y. (2023) ‘Paradigms unfolded—Developing, validating, and evaluating the Medical Education e-Professionalism framework from a philosophical perspective’, </w:t>
      </w:r>
      <w:r w:rsidRPr="00257866">
        <w:rPr>
          <w:i/>
          <w:iCs/>
          <w:lang w:val="en-US"/>
        </w:rPr>
        <w:t>Frontiers in Medicine</w:t>
      </w:r>
      <w:r w:rsidRPr="00257866">
        <w:rPr>
          <w:lang w:val="en-US"/>
        </w:rPr>
        <w:t xml:space="preserve">, 10, article 1230620. Available at: </w:t>
      </w:r>
      <w:hyperlink r:id="rId69" w:history="1">
        <w:r w:rsidRPr="00257866">
          <w:rPr>
            <w:rStyle w:val="Hyperlink"/>
            <w:lang w:val="en-US"/>
          </w:rPr>
          <w:t>https://doi.org/10.3389/fmed.2023.1230620</w:t>
        </w:r>
      </w:hyperlink>
    </w:p>
    <w:p w14:paraId="7257BA87" w14:textId="77777777" w:rsidR="000A5D99" w:rsidRPr="00C95B9A" w:rsidRDefault="000A5D99" w:rsidP="00C95B9A">
      <w:pPr>
        <w:rPr>
          <w:lang w:val="en-IN"/>
        </w:rPr>
      </w:pPr>
      <w:r w:rsidRPr="00C95B9A">
        <w:rPr>
          <w:lang w:val="en-IN"/>
        </w:rPr>
        <w:t xml:space="preserve">Haider, R., Megha, W.A., Juba, J.T., Alamgir, A. and Ahmad, L. (2025) ‘The conversational revolution in health promotion: Investigating chatbot impact on healthcare marketing, patient engagement, and service reach’, </w:t>
      </w:r>
      <w:r w:rsidRPr="00C95B9A">
        <w:rPr>
          <w:i/>
          <w:iCs/>
          <w:lang w:val="en-IN"/>
        </w:rPr>
        <w:t>International Journal of Science and Research Archive</w:t>
      </w:r>
      <w:r w:rsidRPr="00C95B9A">
        <w:rPr>
          <w:lang w:val="en-IN"/>
        </w:rPr>
        <w:t xml:space="preserve">, 15(3), pp. 1585–1592. </w:t>
      </w:r>
      <w:hyperlink r:id="rId70" w:history="1">
        <w:r w:rsidRPr="00C95B9A">
          <w:rPr>
            <w:rStyle w:val="Hyperlink"/>
            <w:lang w:val="en-IN"/>
          </w:rPr>
          <w:t>https://doi.org/10.30574/ijsra.2025.15.3.1937</w:t>
        </w:r>
      </w:hyperlink>
    </w:p>
    <w:p w14:paraId="2A9BD231" w14:textId="77777777" w:rsidR="000A5D99" w:rsidRPr="00C95B9A" w:rsidRDefault="000A5D99" w:rsidP="00C95B9A">
      <w:pPr>
        <w:rPr>
          <w:lang w:val="en-IN"/>
        </w:rPr>
      </w:pPr>
      <w:r w:rsidRPr="00C95B9A">
        <w:rPr>
          <w:lang w:val="en-IN"/>
        </w:rPr>
        <w:t xml:space="preserve">Hamasaki, H. (2024) ‘Patient experience in older adults with diabetes: A narrative review on interventions to improve patient experience and research gaps’, </w:t>
      </w:r>
      <w:r w:rsidRPr="00C95B9A">
        <w:rPr>
          <w:i/>
          <w:iCs/>
          <w:lang w:val="en-IN"/>
        </w:rPr>
        <w:t>Healthcare</w:t>
      </w:r>
      <w:r w:rsidRPr="00C95B9A">
        <w:rPr>
          <w:lang w:val="en-IN"/>
        </w:rPr>
        <w:t xml:space="preserve">, 12(24), p. 2530. </w:t>
      </w:r>
      <w:hyperlink r:id="rId71" w:history="1">
        <w:r w:rsidRPr="00C95B9A">
          <w:rPr>
            <w:rStyle w:val="Hyperlink"/>
            <w:lang w:val="en-IN"/>
          </w:rPr>
          <w:t>https://doi.org/10.3390/healthcare12242530</w:t>
        </w:r>
      </w:hyperlink>
    </w:p>
    <w:p w14:paraId="36DB7319" w14:textId="77777777" w:rsidR="000A5D99" w:rsidRPr="00C95B9A" w:rsidRDefault="000A5D99" w:rsidP="00C95B9A">
      <w:pPr>
        <w:rPr>
          <w:lang w:val="en-IN"/>
        </w:rPr>
      </w:pPr>
      <w:r w:rsidRPr="00C95B9A">
        <w:rPr>
          <w:lang w:val="en-IN"/>
        </w:rPr>
        <w:t xml:space="preserve">Hassan, E. and Omenogor, C.E. (2025) ‘AI powered predictive healthcare: Deep learning for early diagnosis, personalized treatment, and disease prevention’, </w:t>
      </w:r>
      <w:r w:rsidRPr="00C95B9A">
        <w:rPr>
          <w:i/>
          <w:iCs/>
          <w:lang w:val="en-IN"/>
        </w:rPr>
        <w:t>International Journal of Science and Research Archive</w:t>
      </w:r>
      <w:r w:rsidRPr="00C95B9A">
        <w:rPr>
          <w:lang w:val="en-IN"/>
        </w:rPr>
        <w:t xml:space="preserve">, 14(3), pp. 806–823. </w:t>
      </w:r>
      <w:hyperlink r:id="rId72" w:history="1">
        <w:r w:rsidRPr="00C95B9A">
          <w:rPr>
            <w:rStyle w:val="Hyperlink"/>
            <w:lang w:val="en-IN"/>
          </w:rPr>
          <w:t>https://doi.org/10.30574/ijsra.2025.14.3.0731</w:t>
        </w:r>
      </w:hyperlink>
    </w:p>
    <w:p w14:paraId="1BDB62FF" w14:textId="77777777" w:rsidR="000A5D99" w:rsidRPr="00257866" w:rsidRDefault="000A5D99" w:rsidP="00257866">
      <w:pPr>
        <w:rPr>
          <w:lang w:val="en-US"/>
        </w:rPr>
      </w:pPr>
      <w:r w:rsidRPr="00257866">
        <w:rPr>
          <w:lang w:val="en-US"/>
        </w:rPr>
        <w:lastRenderedPageBreak/>
        <w:t xml:space="preserve">Homa-Bonell, J.K. (2023) ‘Interpreting P values in 2023’, </w:t>
      </w:r>
      <w:r w:rsidRPr="00257866">
        <w:rPr>
          <w:i/>
          <w:iCs/>
          <w:lang w:val="en-US"/>
        </w:rPr>
        <w:t>Journal of Patient-Centered Research and Reviews</w:t>
      </w:r>
      <w:r w:rsidRPr="00257866">
        <w:rPr>
          <w:lang w:val="en-US"/>
        </w:rPr>
        <w:t xml:space="preserve">, 10(3), pp. 102–103. Available at: </w:t>
      </w:r>
      <w:hyperlink r:id="rId73" w:history="1">
        <w:r w:rsidRPr="00257866">
          <w:rPr>
            <w:rStyle w:val="Hyperlink"/>
            <w:lang w:val="en-US"/>
          </w:rPr>
          <w:t>https://doi.org/10.17294/2330-0698.2064</w:t>
        </w:r>
      </w:hyperlink>
    </w:p>
    <w:p w14:paraId="4A718D1B" w14:textId="77777777" w:rsidR="000A5D99" w:rsidRPr="00C95B9A" w:rsidRDefault="000A5D99" w:rsidP="00C95B9A">
      <w:pPr>
        <w:rPr>
          <w:lang w:val="en-IN"/>
        </w:rPr>
      </w:pPr>
      <w:r w:rsidRPr="00C95B9A">
        <w:rPr>
          <w:lang w:val="en-IN"/>
        </w:rPr>
        <w:t xml:space="preserve">Hussain, A., Zhiqiang, M., Li, M., Jameel, A., Kanwel, S., Ahmad, S. and Ge, B. (2025) ‘The mediating effects of perceived usefulness and perceived ease of use on nurses’ intentions to adopt advanced technology’, </w:t>
      </w:r>
      <w:r w:rsidRPr="00C95B9A">
        <w:rPr>
          <w:i/>
          <w:iCs/>
          <w:lang w:val="en-IN"/>
        </w:rPr>
        <w:t>BMC Nursing</w:t>
      </w:r>
      <w:r w:rsidRPr="00C95B9A">
        <w:rPr>
          <w:lang w:val="en-IN"/>
        </w:rPr>
        <w:t xml:space="preserve">, 24(1), p. 33. </w:t>
      </w:r>
      <w:hyperlink r:id="rId74" w:history="1">
        <w:r w:rsidRPr="00C95B9A">
          <w:rPr>
            <w:rStyle w:val="Hyperlink"/>
            <w:lang w:val="en-IN"/>
          </w:rPr>
          <w:t>https://doi.org/10.1186/s12912-024-02648-8</w:t>
        </w:r>
      </w:hyperlink>
    </w:p>
    <w:p w14:paraId="013F0EB1" w14:textId="77777777" w:rsidR="000A5D99" w:rsidRPr="00257866" w:rsidRDefault="000A5D99" w:rsidP="00257866">
      <w:pPr>
        <w:rPr>
          <w:lang w:val="en-US"/>
        </w:rPr>
      </w:pPr>
      <w:r w:rsidRPr="00257866">
        <w:rPr>
          <w:lang w:val="en-US"/>
        </w:rPr>
        <w:t xml:space="preserve">Information Commissioner’s Office (2025) ‘How do we ensure anonymisation is effective?’. Available at: </w:t>
      </w:r>
      <w:hyperlink r:id="rId75" w:history="1">
        <w:r w:rsidRPr="00257866">
          <w:rPr>
            <w:rStyle w:val="Hyperlink"/>
            <w:lang w:val="en-US"/>
          </w:rPr>
          <w:t>https://ico.org.uk/for-organisations/uk-gdpr-guidance-and-resources/data-sharing/anonymisation/how-do-we-ensure-anonymisation-is-effective/</w:t>
        </w:r>
      </w:hyperlink>
      <w:r w:rsidRPr="00257866">
        <w:rPr>
          <w:lang w:val="en-US"/>
        </w:rPr>
        <w:t xml:space="preserve"> (Accessed: 31 July 2026).</w:t>
      </w:r>
    </w:p>
    <w:p w14:paraId="6B235385" w14:textId="77777777" w:rsidR="000A5D99" w:rsidRPr="00257866" w:rsidRDefault="000A5D99" w:rsidP="00257866">
      <w:pPr>
        <w:rPr>
          <w:lang w:val="en-US"/>
        </w:rPr>
      </w:pPr>
      <w:r w:rsidRPr="00257866">
        <w:rPr>
          <w:lang w:val="en-US"/>
        </w:rPr>
        <w:t xml:space="preserve">Izah, S.C., Sylva, L. and Hait, M. (2024) ‘Cronbach’s alpha: A cornerstone in ensuring reliability and validity in environmental health assessment’, </w:t>
      </w:r>
      <w:r w:rsidRPr="00257866">
        <w:rPr>
          <w:i/>
          <w:iCs/>
          <w:lang w:val="en-US"/>
        </w:rPr>
        <w:t>ES Energy &amp; Environment</w:t>
      </w:r>
      <w:r w:rsidRPr="00257866">
        <w:rPr>
          <w:lang w:val="en-US"/>
        </w:rPr>
        <w:t xml:space="preserve">, 23, article 1057. Available at: </w:t>
      </w:r>
      <w:hyperlink r:id="rId76" w:history="1">
        <w:r w:rsidRPr="00257866">
          <w:rPr>
            <w:rStyle w:val="Hyperlink"/>
            <w:lang w:val="en-US"/>
          </w:rPr>
          <w:t>https://doi.org/10.30919/esee1057</w:t>
        </w:r>
      </w:hyperlink>
    </w:p>
    <w:p w14:paraId="45481080" w14:textId="77777777" w:rsidR="000A5D99" w:rsidRPr="00257866" w:rsidRDefault="000A5D99" w:rsidP="00257866">
      <w:pPr>
        <w:rPr>
          <w:lang w:val="en-US"/>
        </w:rPr>
      </w:pPr>
      <w:r w:rsidRPr="00257866">
        <w:rPr>
          <w:lang w:val="en-US"/>
        </w:rPr>
        <w:t xml:space="preserve">Jebb, A.T., Ng, V. and Tay, L. (2021) ‘A review of key Likert scale development advances: 1995–2019’, </w:t>
      </w:r>
      <w:r w:rsidRPr="00257866">
        <w:rPr>
          <w:i/>
          <w:iCs/>
          <w:lang w:val="en-US"/>
        </w:rPr>
        <w:t>Frontiers in Psychology</w:t>
      </w:r>
      <w:r w:rsidRPr="00257866">
        <w:rPr>
          <w:lang w:val="en-US"/>
        </w:rPr>
        <w:t xml:space="preserve">, 12, article 637547. Available at: </w:t>
      </w:r>
      <w:hyperlink r:id="rId77" w:history="1">
        <w:r w:rsidRPr="00257866">
          <w:rPr>
            <w:rStyle w:val="Hyperlink"/>
            <w:lang w:val="en-US"/>
          </w:rPr>
          <w:t>https://doi.org/10.3389/fpsyg.2021.637547</w:t>
        </w:r>
      </w:hyperlink>
    </w:p>
    <w:p w14:paraId="78ADD530" w14:textId="77777777" w:rsidR="000A5D99" w:rsidRPr="00C95B9A" w:rsidRDefault="000A5D99" w:rsidP="00C95B9A">
      <w:pPr>
        <w:rPr>
          <w:lang w:val="en-IN"/>
        </w:rPr>
      </w:pPr>
      <w:r w:rsidRPr="00C95B9A">
        <w:rPr>
          <w:lang w:val="en-IN"/>
        </w:rPr>
        <w:t xml:space="preserve">Jenko, S., Papadopoulou, E., Kumar, V., Overman, S.S., Krepelkova, K., Wilson, J., Dunbar, E.L., Spice, C. and Exarchos, T. (2025) ‘Artificial intelligence in healthcare: How to develop and implement safe, ethical and trustworthy AI systems’, </w:t>
      </w:r>
      <w:r w:rsidRPr="00C95B9A">
        <w:rPr>
          <w:i/>
          <w:iCs/>
          <w:lang w:val="en-IN"/>
        </w:rPr>
        <w:t>AI</w:t>
      </w:r>
      <w:r w:rsidRPr="00C95B9A">
        <w:rPr>
          <w:lang w:val="en-IN"/>
        </w:rPr>
        <w:t xml:space="preserve">, 6(6), p. 116. </w:t>
      </w:r>
      <w:hyperlink r:id="rId78" w:history="1">
        <w:r w:rsidRPr="00C95B9A">
          <w:rPr>
            <w:rStyle w:val="Hyperlink"/>
            <w:lang w:val="en-IN"/>
          </w:rPr>
          <w:t>https://doi.org/10.3390/ai6060116</w:t>
        </w:r>
      </w:hyperlink>
    </w:p>
    <w:p w14:paraId="3FD898B6" w14:textId="77777777" w:rsidR="000A5D99" w:rsidRPr="00C95B9A" w:rsidRDefault="000A5D99" w:rsidP="00C95B9A">
      <w:pPr>
        <w:rPr>
          <w:lang w:val="en-IN"/>
        </w:rPr>
      </w:pPr>
      <w:r w:rsidRPr="00C95B9A">
        <w:rPr>
          <w:lang w:val="en-IN"/>
        </w:rPr>
        <w:t xml:space="preserve">Kerasidou, A. and Kerasidou, C. (2023) ‘Data-driven research and healthcare: Public trust, data governance and the NHS’, </w:t>
      </w:r>
      <w:r w:rsidRPr="00C95B9A">
        <w:rPr>
          <w:i/>
          <w:iCs/>
          <w:lang w:val="en-IN"/>
        </w:rPr>
        <w:t>BMC Medical Ethics</w:t>
      </w:r>
      <w:r w:rsidRPr="00C95B9A">
        <w:rPr>
          <w:lang w:val="en-IN"/>
        </w:rPr>
        <w:t xml:space="preserve">, 24(1), p. 51. </w:t>
      </w:r>
      <w:hyperlink r:id="rId79" w:history="1">
        <w:r w:rsidRPr="00C95B9A">
          <w:rPr>
            <w:rStyle w:val="Hyperlink"/>
            <w:lang w:val="en-IN"/>
          </w:rPr>
          <w:t>https://doi.org/10.1186/s12910-023-00922-z</w:t>
        </w:r>
      </w:hyperlink>
    </w:p>
    <w:p w14:paraId="736744C6" w14:textId="77777777" w:rsidR="000A5D99" w:rsidRPr="00C95B9A" w:rsidRDefault="000A5D99" w:rsidP="00C95B9A">
      <w:pPr>
        <w:rPr>
          <w:lang w:val="en-IN"/>
        </w:rPr>
      </w:pPr>
      <w:r w:rsidRPr="00C95B9A">
        <w:rPr>
          <w:lang w:val="en-IN"/>
        </w:rPr>
        <w:lastRenderedPageBreak/>
        <w:t xml:space="preserve">Kim, H.K. and Lee, C.W. (2021) ‘Relationships among healthcare digitalization, social capital, and supply chain performance in the healthcare manufacturing industry’, </w:t>
      </w:r>
      <w:r w:rsidRPr="00C95B9A">
        <w:rPr>
          <w:i/>
          <w:iCs/>
          <w:lang w:val="en-IN"/>
        </w:rPr>
        <w:t>International Journal of Environmental Research and Public Health</w:t>
      </w:r>
      <w:r w:rsidRPr="00C95B9A">
        <w:rPr>
          <w:lang w:val="en-IN"/>
        </w:rPr>
        <w:t xml:space="preserve">, 18(4), p. 1417. </w:t>
      </w:r>
      <w:hyperlink r:id="rId80" w:history="1">
        <w:r w:rsidRPr="00C95B9A">
          <w:rPr>
            <w:rStyle w:val="Hyperlink"/>
            <w:lang w:val="en-IN"/>
          </w:rPr>
          <w:t>https://doi.org/10.3390/ijerph18041417</w:t>
        </w:r>
      </w:hyperlink>
    </w:p>
    <w:p w14:paraId="5BC644C8" w14:textId="77777777" w:rsidR="000A5D99" w:rsidRPr="00C95B9A" w:rsidRDefault="000A5D99" w:rsidP="00C95B9A">
      <w:pPr>
        <w:rPr>
          <w:lang w:val="en-IN"/>
        </w:rPr>
      </w:pPr>
      <w:r w:rsidRPr="00C95B9A">
        <w:rPr>
          <w:lang w:val="en-IN"/>
        </w:rPr>
        <w:t xml:space="preserve">Kim, J., Chen, M.L., Rezaei, S.J., Hernandez-Boussard, T., Chen, J.H., Rodriguez, F., Han, S.S., Lal, R.A., Kim, S.H., Dosiou, C. and Seav, S.M. (2025) ‘Artificial intelligence tools in supporting healthcare professionals for tailored patient care’, </w:t>
      </w:r>
      <w:r w:rsidRPr="00C95B9A">
        <w:rPr>
          <w:i/>
          <w:iCs/>
          <w:lang w:val="en-IN"/>
        </w:rPr>
        <w:t>NPJ Digital Medicine</w:t>
      </w:r>
      <w:r w:rsidRPr="00C95B9A">
        <w:rPr>
          <w:lang w:val="en-IN"/>
        </w:rPr>
        <w:t xml:space="preserve">, 8(1), p. 210. </w:t>
      </w:r>
      <w:hyperlink r:id="rId81" w:history="1">
        <w:r w:rsidRPr="00C95B9A">
          <w:rPr>
            <w:rStyle w:val="Hyperlink"/>
            <w:lang w:val="en-IN"/>
          </w:rPr>
          <w:t>https://doi.org/10.1038/s41746-025-01604-3</w:t>
        </w:r>
      </w:hyperlink>
    </w:p>
    <w:p w14:paraId="60499960" w14:textId="77777777" w:rsidR="000A5D99" w:rsidRPr="00257866" w:rsidRDefault="000A5D99" w:rsidP="00257866">
      <w:pPr>
        <w:rPr>
          <w:lang w:val="en-US"/>
        </w:rPr>
      </w:pPr>
      <w:r w:rsidRPr="00257866">
        <w:rPr>
          <w:lang w:val="en-US"/>
        </w:rPr>
        <w:t xml:space="preserve">Kishore, K., Jaswal, V., Kulkarni, V. and De, D. (2021) ‘Practical guidelines to develop and evaluate a questionnaire’, </w:t>
      </w:r>
      <w:r w:rsidRPr="00257866">
        <w:rPr>
          <w:i/>
          <w:iCs/>
          <w:lang w:val="en-US"/>
        </w:rPr>
        <w:t>Indian Dermatology Online Journal</w:t>
      </w:r>
      <w:r w:rsidRPr="00257866">
        <w:rPr>
          <w:lang w:val="en-US"/>
        </w:rPr>
        <w:t xml:space="preserve">, 12(2), pp. 266–275. Available at: </w:t>
      </w:r>
      <w:hyperlink r:id="rId82" w:history="1">
        <w:r w:rsidRPr="00257866">
          <w:rPr>
            <w:rStyle w:val="Hyperlink"/>
            <w:lang w:val="en-US"/>
          </w:rPr>
          <w:t>https://doi.org/10.4103/idoj.IDOJ_674_20</w:t>
        </w:r>
      </w:hyperlink>
    </w:p>
    <w:p w14:paraId="028DE739" w14:textId="77777777" w:rsidR="000A5D99" w:rsidRPr="00257866" w:rsidRDefault="000A5D99" w:rsidP="00257866">
      <w:pPr>
        <w:rPr>
          <w:lang w:val="en-US"/>
        </w:rPr>
      </w:pPr>
      <w:r w:rsidRPr="00257866">
        <w:rPr>
          <w:lang w:val="en-US"/>
        </w:rPr>
        <w:t xml:space="preserve">Ko, M., Azzopardi, M., Loizou, C., Logeswaran, A., Ng, B., Pacho, A. and Chong, Y. (2025) ‘Telehealth and people with disabilities in the United Kingdom: A scoping review’, </w:t>
      </w:r>
      <w:r w:rsidRPr="00257866">
        <w:rPr>
          <w:i/>
          <w:iCs/>
          <w:lang w:val="en-US"/>
        </w:rPr>
        <w:t>Frontiers in Public Health</w:t>
      </w:r>
      <w:r w:rsidRPr="00257866">
        <w:rPr>
          <w:lang w:val="en-US"/>
        </w:rPr>
        <w:t xml:space="preserve">, 13, article 1504318. Available at: </w:t>
      </w:r>
      <w:hyperlink r:id="rId83" w:history="1">
        <w:r w:rsidRPr="00257866">
          <w:rPr>
            <w:rStyle w:val="Hyperlink"/>
            <w:lang w:val="en-US"/>
          </w:rPr>
          <w:t>https://doi.org/10.3389/fpubh.2025.1504318</w:t>
        </w:r>
      </w:hyperlink>
    </w:p>
    <w:p w14:paraId="18EC260A" w14:textId="77777777" w:rsidR="000A5D99" w:rsidRPr="00C95B9A" w:rsidRDefault="000A5D99" w:rsidP="00C95B9A">
      <w:pPr>
        <w:rPr>
          <w:lang w:val="en-IN"/>
        </w:rPr>
      </w:pPr>
      <w:r w:rsidRPr="00C95B9A">
        <w:rPr>
          <w:lang w:val="en-IN"/>
        </w:rPr>
        <w:t xml:space="preserve">Kulkov, I., Kulkova, J., Leone, D., Rohrbeck, R. and Menvielle, L. (2024) ‘Stand-alone or run together: Artificial intelligence as an enabler for other technologies’, </w:t>
      </w:r>
      <w:r w:rsidRPr="00C95B9A">
        <w:rPr>
          <w:i/>
          <w:iCs/>
          <w:lang w:val="en-IN"/>
        </w:rPr>
        <w:t>International Journal of Entrepreneurial Behavior &amp; Research</w:t>
      </w:r>
      <w:r w:rsidRPr="00C95B9A">
        <w:rPr>
          <w:lang w:val="en-IN"/>
        </w:rPr>
        <w:t xml:space="preserve">, 30(8), pp. 2082–2105. </w:t>
      </w:r>
      <w:hyperlink r:id="rId84" w:history="1">
        <w:r w:rsidRPr="00C95B9A">
          <w:rPr>
            <w:rStyle w:val="Hyperlink"/>
            <w:lang w:val="en-IN"/>
          </w:rPr>
          <w:t>https://doi.org/10.1108/IJEBR-02-2023-0169</w:t>
        </w:r>
      </w:hyperlink>
    </w:p>
    <w:p w14:paraId="367C072E" w14:textId="77777777" w:rsidR="000A5D99" w:rsidRPr="00C95B9A" w:rsidRDefault="000A5D99" w:rsidP="00C95B9A">
      <w:pPr>
        <w:rPr>
          <w:lang w:val="en-IN"/>
        </w:rPr>
      </w:pPr>
      <w:r w:rsidRPr="00C95B9A">
        <w:rPr>
          <w:lang w:val="en-IN"/>
        </w:rPr>
        <w:t xml:space="preserve">Kumar, P., Dwivedi, Y.K. and Anand, A. (2023) ‘Responsible artificial intelligence (AI) for value formation and market performance in healthcare: The mediating role of patient’s cognitive engagement’, </w:t>
      </w:r>
      <w:r w:rsidRPr="00C95B9A">
        <w:rPr>
          <w:i/>
          <w:iCs/>
          <w:lang w:val="en-IN"/>
        </w:rPr>
        <w:t>Information Systems Frontiers</w:t>
      </w:r>
      <w:r w:rsidRPr="00C95B9A">
        <w:rPr>
          <w:lang w:val="en-IN"/>
        </w:rPr>
        <w:t xml:space="preserve">, 25(6), pp. 2197–2220. </w:t>
      </w:r>
      <w:hyperlink r:id="rId85" w:history="1">
        <w:r w:rsidRPr="00C95B9A">
          <w:rPr>
            <w:rStyle w:val="Hyperlink"/>
            <w:lang w:val="en-IN"/>
          </w:rPr>
          <w:t>https://doi.org/10.1007/s10796-021-10136-6</w:t>
        </w:r>
      </w:hyperlink>
    </w:p>
    <w:p w14:paraId="4F2C4D5F" w14:textId="77777777" w:rsidR="000A5D99" w:rsidRPr="00257866" w:rsidRDefault="000A5D99" w:rsidP="00257866">
      <w:pPr>
        <w:rPr>
          <w:lang w:val="en-US"/>
        </w:rPr>
      </w:pPr>
      <w:r w:rsidRPr="00257866">
        <w:rPr>
          <w:lang w:val="en-US"/>
        </w:rPr>
        <w:t xml:space="preserve">Lakens, D. (2022) ‘Sample size justification’, </w:t>
      </w:r>
      <w:r w:rsidRPr="00257866">
        <w:rPr>
          <w:i/>
          <w:iCs/>
          <w:lang w:val="en-US"/>
        </w:rPr>
        <w:t>Collabra: Psychology</w:t>
      </w:r>
      <w:r w:rsidRPr="00257866">
        <w:rPr>
          <w:lang w:val="en-US"/>
        </w:rPr>
        <w:t xml:space="preserve">, 8(1), article 33267. Available at: </w:t>
      </w:r>
      <w:hyperlink r:id="rId86" w:history="1">
        <w:r w:rsidRPr="00257866">
          <w:rPr>
            <w:rStyle w:val="Hyperlink"/>
            <w:lang w:val="en-US"/>
          </w:rPr>
          <w:t>https://doi.org/10.1525/collabra.33267</w:t>
        </w:r>
      </w:hyperlink>
    </w:p>
    <w:p w14:paraId="71A1114C" w14:textId="77777777" w:rsidR="000A5D99" w:rsidRPr="00C95B9A" w:rsidRDefault="000A5D99" w:rsidP="00C95B9A">
      <w:pPr>
        <w:rPr>
          <w:lang w:val="en-IN"/>
        </w:rPr>
      </w:pPr>
      <w:r w:rsidRPr="00C95B9A">
        <w:rPr>
          <w:lang w:val="en-IN"/>
        </w:rPr>
        <w:lastRenderedPageBreak/>
        <w:t xml:space="preserve">Latif, W. (2022) ‘Determinants of hotel brand image: A unified model of customer-based brand equity’, </w:t>
      </w:r>
      <w:r w:rsidRPr="00C95B9A">
        <w:rPr>
          <w:i/>
          <w:iCs/>
          <w:lang w:val="en-IN"/>
        </w:rPr>
        <w:t>International Journal of Customer Relationship Marketing and Management</w:t>
      </w:r>
      <w:r w:rsidRPr="00C95B9A">
        <w:rPr>
          <w:lang w:val="en-IN"/>
        </w:rPr>
        <w:t xml:space="preserve">, 13(1), pp. 1–20. </w:t>
      </w:r>
      <w:hyperlink r:id="rId87" w:history="1">
        <w:r w:rsidRPr="00C95B9A">
          <w:rPr>
            <w:rStyle w:val="Hyperlink"/>
            <w:lang w:val="en-IN"/>
          </w:rPr>
          <w:t>https://doi.org/10.4018/IJCRMM.300834</w:t>
        </w:r>
      </w:hyperlink>
    </w:p>
    <w:p w14:paraId="4B217E01" w14:textId="77777777" w:rsidR="000A5D99" w:rsidRPr="00C95B9A" w:rsidRDefault="000A5D99" w:rsidP="00C95B9A">
      <w:pPr>
        <w:rPr>
          <w:lang w:val="en-IN"/>
        </w:rPr>
      </w:pPr>
      <w:r w:rsidRPr="00C95B9A">
        <w:rPr>
          <w:lang w:val="en-IN"/>
        </w:rPr>
        <w:t xml:space="preserve">Lee, D. and Yoon, S.N. (2021) ‘Application of artificial intelligence-based technologies in the healthcare industry: Opportunities and challenges’, </w:t>
      </w:r>
      <w:r w:rsidRPr="00C95B9A">
        <w:rPr>
          <w:i/>
          <w:iCs/>
          <w:lang w:val="en-IN"/>
        </w:rPr>
        <w:t>International Journal of Environmental Research and Public Health</w:t>
      </w:r>
      <w:r w:rsidRPr="00C95B9A">
        <w:rPr>
          <w:lang w:val="en-IN"/>
        </w:rPr>
        <w:t xml:space="preserve">, 18(1), p. 271. </w:t>
      </w:r>
      <w:hyperlink r:id="rId88" w:history="1">
        <w:r w:rsidRPr="00C95B9A">
          <w:rPr>
            <w:rStyle w:val="Hyperlink"/>
            <w:lang w:val="en-IN"/>
          </w:rPr>
          <w:t>https://doi.org/10.3390/ijerph18010271</w:t>
        </w:r>
      </w:hyperlink>
    </w:p>
    <w:p w14:paraId="5EEBCDB2" w14:textId="77777777" w:rsidR="000A5D99" w:rsidRPr="00C95B9A" w:rsidRDefault="000A5D99" w:rsidP="00C95B9A">
      <w:pPr>
        <w:rPr>
          <w:lang w:val="en-IN"/>
        </w:rPr>
      </w:pPr>
      <w:r w:rsidRPr="00C95B9A">
        <w:rPr>
          <w:lang w:val="en-IN"/>
        </w:rPr>
        <w:t xml:space="preserve">Li, Y.H., Li, Y.L., Wei, M.Y. and Li, G.Y. (2024) ‘Innovation and challenges of artificial intelligence technology in personalized healthcare’, </w:t>
      </w:r>
      <w:r w:rsidRPr="00C95B9A">
        <w:rPr>
          <w:i/>
          <w:iCs/>
          <w:lang w:val="en-IN"/>
        </w:rPr>
        <w:t>Scientific Reports</w:t>
      </w:r>
      <w:r w:rsidRPr="00C95B9A">
        <w:rPr>
          <w:lang w:val="en-IN"/>
        </w:rPr>
        <w:t xml:space="preserve">, 14(1), p. 18994. </w:t>
      </w:r>
      <w:hyperlink r:id="rId89" w:history="1">
        <w:r w:rsidRPr="00C95B9A">
          <w:rPr>
            <w:rStyle w:val="Hyperlink"/>
            <w:lang w:val="en-IN"/>
          </w:rPr>
          <w:t>https://doi.org/10.1038/s41598-024-70073-7</w:t>
        </w:r>
      </w:hyperlink>
    </w:p>
    <w:p w14:paraId="173EFDA2" w14:textId="77777777" w:rsidR="000A5D99" w:rsidRPr="00C95B9A" w:rsidRDefault="000A5D99" w:rsidP="00C95B9A">
      <w:pPr>
        <w:rPr>
          <w:lang w:val="en-IN"/>
        </w:rPr>
      </w:pPr>
      <w:r w:rsidRPr="00C95B9A">
        <w:rPr>
          <w:lang w:val="en-IN"/>
        </w:rPr>
        <w:t xml:space="preserve">Liu, D., Li, Q. and Han, S. (2022) ‘Using extended Technology Acceptance Model to assess the adopt intention of a proposed IoT-based health management tool’, </w:t>
      </w:r>
      <w:r w:rsidRPr="00C95B9A">
        <w:rPr>
          <w:i/>
          <w:iCs/>
          <w:lang w:val="en-IN"/>
        </w:rPr>
        <w:t>Sensors</w:t>
      </w:r>
      <w:r w:rsidRPr="00C95B9A">
        <w:rPr>
          <w:lang w:val="en-IN"/>
        </w:rPr>
        <w:t xml:space="preserve">, 22(16), p. 6092. </w:t>
      </w:r>
      <w:hyperlink r:id="rId90" w:history="1">
        <w:r w:rsidRPr="00C95B9A">
          <w:rPr>
            <w:rStyle w:val="Hyperlink"/>
            <w:lang w:val="en-IN"/>
          </w:rPr>
          <w:t>https://doi.org/10.3390/s22166092</w:t>
        </w:r>
      </w:hyperlink>
    </w:p>
    <w:p w14:paraId="6694ECC4" w14:textId="77777777" w:rsidR="000A5D99" w:rsidRPr="000E05BD" w:rsidRDefault="000A5D99" w:rsidP="000A5D99">
      <w:pPr>
        <w:rPr>
          <w:lang w:val="en-IN"/>
        </w:rPr>
      </w:pPr>
      <w:r w:rsidRPr="000E05BD">
        <w:rPr>
          <w:lang w:val="en-IN"/>
        </w:rPr>
        <w:t xml:space="preserve">Lopez, A., Tinella, L., Caffò, A.O. and Bosco, A. (2023) ‘Measuring the reliability of proxy respondents in behavioural assessments: An open question’, </w:t>
      </w:r>
      <w:r w:rsidRPr="000E05BD">
        <w:rPr>
          <w:i/>
          <w:iCs/>
          <w:lang w:val="en-IN"/>
        </w:rPr>
        <w:t>Aging Clinical and Experimental Research</w:t>
      </w:r>
      <w:r w:rsidRPr="000E05BD">
        <w:rPr>
          <w:lang w:val="en-IN"/>
        </w:rPr>
        <w:t xml:space="preserve">, 35(10), pp. 2173–2190. </w:t>
      </w:r>
      <w:hyperlink r:id="rId91" w:tgtFrame="_new" w:history="1">
        <w:r w:rsidRPr="000E05BD">
          <w:rPr>
            <w:rStyle w:val="Hyperlink"/>
            <w:lang w:val="en-IN"/>
          </w:rPr>
          <w:t>https://doi.org/10.1007/s40520-023-02501-z</w:t>
        </w:r>
      </w:hyperlink>
    </w:p>
    <w:p w14:paraId="7A4C0EE4" w14:textId="77777777" w:rsidR="000A5D99" w:rsidRPr="00C95B9A" w:rsidRDefault="000A5D99" w:rsidP="00C95B9A">
      <w:pPr>
        <w:rPr>
          <w:lang w:val="en-IN"/>
        </w:rPr>
      </w:pPr>
      <w:r w:rsidRPr="00C95B9A">
        <w:rPr>
          <w:lang w:val="en-IN"/>
        </w:rPr>
        <w:t xml:space="preserve">Market Data Forecast (2024) </w:t>
      </w:r>
      <w:r w:rsidRPr="00C95B9A">
        <w:rPr>
          <w:i/>
          <w:iCs/>
          <w:lang w:val="en-IN"/>
        </w:rPr>
        <w:t>AI in Healthcare Market Size, Growth, Share &amp; Trends, 2033</w:t>
      </w:r>
      <w:r w:rsidRPr="00C95B9A">
        <w:rPr>
          <w:lang w:val="en-IN"/>
        </w:rPr>
        <w:t xml:space="preserve">. </w:t>
      </w:r>
      <w:hyperlink r:id="rId92" w:history="1">
        <w:r w:rsidRPr="00C95B9A">
          <w:rPr>
            <w:rStyle w:val="Hyperlink"/>
            <w:lang w:val="en-IN"/>
          </w:rPr>
          <w:t>https://www.marketdataforecast.com/market-reports/artificial-intelligence-in-healthcare-market</w:t>
        </w:r>
      </w:hyperlink>
    </w:p>
    <w:p w14:paraId="52E42C0D" w14:textId="77777777" w:rsidR="000A5D99" w:rsidRPr="00C95B9A" w:rsidRDefault="000A5D99" w:rsidP="00C95B9A">
      <w:pPr>
        <w:rPr>
          <w:lang w:val="en-IN"/>
        </w:rPr>
      </w:pPr>
      <w:r w:rsidRPr="00C95B9A">
        <w:rPr>
          <w:lang w:val="en-IN"/>
        </w:rPr>
        <w:t xml:space="preserve">Masalonis, A., Nelson, C., Reinerman-Jones, L., Krush, W., Fashakin, F. and Hayes-Watson, C. (2025) ‘Trust, security, and regulatory compliance in AI: Literature and practical experience, and the way forward for AI in healthcare’, </w:t>
      </w:r>
      <w:r w:rsidRPr="00C95B9A">
        <w:rPr>
          <w:i/>
          <w:iCs/>
          <w:lang w:val="en-IN"/>
        </w:rPr>
        <w:t>Proceedings of the International Symposium on Human Factors and Ergonomics in Health Care</w:t>
      </w:r>
      <w:r w:rsidRPr="00C95B9A">
        <w:rPr>
          <w:lang w:val="en-IN"/>
        </w:rPr>
        <w:t xml:space="preserve">, 14(1), pp. 1–5. SAGE Publications. </w:t>
      </w:r>
      <w:hyperlink r:id="rId93" w:history="1">
        <w:r w:rsidRPr="00C95B9A">
          <w:rPr>
            <w:rStyle w:val="Hyperlink"/>
            <w:lang w:val="en-IN"/>
          </w:rPr>
          <w:t>https://journals.sagepub.com/doi/pdf/10.1177/2327857925141001</w:t>
        </w:r>
      </w:hyperlink>
    </w:p>
    <w:p w14:paraId="167AC5DE" w14:textId="77777777" w:rsidR="000A5D99" w:rsidRPr="000E05BD" w:rsidRDefault="000A5D99" w:rsidP="000A5D99">
      <w:pPr>
        <w:rPr>
          <w:lang w:val="en-IN"/>
        </w:rPr>
      </w:pPr>
      <w:r w:rsidRPr="000E05BD">
        <w:rPr>
          <w:lang w:val="en-IN"/>
        </w:rPr>
        <w:t xml:space="preserve">Medina Aguerrebere, P., Medina, E. and González Pacanowski, T. (2024) ‘Building smart brands through online and artificial intelligence tools: A quantitative analysis about the best </w:t>
      </w:r>
      <w:r w:rsidRPr="000E05BD">
        <w:rPr>
          <w:lang w:val="en-IN"/>
        </w:rPr>
        <w:lastRenderedPageBreak/>
        <w:t xml:space="preserve">hospitals in Spain’, </w:t>
      </w:r>
      <w:r w:rsidRPr="000E05BD">
        <w:rPr>
          <w:i/>
          <w:iCs/>
          <w:lang w:val="en-IN"/>
        </w:rPr>
        <w:t>Online Journal of Communication and Media Technologies</w:t>
      </w:r>
      <w:r w:rsidRPr="000E05BD">
        <w:rPr>
          <w:lang w:val="en-IN"/>
        </w:rPr>
        <w:t xml:space="preserve">, 14(1), e202407. </w:t>
      </w:r>
      <w:hyperlink r:id="rId94" w:tgtFrame="_new" w:history="1">
        <w:r w:rsidRPr="000E05BD">
          <w:rPr>
            <w:rStyle w:val="Hyperlink"/>
            <w:lang w:val="en-IN"/>
          </w:rPr>
          <w:t>https://doi.org/10.30935/ojcmt/14132</w:t>
        </w:r>
      </w:hyperlink>
    </w:p>
    <w:p w14:paraId="7F0592A3" w14:textId="77777777" w:rsidR="000A5D99" w:rsidRPr="00C95B9A" w:rsidRDefault="000A5D99" w:rsidP="00C95B9A">
      <w:pPr>
        <w:rPr>
          <w:lang w:val="en-IN"/>
        </w:rPr>
      </w:pPr>
      <w:r w:rsidRPr="00C95B9A">
        <w:rPr>
          <w:lang w:val="en-IN"/>
        </w:rPr>
        <w:t xml:space="preserve">Naeem, R., Kohtamäki, M. and Parida, V. (2025) ‘Artificial intelligence enabled product–service innovation: Past achievements and future directions’, </w:t>
      </w:r>
      <w:r w:rsidRPr="00C95B9A">
        <w:rPr>
          <w:i/>
          <w:iCs/>
          <w:lang w:val="en-IN"/>
        </w:rPr>
        <w:t>Review of Managerial Science</w:t>
      </w:r>
      <w:r w:rsidRPr="00C95B9A">
        <w:rPr>
          <w:lang w:val="en-IN"/>
        </w:rPr>
        <w:t xml:space="preserve">, 19(7), pp. 2149–2192. </w:t>
      </w:r>
      <w:hyperlink r:id="rId95" w:history="1">
        <w:r w:rsidRPr="00C95B9A">
          <w:rPr>
            <w:rStyle w:val="Hyperlink"/>
            <w:lang w:val="en-IN"/>
          </w:rPr>
          <w:t>https://doi.org/10.1007/s11846-024-00757-x</w:t>
        </w:r>
      </w:hyperlink>
    </w:p>
    <w:p w14:paraId="13D771E0" w14:textId="77777777" w:rsidR="000A5D99" w:rsidRPr="00C95B9A" w:rsidRDefault="000A5D99" w:rsidP="00C95B9A">
      <w:pPr>
        <w:rPr>
          <w:lang w:val="en-IN"/>
        </w:rPr>
      </w:pPr>
      <w:r w:rsidRPr="00C95B9A">
        <w:rPr>
          <w:lang w:val="en-IN"/>
        </w:rPr>
        <w:t xml:space="preserve">Nevi, G., Pizzichini, L., Bastone, A. and Dezi, L. (2025) ‘Adoption of AI by micro and small health enterprises: Effects of entrepreneurial orientation on the TOE model’, </w:t>
      </w:r>
      <w:r w:rsidRPr="00C95B9A">
        <w:rPr>
          <w:i/>
          <w:iCs/>
          <w:lang w:val="en-IN"/>
        </w:rPr>
        <w:t>European Journal of Innovation Management</w:t>
      </w:r>
      <w:r w:rsidRPr="00C95B9A">
        <w:rPr>
          <w:lang w:val="en-IN"/>
        </w:rPr>
        <w:t xml:space="preserve">, 28(11), pp. 209–241. </w:t>
      </w:r>
      <w:hyperlink r:id="rId96" w:history="1">
        <w:r w:rsidRPr="00C95B9A">
          <w:rPr>
            <w:rStyle w:val="Hyperlink"/>
            <w:lang w:val="en-IN"/>
          </w:rPr>
          <w:t>https://doi.org/10.1108/EJIM-07-2024-0770</w:t>
        </w:r>
      </w:hyperlink>
    </w:p>
    <w:p w14:paraId="4B385F30" w14:textId="77777777" w:rsidR="000A5D99" w:rsidRPr="00257866" w:rsidRDefault="000A5D99" w:rsidP="00257866">
      <w:pPr>
        <w:rPr>
          <w:lang w:val="en-US"/>
        </w:rPr>
      </w:pPr>
      <w:r w:rsidRPr="00257866">
        <w:rPr>
          <w:lang w:val="en-US"/>
        </w:rPr>
        <w:t xml:space="preserve">NHS England (2024) ‘NHS AI expansion to help tackle missed appointments and improve waiting times’, 14 March. Available at: </w:t>
      </w:r>
      <w:hyperlink r:id="rId97" w:history="1">
        <w:r w:rsidRPr="00257866">
          <w:rPr>
            <w:rStyle w:val="Hyperlink"/>
            <w:lang w:val="en-US"/>
          </w:rPr>
          <w:t>https://www.england.nhs.uk/2024/03/nhs-ai-expansion-to-help-tackle-missed-appointments-and-improve-waiting-times/</w:t>
        </w:r>
      </w:hyperlink>
      <w:r w:rsidRPr="00257866">
        <w:rPr>
          <w:lang w:val="en-US"/>
        </w:rPr>
        <w:t xml:space="preserve"> (Accessed: 31 July 2026).</w:t>
      </w:r>
    </w:p>
    <w:p w14:paraId="4CA892D9" w14:textId="77777777" w:rsidR="000A5D99" w:rsidRPr="00257866" w:rsidRDefault="000A5D99" w:rsidP="00257866">
      <w:pPr>
        <w:rPr>
          <w:lang w:val="en-US"/>
        </w:rPr>
      </w:pPr>
      <w:r w:rsidRPr="00257866">
        <w:rPr>
          <w:lang w:val="en-US"/>
        </w:rPr>
        <w:t xml:space="preserve">NHS England (2025) ‘NHS waiting list hits two-year low as staff work to “turn the tide”’, 12 June. Available at: </w:t>
      </w:r>
      <w:hyperlink r:id="rId98" w:history="1">
        <w:r w:rsidRPr="00257866">
          <w:rPr>
            <w:rStyle w:val="Hyperlink"/>
            <w:lang w:val="en-US"/>
          </w:rPr>
          <w:t>https://www.england.nhs.uk/2025/06/nhs-waiting-list-hits-two-year-low-as-staff-work-to-turn-the-tide/</w:t>
        </w:r>
      </w:hyperlink>
      <w:r w:rsidRPr="00257866">
        <w:rPr>
          <w:lang w:val="en-US"/>
        </w:rPr>
        <w:t xml:space="preserve"> (Accessed: 31 July 2026).</w:t>
      </w:r>
    </w:p>
    <w:p w14:paraId="7A166393" w14:textId="77777777" w:rsidR="000A5D99" w:rsidRPr="00C95B9A" w:rsidRDefault="000A5D99" w:rsidP="00C95B9A">
      <w:pPr>
        <w:rPr>
          <w:lang w:val="en-IN"/>
        </w:rPr>
      </w:pPr>
      <w:r w:rsidRPr="00C95B9A">
        <w:rPr>
          <w:lang w:val="en-IN"/>
        </w:rPr>
        <w:t xml:space="preserve">NHS England (2025a) ‘NHS England » Nationwide roll out of artificial intelligence tool that predicts falls and viruses’. </w:t>
      </w:r>
      <w:hyperlink r:id="rId99" w:history="1">
        <w:r w:rsidRPr="00C95B9A">
          <w:rPr>
            <w:rStyle w:val="Hyperlink"/>
            <w:lang w:val="en-IN"/>
          </w:rPr>
          <w:t>https://www.england.nhs.uk/2025/03/nationwide-roll-out-of-artificial-intelligence-tool-that-predicts-falls-and-viruses</w:t>
        </w:r>
      </w:hyperlink>
    </w:p>
    <w:p w14:paraId="47F6E8F3" w14:textId="77777777" w:rsidR="000A5D99" w:rsidRPr="00C95B9A" w:rsidRDefault="000A5D99" w:rsidP="00C95B9A">
      <w:pPr>
        <w:rPr>
          <w:lang w:val="en-IN"/>
        </w:rPr>
      </w:pPr>
      <w:r w:rsidRPr="00C95B9A">
        <w:rPr>
          <w:lang w:val="en-IN"/>
        </w:rPr>
        <w:t xml:space="preserve">NHS England (2025b) ‘NHS England » Futuristic 3D heart scans on NHS speed up diagnosis and save millions’. </w:t>
      </w:r>
      <w:hyperlink r:id="rId100" w:history="1">
        <w:r w:rsidRPr="00C95B9A">
          <w:rPr>
            <w:rStyle w:val="Hyperlink"/>
            <w:lang w:val="en-IN"/>
          </w:rPr>
          <w:t>https://www.england.nhs.uk/2025/05/futuristic-3d-heart-scans-speed-up-diagnosis-and-save-millions</w:t>
        </w:r>
      </w:hyperlink>
    </w:p>
    <w:p w14:paraId="66539781" w14:textId="77777777" w:rsidR="000A5D99" w:rsidRPr="00805244" w:rsidRDefault="000A5D99" w:rsidP="00336A3F">
      <w:pPr>
        <w:rPr>
          <w:rStyle w:val="Hyperlink"/>
          <w:lang w:val="en-IN"/>
        </w:rPr>
      </w:pPr>
      <w:r w:rsidRPr="00336A3F">
        <w:rPr>
          <w:lang w:val="en-IN"/>
        </w:rPr>
        <w:t>NHS England (2026) ‘NHS accelerates artificial intelligence rollout to cut waiting times and improve care for millions’, 4 July.</w:t>
      </w:r>
      <w:r w:rsidRPr="00805244">
        <w:rPr>
          <w:color w:val="auto"/>
          <w:lang w:val="en-IN"/>
        </w:rPr>
        <w:t xml:space="preserve"> </w:t>
      </w:r>
      <w:hyperlink r:id="rId101" w:tgtFrame="_new" w:history="1">
        <w:r w:rsidRPr="00805244">
          <w:rPr>
            <w:rStyle w:val="Hyperlink"/>
            <w:lang w:val="en-IN"/>
          </w:rPr>
          <w:t>https://www.england.nhs.uk/2026/07/nhs-accelerates-artificial-intelligence-rollout-to-cut-waiting-times-and-improve-care-for-millions/</w:t>
        </w:r>
      </w:hyperlink>
    </w:p>
    <w:p w14:paraId="2FE818EA" w14:textId="77777777" w:rsidR="000A5D99" w:rsidRPr="00C95B9A" w:rsidRDefault="000A5D99" w:rsidP="00C95B9A">
      <w:pPr>
        <w:rPr>
          <w:lang w:val="en-IN"/>
        </w:rPr>
      </w:pPr>
      <w:r w:rsidRPr="00C95B9A">
        <w:rPr>
          <w:lang w:val="en-IN"/>
        </w:rPr>
        <w:lastRenderedPageBreak/>
        <w:t xml:space="preserve">Nizette, F., Hammedi, W., van Riel, A.C. and Steils, N. (2025) ‘Why should I trust you? Influence of explanation design on consumer behavior in AI-based services’, </w:t>
      </w:r>
      <w:r w:rsidRPr="00C95B9A">
        <w:rPr>
          <w:i/>
          <w:iCs/>
          <w:lang w:val="en-IN"/>
        </w:rPr>
        <w:t>Journal of Service Management</w:t>
      </w:r>
      <w:r w:rsidRPr="00C95B9A">
        <w:rPr>
          <w:lang w:val="en-IN"/>
        </w:rPr>
        <w:t xml:space="preserve">, 36(1), pp. 50–74. </w:t>
      </w:r>
      <w:hyperlink r:id="rId102" w:history="1">
        <w:r w:rsidRPr="00C95B9A">
          <w:rPr>
            <w:rStyle w:val="Hyperlink"/>
            <w:lang w:val="en-IN"/>
          </w:rPr>
          <w:t>https://openreview.net/pdf?id=P6RafgsieH</w:t>
        </w:r>
      </w:hyperlink>
    </w:p>
    <w:p w14:paraId="761095CE" w14:textId="77777777" w:rsidR="000A5D99" w:rsidRPr="00257866" w:rsidRDefault="000A5D99" w:rsidP="00257866">
      <w:pPr>
        <w:rPr>
          <w:lang w:val="en-US"/>
        </w:rPr>
      </w:pPr>
      <w:r w:rsidRPr="00257866">
        <w:rPr>
          <w:lang w:val="en-US"/>
        </w:rPr>
        <w:t xml:space="preserve">Nong, P. and Ji, M. (2025) ‘Expectations of healthcare AI and the role of trust: Understanding patient views on how AI will impact cost, access, and patient-provider relationships’, </w:t>
      </w:r>
      <w:r w:rsidRPr="00257866">
        <w:rPr>
          <w:i/>
          <w:iCs/>
          <w:lang w:val="en-US"/>
        </w:rPr>
        <w:t>Journal of the American Medical Informatics Association</w:t>
      </w:r>
      <w:r w:rsidRPr="00257866">
        <w:rPr>
          <w:lang w:val="en-US"/>
        </w:rPr>
        <w:t xml:space="preserve">, 32(5), pp. 795–799. Available at: </w:t>
      </w:r>
      <w:hyperlink r:id="rId103" w:history="1">
        <w:r w:rsidRPr="00257866">
          <w:rPr>
            <w:rStyle w:val="Hyperlink"/>
            <w:lang w:val="en-US"/>
          </w:rPr>
          <w:t>https://doi.org/10.1093/jamia/ocaf031</w:t>
        </w:r>
      </w:hyperlink>
    </w:p>
    <w:p w14:paraId="75500701" w14:textId="77777777" w:rsidR="000A5D99" w:rsidRPr="000E05BD" w:rsidRDefault="000A5D99" w:rsidP="000A5D99">
      <w:pPr>
        <w:rPr>
          <w:lang w:val="en-IN"/>
        </w:rPr>
      </w:pPr>
      <w:r w:rsidRPr="000E05BD">
        <w:rPr>
          <w:lang w:val="en-IN"/>
        </w:rPr>
        <w:t xml:space="preserve">Nong, P. and Platt, J. (2025) ‘Patients’ trust in health systems to use artificial intelligence’, </w:t>
      </w:r>
      <w:r w:rsidRPr="000E05BD">
        <w:rPr>
          <w:i/>
          <w:iCs/>
          <w:lang w:val="en-IN"/>
        </w:rPr>
        <w:t>JAMA Network Open</w:t>
      </w:r>
      <w:r w:rsidRPr="000E05BD">
        <w:rPr>
          <w:lang w:val="en-IN"/>
        </w:rPr>
        <w:t xml:space="preserve">, 8(2), e2460628. </w:t>
      </w:r>
      <w:hyperlink r:id="rId104" w:tgtFrame="_new" w:history="1">
        <w:r w:rsidRPr="000E05BD">
          <w:rPr>
            <w:rStyle w:val="Hyperlink"/>
            <w:lang w:val="en-IN"/>
          </w:rPr>
          <w:t>https://doi.org/10.1001/jamanetworkopen.2024.60628</w:t>
        </w:r>
      </w:hyperlink>
    </w:p>
    <w:p w14:paraId="1A29A548" w14:textId="77777777" w:rsidR="000A5D99" w:rsidRPr="00257866" w:rsidRDefault="000A5D99" w:rsidP="00257866">
      <w:pPr>
        <w:rPr>
          <w:lang w:val="en-US"/>
        </w:rPr>
      </w:pPr>
      <w:r w:rsidRPr="00257866">
        <w:rPr>
          <w:lang w:val="en-US"/>
        </w:rPr>
        <w:t xml:space="preserve">Nouis, S.C.E., Uren, V. and Jariwala, S. (2025) ‘Evaluating accountability, transparency, and bias in AI-assisted healthcare decision-making: A qualitative study of healthcare professionals’ perspectives in the UK’, </w:t>
      </w:r>
      <w:r w:rsidRPr="00257866">
        <w:rPr>
          <w:i/>
          <w:iCs/>
          <w:lang w:val="en-US"/>
        </w:rPr>
        <w:t>BMC Medical Ethics</w:t>
      </w:r>
      <w:r w:rsidRPr="00257866">
        <w:rPr>
          <w:lang w:val="en-US"/>
        </w:rPr>
        <w:t xml:space="preserve">, 26, article 89. Available at: </w:t>
      </w:r>
      <w:hyperlink r:id="rId105" w:history="1">
        <w:r w:rsidRPr="00257866">
          <w:rPr>
            <w:rStyle w:val="Hyperlink"/>
            <w:lang w:val="en-US"/>
          </w:rPr>
          <w:t>https://doi.org/10.1186/s12910-025-01243-z</w:t>
        </w:r>
      </w:hyperlink>
    </w:p>
    <w:p w14:paraId="4AB66EA2" w14:textId="77777777" w:rsidR="000A5D99" w:rsidRPr="00257866" w:rsidRDefault="000A5D99" w:rsidP="00257866">
      <w:pPr>
        <w:rPr>
          <w:lang w:val="en-US"/>
        </w:rPr>
      </w:pPr>
      <w:r w:rsidRPr="00257866">
        <w:rPr>
          <w:lang w:val="en-US"/>
        </w:rPr>
        <w:t xml:space="preserve">Oates, J., Carpenter, D., Fisher, M., Goodson, S., Hannah, B., Kwiatowski, R., Prutton, K., Reeves, D. and Wainwright, T. (2021) </w:t>
      </w:r>
      <w:r w:rsidRPr="00257866">
        <w:rPr>
          <w:i/>
          <w:iCs/>
          <w:lang w:val="en-US"/>
        </w:rPr>
        <w:t>BPS code of human research ethics</w:t>
      </w:r>
      <w:r w:rsidRPr="00257866">
        <w:rPr>
          <w:lang w:val="en-US"/>
        </w:rPr>
        <w:t xml:space="preserve">. British Psychological Society. Available at: </w:t>
      </w:r>
      <w:hyperlink r:id="rId106" w:history="1">
        <w:r w:rsidRPr="00257866">
          <w:rPr>
            <w:rStyle w:val="Hyperlink"/>
            <w:lang w:val="en-US"/>
          </w:rPr>
          <w:t>https://explore.bps.org.uk/content/report-guideline/bpsrep.2021.inf180</w:t>
        </w:r>
      </w:hyperlink>
      <w:r w:rsidRPr="00257866">
        <w:rPr>
          <w:lang w:val="en-US"/>
        </w:rPr>
        <w:t xml:space="preserve"> (Accessed: 31 July 2026).</w:t>
      </w:r>
    </w:p>
    <w:p w14:paraId="53BF0E86" w14:textId="77777777" w:rsidR="000A5D99" w:rsidRPr="000E05BD" w:rsidRDefault="000A5D99" w:rsidP="000A5D99">
      <w:pPr>
        <w:rPr>
          <w:lang w:val="en-IN"/>
        </w:rPr>
      </w:pPr>
      <w:r w:rsidRPr="000E05BD">
        <w:rPr>
          <w:lang w:val="en-IN"/>
        </w:rPr>
        <w:t xml:space="preserve">Ogundare, O., Owadokun, T., Ogundare, T., Ekpo, P., Nguyen, H.L. and Bello, S. (2025) ‘Integrated artificial intelligence in healthcare and the patient’s experience of care’, </w:t>
      </w:r>
      <w:r w:rsidRPr="000E05BD">
        <w:rPr>
          <w:i/>
          <w:iCs/>
          <w:lang w:val="en-IN"/>
        </w:rPr>
        <w:t>Scientific Reports</w:t>
      </w:r>
      <w:r w:rsidRPr="000E05BD">
        <w:rPr>
          <w:lang w:val="en-IN"/>
        </w:rPr>
        <w:t xml:space="preserve">, 15, 21879. </w:t>
      </w:r>
      <w:hyperlink r:id="rId107" w:tgtFrame="_new" w:history="1">
        <w:r w:rsidRPr="000E05BD">
          <w:rPr>
            <w:rStyle w:val="Hyperlink"/>
            <w:lang w:val="en-IN"/>
          </w:rPr>
          <w:t>https://doi.org/10.1038/s41598-025-07581-7</w:t>
        </w:r>
      </w:hyperlink>
    </w:p>
    <w:p w14:paraId="639D0411" w14:textId="77777777" w:rsidR="000A5D99" w:rsidRPr="00257866" w:rsidRDefault="000A5D99" w:rsidP="00257866">
      <w:pPr>
        <w:rPr>
          <w:lang w:val="en-US"/>
        </w:rPr>
      </w:pPr>
      <w:r w:rsidRPr="00257866">
        <w:rPr>
          <w:lang w:val="en-US"/>
        </w:rPr>
        <w:t xml:space="preserve">Okoli, C. (2023) ‘Inductive, abductive and deductive theorising’, </w:t>
      </w:r>
      <w:r w:rsidRPr="00257866">
        <w:rPr>
          <w:i/>
          <w:iCs/>
          <w:lang w:val="en-US"/>
        </w:rPr>
        <w:t>International Journal of Management Concepts and Philosophy</w:t>
      </w:r>
      <w:r w:rsidRPr="00257866">
        <w:rPr>
          <w:lang w:val="en-US"/>
        </w:rPr>
        <w:t xml:space="preserve">, 16(3), pp. 302–316. Available at: </w:t>
      </w:r>
      <w:hyperlink r:id="rId108" w:history="1">
        <w:r w:rsidRPr="00257866">
          <w:rPr>
            <w:rStyle w:val="Hyperlink"/>
            <w:lang w:val="en-US"/>
          </w:rPr>
          <w:t>https://doi.org/10.1504/IJMCP.2023.131769</w:t>
        </w:r>
      </w:hyperlink>
    </w:p>
    <w:p w14:paraId="19B1F4C4" w14:textId="77777777" w:rsidR="000A5D99" w:rsidRPr="00C95B9A" w:rsidRDefault="000A5D99" w:rsidP="00C95B9A">
      <w:pPr>
        <w:rPr>
          <w:lang w:val="en-IN"/>
        </w:rPr>
      </w:pPr>
      <w:r w:rsidRPr="00C95B9A">
        <w:rPr>
          <w:lang w:val="en-IN"/>
        </w:rPr>
        <w:t xml:space="preserve">ONS (2025) </w:t>
      </w:r>
      <w:r w:rsidRPr="00C95B9A">
        <w:rPr>
          <w:i/>
          <w:iCs/>
          <w:lang w:val="en-IN"/>
        </w:rPr>
        <w:t>What we know from engaging with the public on data: September 2025</w:t>
      </w:r>
      <w:r w:rsidRPr="00C95B9A">
        <w:rPr>
          <w:lang w:val="en-IN"/>
        </w:rPr>
        <w:t xml:space="preserve">. Office for National Statistics. </w:t>
      </w:r>
      <w:hyperlink r:id="rId109" w:history="1">
        <w:r w:rsidRPr="00C95B9A">
          <w:rPr>
            <w:rStyle w:val="Hyperlink"/>
            <w:lang w:val="en-IN"/>
          </w:rPr>
          <w:t>https://www.ons.gov.uk/aboutus/usingpublicdatatoproducestatistics/peoplesattitudestodata/whatweknowfromengagingwiththepublicondatajune2023</w:t>
        </w:r>
      </w:hyperlink>
    </w:p>
    <w:p w14:paraId="5B07CEF4" w14:textId="77777777" w:rsidR="000A5D99" w:rsidRPr="00C95B9A" w:rsidRDefault="000A5D99" w:rsidP="00C95B9A">
      <w:pPr>
        <w:rPr>
          <w:lang w:val="en-IN"/>
        </w:rPr>
      </w:pPr>
      <w:r w:rsidRPr="00C95B9A">
        <w:rPr>
          <w:lang w:val="en-IN"/>
        </w:rPr>
        <w:t xml:space="preserve">Park, E.S. and Park, M.S. (2020) ‘Factors of the Technology Acceptance Model for Construction IT’, </w:t>
      </w:r>
      <w:r w:rsidRPr="00C95B9A">
        <w:rPr>
          <w:i/>
          <w:iCs/>
          <w:lang w:val="en-IN"/>
        </w:rPr>
        <w:t>Applied Sciences</w:t>
      </w:r>
      <w:r w:rsidRPr="00C95B9A">
        <w:rPr>
          <w:lang w:val="en-IN"/>
        </w:rPr>
        <w:t xml:space="preserve">, 10(22), p. 8299. </w:t>
      </w:r>
      <w:hyperlink r:id="rId110" w:history="1">
        <w:r w:rsidRPr="00C95B9A">
          <w:rPr>
            <w:rStyle w:val="Hyperlink"/>
            <w:lang w:val="en-IN"/>
          </w:rPr>
          <w:t>https://doi.org/10.3390/app10228299</w:t>
        </w:r>
      </w:hyperlink>
    </w:p>
    <w:p w14:paraId="559B58FB" w14:textId="77777777" w:rsidR="000A5D99" w:rsidRPr="00C95B9A" w:rsidRDefault="000A5D99" w:rsidP="00C95B9A">
      <w:pPr>
        <w:rPr>
          <w:lang w:val="en-IN"/>
        </w:rPr>
      </w:pPr>
      <w:r w:rsidRPr="00C95B9A">
        <w:rPr>
          <w:lang w:val="en-IN"/>
        </w:rPr>
        <w:t xml:space="preserve">Pasat, Z., Sinn, C.L.J., Rahman, B., Gayowsky, A., Lokker, C., Tarride, J.E., Alarakhia, M. and Costa, A.P. (2024) ‘The relationship between patient experience and real-world digital health access in primary care: A population-based cross-sectional study’, </w:t>
      </w:r>
      <w:r w:rsidRPr="00C95B9A">
        <w:rPr>
          <w:i/>
          <w:iCs/>
          <w:lang w:val="en-IN"/>
        </w:rPr>
        <w:t>PLOS ONE</w:t>
      </w:r>
      <w:r w:rsidRPr="00C95B9A">
        <w:rPr>
          <w:lang w:val="en-IN"/>
        </w:rPr>
        <w:t xml:space="preserve">, 19(5), p. e0299005. </w:t>
      </w:r>
      <w:hyperlink r:id="rId111" w:history="1">
        <w:r w:rsidRPr="00C95B9A">
          <w:rPr>
            <w:rStyle w:val="Hyperlink"/>
            <w:lang w:val="en-IN"/>
          </w:rPr>
          <w:t>https://doi.org/10.1371/journal.pone.0299005</w:t>
        </w:r>
      </w:hyperlink>
    </w:p>
    <w:p w14:paraId="43B17611" w14:textId="77777777" w:rsidR="000A5D99" w:rsidRPr="000E05BD" w:rsidRDefault="000A5D99" w:rsidP="000A5D99">
      <w:pPr>
        <w:rPr>
          <w:lang w:val="en-IN"/>
        </w:rPr>
      </w:pPr>
      <w:r w:rsidRPr="000E05BD">
        <w:rPr>
          <w:lang w:val="en-IN"/>
        </w:rPr>
        <w:t xml:space="preserve">Pavithra, N. and Afza, N. (2024) ‘Harnessing the power of artificial intelligence and robotics impact on attaining competitive advantage for sustainable development in hospitals with conclusions for future research approaches’, </w:t>
      </w:r>
      <w:r w:rsidRPr="000E05BD">
        <w:rPr>
          <w:i/>
          <w:iCs/>
          <w:lang w:val="en-IN"/>
        </w:rPr>
        <w:t>GMS Hygiene and Infection Control</w:t>
      </w:r>
      <w:r w:rsidRPr="000E05BD">
        <w:rPr>
          <w:lang w:val="en-IN"/>
        </w:rPr>
        <w:t xml:space="preserve">, 19, Doc15. </w:t>
      </w:r>
      <w:hyperlink r:id="rId112" w:tgtFrame="_new" w:history="1">
        <w:r w:rsidRPr="000E05BD">
          <w:rPr>
            <w:rStyle w:val="Hyperlink"/>
            <w:lang w:val="en-IN"/>
          </w:rPr>
          <w:t>https://doi.org/10.3205/dgkh000470</w:t>
        </w:r>
      </w:hyperlink>
    </w:p>
    <w:p w14:paraId="0A0B3EB3" w14:textId="77777777" w:rsidR="000A5D99" w:rsidRPr="000E05BD" w:rsidRDefault="000A5D99" w:rsidP="000A5D99">
      <w:pPr>
        <w:rPr>
          <w:lang w:val="en-IN"/>
        </w:rPr>
      </w:pPr>
      <w:r w:rsidRPr="000E05BD">
        <w:rPr>
          <w:lang w:val="en-IN"/>
        </w:rPr>
        <w:t xml:space="preserve">Pratami, J.F., Gaffar, V., Dirgantari, P.D., Furqon, C. and Maryati, M. (2023) ‘Managing patient loyalty through digital patient experience’, </w:t>
      </w:r>
      <w:r w:rsidRPr="000E05BD">
        <w:rPr>
          <w:i/>
          <w:iCs/>
          <w:lang w:val="en-IN"/>
        </w:rPr>
        <w:t>Journal of Eastern European and Central Asian Research</w:t>
      </w:r>
      <w:r w:rsidRPr="000E05BD">
        <w:rPr>
          <w:lang w:val="en-IN"/>
        </w:rPr>
        <w:t xml:space="preserve">, 10(4), pp. 620–629. </w:t>
      </w:r>
      <w:hyperlink r:id="rId113" w:tgtFrame="_new" w:history="1">
        <w:r w:rsidRPr="000E05BD">
          <w:rPr>
            <w:rStyle w:val="Hyperlink"/>
            <w:lang w:val="en-IN"/>
          </w:rPr>
          <w:t>https://doi.org/10.15549/jeecar.v10i4.1356</w:t>
        </w:r>
      </w:hyperlink>
    </w:p>
    <w:p w14:paraId="6C71084E" w14:textId="77777777" w:rsidR="000A5D99" w:rsidRPr="00257866" w:rsidRDefault="000A5D99" w:rsidP="00257866">
      <w:pPr>
        <w:rPr>
          <w:lang w:val="en-US"/>
        </w:rPr>
      </w:pPr>
      <w:r w:rsidRPr="00257866">
        <w:rPr>
          <w:lang w:val="en-US"/>
        </w:rPr>
        <w:t xml:space="preserve">Private Healthcare Information Network (2026) ‘Private hospital admissions at record levels for fourth year in a row’, 1 June. Available at: </w:t>
      </w:r>
      <w:hyperlink r:id="rId114" w:history="1">
        <w:r w:rsidRPr="00257866">
          <w:rPr>
            <w:rStyle w:val="Hyperlink"/>
            <w:lang w:val="en-US"/>
          </w:rPr>
          <w:t>https://www.phin.org.uk/press-releases/private-hospital-admissions-at-record-levels-for-4th-consecutive-year</w:t>
        </w:r>
      </w:hyperlink>
      <w:r w:rsidRPr="00257866">
        <w:rPr>
          <w:lang w:val="en-US"/>
        </w:rPr>
        <w:t xml:space="preserve"> (Accessed: 31 July 2026).</w:t>
      </w:r>
    </w:p>
    <w:p w14:paraId="475889C7" w14:textId="77777777" w:rsidR="000A5D99" w:rsidRPr="000E05BD" w:rsidRDefault="000A5D99" w:rsidP="000A5D99">
      <w:pPr>
        <w:rPr>
          <w:lang w:val="en-IN"/>
        </w:rPr>
      </w:pPr>
      <w:r w:rsidRPr="000E05BD">
        <w:rPr>
          <w:lang w:val="en-IN"/>
        </w:rPr>
        <w:t xml:space="preserve">Pu, Y., Li, H., Hou, W. and Pan, X. (2025) ‘The analysis of strategic management decisions and corporate competitiveness based on artificial intelligence’, </w:t>
      </w:r>
      <w:r w:rsidRPr="000E05BD">
        <w:rPr>
          <w:i/>
          <w:iCs/>
          <w:lang w:val="en-IN"/>
        </w:rPr>
        <w:t>Scientific Reports</w:t>
      </w:r>
      <w:r w:rsidRPr="000E05BD">
        <w:rPr>
          <w:lang w:val="en-IN"/>
        </w:rPr>
        <w:t xml:space="preserve">, 15, 17942. </w:t>
      </w:r>
      <w:hyperlink r:id="rId115" w:tgtFrame="_new" w:history="1">
        <w:r w:rsidRPr="000E05BD">
          <w:rPr>
            <w:rStyle w:val="Hyperlink"/>
            <w:lang w:val="en-IN"/>
          </w:rPr>
          <w:t>https://doi.org/10.1038/s41598-025-02842</w:t>
        </w:r>
      </w:hyperlink>
    </w:p>
    <w:p w14:paraId="2AAA716F" w14:textId="77777777" w:rsidR="000A5D99" w:rsidRPr="00257866" w:rsidRDefault="000A5D99" w:rsidP="00257866">
      <w:pPr>
        <w:rPr>
          <w:lang w:val="en-US"/>
        </w:rPr>
      </w:pPr>
      <w:r w:rsidRPr="00257866">
        <w:rPr>
          <w:lang w:val="en-US"/>
        </w:rPr>
        <w:t xml:space="preserve">Ranganathan, P., Caduff, C. and Frampton, C.M.A. (2024) ‘Designing and validating a research questionnaire—Part 2’, </w:t>
      </w:r>
      <w:r w:rsidRPr="00257866">
        <w:rPr>
          <w:i/>
          <w:iCs/>
          <w:lang w:val="en-US"/>
        </w:rPr>
        <w:t>Perspectives in Clinical Research</w:t>
      </w:r>
      <w:r w:rsidRPr="00257866">
        <w:rPr>
          <w:lang w:val="en-US"/>
        </w:rPr>
        <w:t xml:space="preserve">, 15(1), pp. 42–45. Available at: </w:t>
      </w:r>
      <w:hyperlink r:id="rId116" w:history="1">
        <w:r w:rsidRPr="00257866">
          <w:rPr>
            <w:rStyle w:val="Hyperlink"/>
            <w:lang w:val="en-US"/>
          </w:rPr>
          <w:t>https://doi.org/10.4103/picr.picr_318_23</w:t>
        </w:r>
      </w:hyperlink>
    </w:p>
    <w:p w14:paraId="67CE7681" w14:textId="77777777" w:rsidR="000A5D99" w:rsidRPr="000E05BD" w:rsidRDefault="000A5D99" w:rsidP="000A5D99">
      <w:pPr>
        <w:rPr>
          <w:lang w:val="en-IN"/>
        </w:rPr>
      </w:pPr>
      <w:r w:rsidRPr="000E05BD">
        <w:rPr>
          <w:lang w:val="en-IN"/>
        </w:rPr>
        <w:lastRenderedPageBreak/>
        <w:t xml:space="preserve">Razzaq, M., Rasheed, S., Khan, S. and Ahmed, S. (2024) ‘The effect of service quality on patient loyalty with mediation of patient relationship management and moderation of hospital brand image’, </w:t>
      </w:r>
      <w:r w:rsidRPr="000E05BD">
        <w:rPr>
          <w:i/>
          <w:iCs/>
          <w:lang w:val="en-IN"/>
        </w:rPr>
        <w:t>International Journal of Research and Innovation in Social Science</w:t>
      </w:r>
      <w:r w:rsidRPr="000E05BD">
        <w:rPr>
          <w:lang w:val="en-IN"/>
        </w:rPr>
        <w:t xml:space="preserve">, 8(11), pp. 832–866. </w:t>
      </w:r>
      <w:hyperlink r:id="rId117" w:tgtFrame="_new" w:history="1">
        <w:r w:rsidRPr="000E05BD">
          <w:rPr>
            <w:rStyle w:val="Hyperlink"/>
            <w:lang w:val="en-IN"/>
          </w:rPr>
          <w:t>https://doi.org/10.47772/IJRISS.2024.8110068</w:t>
        </w:r>
      </w:hyperlink>
    </w:p>
    <w:p w14:paraId="76A52221" w14:textId="77777777" w:rsidR="000A5D99" w:rsidRPr="00C95B9A" w:rsidRDefault="000A5D99" w:rsidP="00C95B9A">
      <w:pPr>
        <w:rPr>
          <w:lang w:val="en-IN"/>
        </w:rPr>
      </w:pPr>
      <w:r w:rsidRPr="00C95B9A">
        <w:rPr>
          <w:lang w:val="en-IN"/>
        </w:rPr>
        <w:t xml:space="preserve">Reddy, S. (2024) ‘Generative AI in healthcare: An implementation science informed translational path on application, integration and governance’, </w:t>
      </w:r>
      <w:r w:rsidRPr="00C95B9A">
        <w:rPr>
          <w:i/>
          <w:iCs/>
          <w:lang w:val="en-IN"/>
        </w:rPr>
        <w:t>Implementation Science</w:t>
      </w:r>
      <w:r w:rsidRPr="00C95B9A">
        <w:rPr>
          <w:lang w:val="en-IN"/>
        </w:rPr>
        <w:t xml:space="preserve">, 19(1), p. 27. </w:t>
      </w:r>
      <w:hyperlink r:id="rId118" w:history="1">
        <w:r w:rsidRPr="00C95B9A">
          <w:rPr>
            <w:rStyle w:val="Hyperlink"/>
            <w:lang w:val="en-IN"/>
          </w:rPr>
          <w:t>https://doi.org/10.1186/s13012-024-01357-9</w:t>
        </w:r>
      </w:hyperlink>
    </w:p>
    <w:p w14:paraId="381B4213" w14:textId="77777777" w:rsidR="000A5D99" w:rsidRPr="00C95B9A" w:rsidRDefault="000A5D99" w:rsidP="00C95B9A">
      <w:pPr>
        <w:rPr>
          <w:lang w:val="en-IN"/>
        </w:rPr>
      </w:pPr>
      <w:r w:rsidRPr="00C95B9A">
        <w:rPr>
          <w:lang w:val="en-IN"/>
        </w:rPr>
        <w:t xml:space="preserve">Salih, L., Tarhini, A. and Acikgoz, F. (2025) ‘AI-enabled service continuance: Roles of trust and privacy risk’, </w:t>
      </w:r>
      <w:r w:rsidRPr="00C95B9A">
        <w:rPr>
          <w:i/>
          <w:iCs/>
          <w:lang w:val="en-IN"/>
        </w:rPr>
        <w:t>Journal of Computer Information Systems</w:t>
      </w:r>
      <w:r w:rsidRPr="00C95B9A">
        <w:rPr>
          <w:lang w:val="en-IN"/>
        </w:rPr>
        <w:t xml:space="preserve">, pp. 1–16. </w:t>
      </w:r>
      <w:hyperlink r:id="rId119" w:history="1">
        <w:r w:rsidRPr="00C95B9A">
          <w:rPr>
            <w:rStyle w:val="Hyperlink"/>
            <w:lang w:val="en-IN"/>
          </w:rPr>
          <w:t>https://doi.org/10.1080/08874417.2025.2452544</w:t>
        </w:r>
      </w:hyperlink>
    </w:p>
    <w:p w14:paraId="08C2B6EF" w14:textId="77777777" w:rsidR="000A5D99" w:rsidRPr="00C95B9A" w:rsidRDefault="000A5D99" w:rsidP="00C95B9A">
      <w:pPr>
        <w:rPr>
          <w:lang w:val="en-IN"/>
        </w:rPr>
      </w:pPr>
      <w:r w:rsidRPr="00C95B9A">
        <w:rPr>
          <w:lang w:val="en-IN"/>
        </w:rPr>
        <w:t xml:space="preserve">Sathvavwala, M., Patel, H. and Khambhati, R. (2026) ‘The role of masstige in redefining brand equity, consumer perception and market positioning for healthcare industry: A systematic literature review’, </w:t>
      </w:r>
      <w:r w:rsidRPr="00C95B9A">
        <w:rPr>
          <w:i/>
          <w:iCs/>
          <w:lang w:val="en-IN"/>
        </w:rPr>
        <w:t>International Journal of Economic Practices and Theories</w:t>
      </w:r>
      <w:r w:rsidRPr="00C95B9A">
        <w:rPr>
          <w:lang w:val="en-IN"/>
        </w:rPr>
        <w:t xml:space="preserve">, 2026, pp. 1648–1680. </w:t>
      </w:r>
      <w:hyperlink r:id="rId120" w:history="1">
        <w:r w:rsidRPr="00C95B9A">
          <w:rPr>
            <w:rStyle w:val="Hyperlink"/>
            <w:lang w:val="en-IN"/>
          </w:rPr>
          <w:t>https://www.ijapt.org/index.php/journal/article/download/321/264</w:t>
        </w:r>
      </w:hyperlink>
    </w:p>
    <w:p w14:paraId="30F0B51C" w14:textId="77777777" w:rsidR="000A5D99" w:rsidRPr="00C95B9A" w:rsidRDefault="000A5D99" w:rsidP="00C95B9A">
      <w:pPr>
        <w:rPr>
          <w:lang w:val="en-IN"/>
        </w:rPr>
      </w:pPr>
      <w:r w:rsidRPr="00C95B9A">
        <w:rPr>
          <w:lang w:val="en-IN"/>
        </w:rPr>
        <w:t xml:space="preserve">Sauerbrei, A., Kerasidou, A., Lucivero, F. and Hallowell, N. (2023) ‘The impact of artificial intelligence on the person-centred, doctor-patient relationship: Some problems and solutions’, </w:t>
      </w:r>
      <w:r w:rsidRPr="00C95B9A">
        <w:rPr>
          <w:i/>
          <w:iCs/>
          <w:lang w:val="en-IN"/>
        </w:rPr>
        <w:t>BMC Medical Informatics and Decision Making</w:t>
      </w:r>
      <w:r w:rsidRPr="00C95B9A">
        <w:rPr>
          <w:lang w:val="en-IN"/>
        </w:rPr>
        <w:t xml:space="preserve">, 23(1), p. 73. </w:t>
      </w:r>
      <w:hyperlink r:id="rId121" w:history="1">
        <w:r w:rsidRPr="00C95B9A">
          <w:rPr>
            <w:rStyle w:val="Hyperlink"/>
            <w:lang w:val="en-IN"/>
          </w:rPr>
          <w:t>https://doi.org/10.1186/s12911-023-02162-y</w:t>
        </w:r>
      </w:hyperlink>
    </w:p>
    <w:p w14:paraId="1D60B530" w14:textId="77777777" w:rsidR="000A5D99" w:rsidRPr="000E05BD" w:rsidRDefault="000A5D99" w:rsidP="000A5D99">
      <w:pPr>
        <w:rPr>
          <w:lang w:val="en-IN"/>
        </w:rPr>
      </w:pPr>
      <w:r w:rsidRPr="000E05BD">
        <w:rPr>
          <w:lang w:val="en-IN"/>
        </w:rPr>
        <w:t xml:space="preserve">Schober, P., Mascha, E.J. and Vetter, T.R. (2021) ‘Statistics from A (agreement) to Z (z score): A guide to interpreting common measures of association, agreement, diagnostic accuracy, effect size, heterogeneity, and reliability in medical research’, </w:t>
      </w:r>
      <w:r w:rsidRPr="000E05BD">
        <w:rPr>
          <w:i/>
          <w:iCs/>
          <w:lang w:val="en-IN"/>
        </w:rPr>
        <w:t>Anesthesia &amp; Analgesia</w:t>
      </w:r>
      <w:r w:rsidRPr="000E05BD">
        <w:rPr>
          <w:lang w:val="en-IN"/>
        </w:rPr>
        <w:t xml:space="preserve">, 133(6), pp. 1633–1641. </w:t>
      </w:r>
      <w:hyperlink r:id="rId122" w:tgtFrame="_new" w:history="1">
        <w:r w:rsidRPr="000E05BD">
          <w:rPr>
            <w:rStyle w:val="Hyperlink"/>
            <w:lang w:val="en-IN"/>
          </w:rPr>
          <w:t>https://doi.org/10.1213/ANE.0000000000005773</w:t>
        </w:r>
      </w:hyperlink>
    </w:p>
    <w:p w14:paraId="2213A6E4" w14:textId="77777777" w:rsidR="000A5D99" w:rsidRPr="00C95B9A" w:rsidRDefault="000A5D99" w:rsidP="00C95B9A">
      <w:pPr>
        <w:rPr>
          <w:lang w:val="en-IN"/>
        </w:rPr>
      </w:pPr>
      <w:r w:rsidRPr="00C95B9A">
        <w:rPr>
          <w:lang w:val="en-IN"/>
        </w:rPr>
        <w:t xml:space="preserve">Senyapar, H.N.D. (2024) ‘Healthcare branding and reputation management strategies for organizational success’, </w:t>
      </w:r>
      <w:r w:rsidRPr="00C95B9A">
        <w:rPr>
          <w:i/>
          <w:iCs/>
          <w:lang w:val="en-IN"/>
        </w:rPr>
        <w:t>Technium Social Sciences Journal</w:t>
      </w:r>
      <w:r w:rsidRPr="00C95B9A">
        <w:rPr>
          <w:lang w:val="en-IN"/>
        </w:rPr>
        <w:t xml:space="preserve">, 55, pp. 26–53. </w:t>
      </w:r>
      <w:hyperlink r:id="rId123" w:history="1">
        <w:r w:rsidRPr="00C95B9A">
          <w:rPr>
            <w:rStyle w:val="Hyperlink"/>
            <w:lang w:val="en-IN"/>
          </w:rPr>
          <w:t>https://www.researchgate.net/profile/H-Nurguel-Durmus-</w:t>
        </w:r>
        <w:r w:rsidRPr="00C95B9A">
          <w:rPr>
            <w:rStyle w:val="Hyperlink"/>
            <w:lang w:val="en-IN"/>
          </w:rPr>
          <w:lastRenderedPageBreak/>
          <w:t>Senyapar/publication/378858532_Healthcare_Branding_and_Reputation_Management_Strategies_for_Organizational_Success/links/65ee0f2e9ab2af0ef8aea469/Healthcare-Branding-and-Reputation-Management-Strategies-for-Organizational-Success.pdf</w:t>
        </w:r>
      </w:hyperlink>
    </w:p>
    <w:p w14:paraId="66F631FF" w14:textId="77777777" w:rsidR="000A5D99" w:rsidRPr="00C95B9A" w:rsidRDefault="000A5D99" w:rsidP="00C95B9A">
      <w:pPr>
        <w:rPr>
          <w:lang w:val="en-IN"/>
        </w:rPr>
      </w:pPr>
      <w:r w:rsidRPr="00C95B9A">
        <w:rPr>
          <w:lang w:val="en-IN"/>
        </w:rPr>
        <w:t xml:space="preserve">Shamoon, D.S. (2024) ‘Customer citizenship behavior and service recovery strategy: Mediated model of AI-enabled CRM technology’, </w:t>
      </w:r>
      <w:r w:rsidRPr="00C95B9A">
        <w:rPr>
          <w:i/>
          <w:iCs/>
          <w:lang w:val="en-IN"/>
        </w:rPr>
        <w:t>Educational Administration: Theory and Practice</w:t>
      </w:r>
      <w:r w:rsidRPr="00C95B9A">
        <w:rPr>
          <w:lang w:val="en-IN"/>
        </w:rPr>
        <w:t xml:space="preserve">, 30(4), pp. 11040–11047. </w:t>
      </w:r>
      <w:hyperlink r:id="rId124" w:history="1">
        <w:r w:rsidRPr="00C95B9A">
          <w:rPr>
            <w:rStyle w:val="Hyperlink"/>
            <w:lang w:val="en-IN"/>
          </w:rPr>
          <w:t>https://doi.org/10.53555/kuey</w:t>
        </w:r>
      </w:hyperlink>
      <w:r w:rsidRPr="00C95B9A">
        <w:rPr>
          <w:lang w:val="en-IN"/>
        </w:rPr>
        <w:t>. v30i4, 8850</w:t>
      </w:r>
    </w:p>
    <w:p w14:paraId="0DE8F42F" w14:textId="77777777" w:rsidR="000A5D99" w:rsidRPr="00257866" w:rsidRDefault="000A5D99" w:rsidP="00257866">
      <w:pPr>
        <w:rPr>
          <w:lang w:val="en-US"/>
        </w:rPr>
      </w:pPr>
      <w:r w:rsidRPr="00257866">
        <w:rPr>
          <w:lang w:val="en-US"/>
        </w:rPr>
        <w:t xml:space="preserve">Sharifnia, A.M., Kpormegbey, D.E., Thapa, D.K. and Cleary, M. (2026) ‘A primer of data cleaning in quantitative research: Handling missing values and outliers’, </w:t>
      </w:r>
      <w:r w:rsidRPr="00257866">
        <w:rPr>
          <w:i/>
          <w:iCs/>
          <w:lang w:val="en-US"/>
        </w:rPr>
        <w:t>Journal of Advanced Nursing</w:t>
      </w:r>
      <w:r w:rsidRPr="00257866">
        <w:rPr>
          <w:lang w:val="en-US"/>
        </w:rPr>
        <w:t xml:space="preserve">, 82(1), pp. 970–975. Available at: </w:t>
      </w:r>
      <w:hyperlink r:id="rId125" w:history="1">
        <w:r w:rsidRPr="00257866">
          <w:rPr>
            <w:rStyle w:val="Hyperlink"/>
            <w:lang w:val="en-US"/>
          </w:rPr>
          <w:t>https://doi.org/10.1111/jan.16908</w:t>
        </w:r>
      </w:hyperlink>
    </w:p>
    <w:p w14:paraId="3CEC5BCF" w14:textId="77777777" w:rsidR="000A5D99" w:rsidRPr="000E05BD" w:rsidRDefault="000A5D99" w:rsidP="000A5D99">
      <w:pPr>
        <w:rPr>
          <w:lang w:val="en-IN"/>
        </w:rPr>
      </w:pPr>
      <w:r w:rsidRPr="000E05BD">
        <w:rPr>
          <w:lang w:val="en-IN"/>
        </w:rPr>
        <w:t xml:space="preserve">Shieh, G. (2021) ‘Improved procedures and computer programs for equivalence assessment of correlation coefficients’, </w:t>
      </w:r>
      <w:r w:rsidRPr="000E05BD">
        <w:rPr>
          <w:i/>
          <w:iCs/>
          <w:lang w:val="en-IN"/>
        </w:rPr>
        <w:t>PLOS ONE</w:t>
      </w:r>
      <w:r w:rsidRPr="000E05BD">
        <w:rPr>
          <w:lang w:val="en-IN"/>
        </w:rPr>
        <w:t xml:space="preserve">, 16(5), e0252323. </w:t>
      </w:r>
      <w:hyperlink r:id="rId126" w:tgtFrame="_new" w:history="1">
        <w:r w:rsidRPr="000E05BD">
          <w:rPr>
            <w:rStyle w:val="Hyperlink"/>
            <w:lang w:val="en-IN"/>
          </w:rPr>
          <w:t>https://doi.org/10.1371/journal.pone.0252323</w:t>
        </w:r>
      </w:hyperlink>
    </w:p>
    <w:p w14:paraId="528AD888" w14:textId="77777777" w:rsidR="000A5D99" w:rsidRPr="00C95B9A" w:rsidRDefault="000A5D99" w:rsidP="00C95B9A">
      <w:pPr>
        <w:rPr>
          <w:lang w:val="en-IN"/>
        </w:rPr>
      </w:pPr>
      <w:r w:rsidRPr="00C95B9A">
        <w:rPr>
          <w:lang w:val="en-IN"/>
        </w:rPr>
        <w:t xml:space="preserve">Sitaraman, S.R. (2023) ‘AI-driven value formation in healthcare: Leveraging the Turkish National AI Strategy and AI Cognitive Empathy Scale to boost market performance and patient engagement’, </w:t>
      </w:r>
      <w:r w:rsidRPr="00C95B9A">
        <w:rPr>
          <w:i/>
          <w:iCs/>
          <w:lang w:val="en-IN"/>
        </w:rPr>
        <w:t>International Journal of Information Technology and Computer Engineering</w:t>
      </w:r>
      <w:r w:rsidRPr="00C95B9A">
        <w:rPr>
          <w:lang w:val="en-IN"/>
        </w:rPr>
        <w:t xml:space="preserve">, 11(3), pp. 103–116. </w:t>
      </w:r>
      <w:hyperlink r:id="rId127" w:history="1">
        <w:r w:rsidRPr="00C95B9A">
          <w:rPr>
            <w:rStyle w:val="Hyperlink"/>
            <w:lang w:val="en-IN"/>
          </w:rPr>
          <w:t>https://www.researchgate.net/profile/Surendar-Rama-Sitaraman/publication/396894977_AI-DRIVEN_VALUE_FORMATION_IN_HEALTHCARE_LEVERAGING_THE_TURKISH_NATIONAL_AI_STRATEGY_AND_AI_COGNITIVE_EMPATHY_SCALE_TO_BOOST_MARKET_PERFORMANCE_AND_PATIENT_ENGAGEMENT/links/68fc76a7f3032e2b4bebdae9/AI-DRIVEN-VALUE-FORMATION-IN-HEALTHCARE-LEVERAGING-THE-TURKISH-NATIONAL-AI-STRATEGY-AND-AI-COGNITIVE-EMPATHY-SCALE-TO-BOOST-MARKET-PERFORMANCE-AND-PATIENT-ENGAGEMENT.pdf</w:t>
        </w:r>
      </w:hyperlink>
    </w:p>
    <w:p w14:paraId="33A1CC6C" w14:textId="77777777" w:rsidR="000A5D99" w:rsidRPr="00257866" w:rsidRDefault="000A5D99" w:rsidP="00257866">
      <w:pPr>
        <w:rPr>
          <w:lang w:val="en-US"/>
        </w:rPr>
      </w:pPr>
      <w:r w:rsidRPr="00257866">
        <w:rPr>
          <w:lang w:val="en-US"/>
        </w:rPr>
        <w:lastRenderedPageBreak/>
        <w:t xml:space="preserve">Slater, P. and Hasson, F. (2025) ‘Quantitative research designs, hierarchy of evidence and validity’, </w:t>
      </w:r>
      <w:r w:rsidRPr="00257866">
        <w:rPr>
          <w:i/>
          <w:iCs/>
          <w:lang w:val="en-US"/>
        </w:rPr>
        <w:t>Journal of Psychiatric and Mental Health Nursing</w:t>
      </w:r>
      <w:r w:rsidRPr="00257866">
        <w:rPr>
          <w:lang w:val="en-US"/>
        </w:rPr>
        <w:t xml:space="preserve">, 32(3), pp. 656–660. Available at: </w:t>
      </w:r>
      <w:hyperlink r:id="rId128" w:history="1">
        <w:r w:rsidRPr="00257866">
          <w:rPr>
            <w:rStyle w:val="Hyperlink"/>
            <w:lang w:val="en-US"/>
          </w:rPr>
          <w:t>https://doi.org/10.1111/jpm.13135</w:t>
        </w:r>
      </w:hyperlink>
    </w:p>
    <w:p w14:paraId="612C1E1A" w14:textId="77777777" w:rsidR="000A5D99" w:rsidRPr="00257866" w:rsidRDefault="000A5D99" w:rsidP="00257866">
      <w:pPr>
        <w:rPr>
          <w:lang w:val="en-US"/>
        </w:rPr>
      </w:pPr>
      <w:r w:rsidRPr="00257866">
        <w:rPr>
          <w:lang w:val="en-US"/>
        </w:rPr>
        <w:t xml:space="preserve">Stratton, S.J. (2021) ‘Population research: Convenience sampling strategies’, </w:t>
      </w:r>
      <w:r w:rsidRPr="00257866">
        <w:rPr>
          <w:i/>
          <w:iCs/>
          <w:lang w:val="en-US"/>
        </w:rPr>
        <w:t>Prehospital and Disaster Medicine</w:t>
      </w:r>
      <w:r w:rsidRPr="00257866">
        <w:rPr>
          <w:lang w:val="en-US"/>
        </w:rPr>
        <w:t xml:space="preserve">, 36(4), pp. 373–374. Available at: </w:t>
      </w:r>
      <w:hyperlink r:id="rId129" w:history="1">
        <w:r w:rsidRPr="00257866">
          <w:rPr>
            <w:rStyle w:val="Hyperlink"/>
            <w:lang w:val="en-US"/>
          </w:rPr>
          <w:t>https://doi.org/10.1017/S1049023X21000649</w:t>
        </w:r>
      </w:hyperlink>
    </w:p>
    <w:p w14:paraId="748BC799" w14:textId="77777777" w:rsidR="000A5D99" w:rsidRPr="00C95B9A" w:rsidRDefault="000A5D99" w:rsidP="00C95B9A">
      <w:pPr>
        <w:rPr>
          <w:lang w:val="en-IN"/>
        </w:rPr>
      </w:pPr>
      <w:r w:rsidRPr="00C95B9A">
        <w:rPr>
          <w:lang w:val="en-IN"/>
        </w:rPr>
        <w:t xml:space="preserve">Suraña‐Sánchez, C. and Aramendia‐Muneta, M.E. (2024) ‘Impact of artificial intelligence on customer engagement and advertising engagement: A review and future research agenda’, </w:t>
      </w:r>
      <w:r w:rsidRPr="00C95B9A">
        <w:rPr>
          <w:i/>
          <w:iCs/>
          <w:lang w:val="en-IN"/>
        </w:rPr>
        <w:t>International Journal of Consumer Studies</w:t>
      </w:r>
      <w:r w:rsidRPr="00C95B9A">
        <w:rPr>
          <w:lang w:val="en-IN"/>
        </w:rPr>
        <w:t xml:space="preserve">, 48(2), p. e13027. </w:t>
      </w:r>
      <w:hyperlink r:id="rId130" w:history="1">
        <w:r w:rsidRPr="00C95B9A">
          <w:rPr>
            <w:rStyle w:val="Hyperlink"/>
            <w:lang w:val="en-IN"/>
          </w:rPr>
          <w:t>https://doi.org/10.1111/ijcs.13027</w:t>
        </w:r>
      </w:hyperlink>
    </w:p>
    <w:p w14:paraId="317537F6" w14:textId="77777777" w:rsidR="000A5D99" w:rsidRPr="00C95B9A" w:rsidRDefault="000A5D99" w:rsidP="00C95B9A">
      <w:pPr>
        <w:rPr>
          <w:lang w:val="en-IN"/>
        </w:rPr>
      </w:pPr>
      <w:r w:rsidRPr="00C95B9A">
        <w:rPr>
          <w:lang w:val="en-IN"/>
        </w:rPr>
        <w:t xml:space="preserve">Taylor, L.A., Nong, P.A.I.G.E. and Platt, J.O.D.Y.N. (2023) ‘Fifty years of trust research in health care: A synthetic review’, </w:t>
      </w:r>
      <w:r w:rsidRPr="00C95B9A">
        <w:rPr>
          <w:i/>
          <w:iCs/>
          <w:lang w:val="en-IN"/>
        </w:rPr>
        <w:t>The Milbank Quarterly</w:t>
      </w:r>
      <w:r w:rsidRPr="00C95B9A">
        <w:rPr>
          <w:lang w:val="en-IN"/>
        </w:rPr>
        <w:t xml:space="preserve">, 101(1), pp. 126–178. </w:t>
      </w:r>
      <w:hyperlink r:id="rId131" w:history="1">
        <w:r w:rsidRPr="00C95B9A">
          <w:rPr>
            <w:rStyle w:val="Hyperlink"/>
            <w:lang w:val="en-IN"/>
          </w:rPr>
          <w:t>https://onlinelibrary.wiley.com/doi/pdf/10.1111/1468-0009.12598</w:t>
        </w:r>
      </w:hyperlink>
    </w:p>
    <w:p w14:paraId="78F0AA1C" w14:textId="77777777" w:rsidR="000A5D99" w:rsidRPr="00257866" w:rsidRDefault="000A5D99" w:rsidP="00257866">
      <w:pPr>
        <w:rPr>
          <w:lang w:val="en-US"/>
        </w:rPr>
      </w:pPr>
      <w:r w:rsidRPr="00257866">
        <w:rPr>
          <w:lang w:val="en-US"/>
        </w:rPr>
        <w:t xml:space="preserve">Teh, W.L., Abdin, E., Asharani, P.V., Kumar, F.D.S., Roystonn, K., Wang, P., Shafie, S., Chang, S., Jeyagurunathan, A., Vaingankar, J.A., Sum, C.F., Lee, E.S., van Dam, R.M. and Subramaniam, M. (2023) ‘Measuring social desirability bias in a multi-ethnic cohort sample: Its relationship with self-reported physical activity, dietary habits, and factor structure’, </w:t>
      </w:r>
      <w:r w:rsidRPr="00257866">
        <w:rPr>
          <w:i/>
          <w:iCs/>
          <w:lang w:val="en-US"/>
        </w:rPr>
        <w:t>BMC Public Health</w:t>
      </w:r>
      <w:r w:rsidRPr="00257866">
        <w:rPr>
          <w:lang w:val="en-US"/>
        </w:rPr>
        <w:t xml:space="preserve">, 23, article 415. Available at: </w:t>
      </w:r>
      <w:hyperlink r:id="rId132" w:history="1">
        <w:r w:rsidRPr="00257866">
          <w:rPr>
            <w:rStyle w:val="Hyperlink"/>
            <w:lang w:val="en-US"/>
          </w:rPr>
          <w:t>https://doi.org/10.1186/s12889-023-15309-3</w:t>
        </w:r>
      </w:hyperlink>
    </w:p>
    <w:p w14:paraId="43BAFAE5" w14:textId="77777777" w:rsidR="000A5D99" w:rsidRPr="00C95B9A" w:rsidRDefault="000A5D99" w:rsidP="00C95B9A">
      <w:pPr>
        <w:rPr>
          <w:lang w:val="en-IN"/>
        </w:rPr>
      </w:pPr>
      <w:r w:rsidRPr="00C95B9A">
        <w:rPr>
          <w:lang w:val="en-IN"/>
        </w:rPr>
        <w:t xml:space="preserve">The King’s Fund (2025) ‘Public satisfaction with the NHS and social care in 2024’, 2 April. </w:t>
      </w:r>
      <w:hyperlink r:id="rId133" w:history="1">
        <w:r w:rsidRPr="00C95B9A">
          <w:rPr>
            <w:rStyle w:val="Hyperlink"/>
            <w:lang w:val="en-IN"/>
          </w:rPr>
          <w:t>https://www.kingsfund.org.uk/insight-and-analysis/reports/public-satisfaction-nhs-social-care-in-2024-bsa</w:t>
        </w:r>
      </w:hyperlink>
    </w:p>
    <w:p w14:paraId="7737ED71" w14:textId="77777777" w:rsidR="000A5D99" w:rsidRPr="00C95B9A" w:rsidRDefault="000A5D99" w:rsidP="00C95B9A">
      <w:pPr>
        <w:rPr>
          <w:lang w:val="en-IN"/>
        </w:rPr>
      </w:pPr>
      <w:r w:rsidRPr="00C95B9A">
        <w:rPr>
          <w:lang w:val="en-IN"/>
        </w:rPr>
        <w:t xml:space="preserve">Tsai, T.T.-H., Lin, A.J. and Li, E.Y. (2014) ‘The effect of philanthropic marketing on brand resonance and consumer satisfaction of CSR performance’, </w:t>
      </w:r>
      <w:r w:rsidRPr="00C95B9A">
        <w:rPr>
          <w:i/>
          <w:iCs/>
          <w:lang w:val="en-IN"/>
        </w:rPr>
        <w:t>Chinese Management Studies</w:t>
      </w:r>
      <w:r w:rsidRPr="00C95B9A">
        <w:rPr>
          <w:lang w:val="en-IN"/>
        </w:rPr>
        <w:t xml:space="preserve">, 8(3), pp. 527–547. </w:t>
      </w:r>
      <w:hyperlink r:id="rId134" w:history="1">
        <w:r w:rsidRPr="00C95B9A">
          <w:rPr>
            <w:rStyle w:val="Hyperlink"/>
            <w:lang w:val="en-IN"/>
          </w:rPr>
          <w:t>https://doi.org/10.1108/cms-04-2014-0074</w:t>
        </w:r>
      </w:hyperlink>
    </w:p>
    <w:p w14:paraId="379D087B" w14:textId="77777777" w:rsidR="000A5D99" w:rsidRPr="00257866" w:rsidRDefault="000A5D99" w:rsidP="00257866">
      <w:pPr>
        <w:rPr>
          <w:lang w:val="en-US"/>
        </w:rPr>
      </w:pPr>
      <w:r w:rsidRPr="00257866">
        <w:rPr>
          <w:lang w:val="en-US"/>
        </w:rPr>
        <w:lastRenderedPageBreak/>
        <w:t xml:space="preserve">UK Research and Innovation (2024) ‘Use of generative artificial intelligence in application preparation and assessment’. Available at: </w:t>
      </w:r>
      <w:hyperlink r:id="rId135" w:history="1">
        <w:r w:rsidRPr="00257866">
          <w:rPr>
            <w:rStyle w:val="Hyperlink"/>
            <w:lang w:val="en-US"/>
          </w:rPr>
          <w:t>https://www.ukri.org/publications/generative-artificial-intelligence-in-application-preparation-and-assessment-policy/use-of-generative-artificial-intelligence-in-application-preparation-and-assessment/</w:t>
        </w:r>
      </w:hyperlink>
      <w:r w:rsidRPr="00257866">
        <w:rPr>
          <w:lang w:val="en-US"/>
        </w:rPr>
        <w:t xml:space="preserve"> (Accessed: 31 July 2026).</w:t>
      </w:r>
    </w:p>
    <w:p w14:paraId="1E5B170D" w14:textId="77777777" w:rsidR="000A5D99" w:rsidRPr="00257866" w:rsidRDefault="000A5D99" w:rsidP="00257866">
      <w:pPr>
        <w:rPr>
          <w:lang w:val="en-US"/>
        </w:rPr>
      </w:pPr>
      <w:r w:rsidRPr="00257866">
        <w:rPr>
          <w:lang w:val="en-US"/>
        </w:rPr>
        <w:t xml:space="preserve">University of Wales Trinity Saint David (2022) </w:t>
      </w:r>
      <w:r w:rsidRPr="00257866">
        <w:rPr>
          <w:i/>
          <w:iCs/>
          <w:lang w:val="en-US"/>
        </w:rPr>
        <w:t>Research data management policy</w:t>
      </w:r>
      <w:r w:rsidRPr="00257866">
        <w:rPr>
          <w:lang w:val="en-US"/>
        </w:rPr>
        <w:t xml:space="preserve">. Available at: </w:t>
      </w:r>
      <w:hyperlink r:id="rId136" w:history="1">
        <w:r w:rsidRPr="00257866">
          <w:rPr>
            <w:rStyle w:val="Hyperlink"/>
            <w:lang w:val="en-US"/>
          </w:rPr>
          <w:t>https://www.uwtsd.ac.uk/media/1675/download?attachment=</w:t>
        </w:r>
      </w:hyperlink>
      <w:r w:rsidRPr="00257866">
        <w:rPr>
          <w:lang w:val="en-US"/>
        </w:rPr>
        <w:t xml:space="preserve"> (Accessed: 31 July 2026).</w:t>
      </w:r>
    </w:p>
    <w:p w14:paraId="27900253" w14:textId="77777777" w:rsidR="000A5D99" w:rsidRPr="00C95B9A" w:rsidRDefault="000A5D99" w:rsidP="00C95B9A">
      <w:pPr>
        <w:rPr>
          <w:lang w:val="en-IN"/>
        </w:rPr>
      </w:pPr>
      <w:r w:rsidRPr="00C95B9A">
        <w:rPr>
          <w:lang w:val="en-IN"/>
        </w:rPr>
        <w:t xml:space="preserve">Wang, H., Jin, J., Li, L., Liu, J. and Wang, D. (2025) ‘Driving online healthcare growth amid the digital divide: How trust in professional signals from doctor biographies shapes patient decisions’, </w:t>
      </w:r>
      <w:r w:rsidRPr="00C95B9A">
        <w:rPr>
          <w:i/>
          <w:iCs/>
          <w:lang w:val="en-IN"/>
        </w:rPr>
        <w:t>Healthcare</w:t>
      </w:r>
      <w:r w:rsidRPr="00C95B9A">
        <w:rPr>
          <w:lang w:val="en-IN"/>
        </w:rPr>
        <w:t xml:space="preserve">, 13(12), p. 1418. </w:t>
      </w:r>
      <w:hyperlink r:id="rId137" w:history="1">
        <w:r w:rsidRPr="00C95B9A">
          <w:rPr>
            <w:rStyle w:val="Hyperlink"/>
            <w:lang w:val="en-IN"/>
          </w:rPr>
          <w:t>https://doi.org/10.3390/healthcare13121418</w:t>
        </w:r>
      </w:hyperlink>
    </w:p>
    <w:p w14:paraId="5AB5F142" w14:textId="77777777" w:rsidR="000A5D99" w:rsidRPr="00C95B9A" w:rsidRDefault="000A5D99" w:rsidP="00C95B9A">
      <w:pPr>
        <w:rPr>
          <w:lang w:val="en-IN"/>
        </w:rPr>
      </w:pPr>
      <w:r w:rsidRPr="00C95B9A">
        <w:rPr>
          <w:lang w:val="en-IN"/>
        </w:rPr>
        <w:t xml:space="preserve">Weingott, S. and Parkinson, J. (2025) ‘The application of artificial intelligence in health communication development: A scoping review’, </w:t>
      </w:r>
      <w:r w:rsidRPr="00C95B9A">
        <w:rPr>
          <w:i/>
          <w:iCs/>
          <w:lang w:val="en-IN"/>
        </w:rPr>
        <w:t>Health Marketing Quarterly</w:t>
      </w:r>
      <w:r w:rsidRPr="00C95B9A">
        <w:rPr>
          <w:lang w:val="en-IN"/>
        </w:rPr>
        <w:t xml:space="preserve">, 42(1), pp. 67–109. </w:t>
      </w:r>
      <w:hyperlink r:id="rId138" w:history="1">
        <w:r w:rsidRPr="00C95B9A">
          <w:rPr>
            <w:rStyle w:val="Hyperlink"/>
            <w:lang w:val="en-IN"/>
          </w:rPr>
          <w:t>https://doi.org/10.1080/07359683.2024.2422206</w:t>
        </w:r>
      </w:hyperlink>
    </w:p>
    <w:p w14:paraId="10F55948" w14:textId="77777777" w:rsidR="000A5D99" w:rsidRPr="000A5D99" w:rsidRDefault="000A5D99" w:rsidP="000A5D99">
      <w:pPr>
        <w:rPr>
          <w:lang w:val="en-IN"/>
        </w:rPr>
      </w:pPr>
      <w:r w:rsidRPr="000E05BD">
        <w:rPr>
          <w:lang w:val="en-IN"/>
        </w:rPr>
        <w:t xml:space="preserve">Witkowski, K., Dougherty, R.B. and Neely, S.R. (2024) ‘Public perceptions of artificial intelligence in healthcare: Ethical concerns and opportunities for patient-centered care’, </w:t>
      </w:r>
      <w:r w:rsidRPr="000E05BD">
        <w:rPr>
          <w:i/>
          <w:iCs/>
          <w:lang w:val="en-IN"/>
        </w:rPr>
        <w:t>BMC Medical Ethics</w:t>
      </w:r>
      <w:r w:rsidRPr="000E05BD">
        <w:rPr>
          <w:lang w:val="en-IN"/>
        </w:rPr>
        <w:t xml:space="preserve">, 25, article 74. </w:t>
      </w:r>
      <w:hyperlink r:id="rId139" w:tgtFrame="_new" w:history="1">
        <w:r w:rsidRPr="000E05BD">
          <w:rPr>
            <w:rStyle w:val="Hyperlink"/>
            <w:lang w:val="en-IN"/>
          </w:rPr>
          <w:t>https://doi.org/10.1186/s12910-024-01066-4</w:t>
        </w:r>
      </w:hyperlink>
    </w:p>
    <w:p w14:paraId="2F6ECCA4" w14:textId="77777777" w:rsidR="000A5D99" w:rsidRPr="00C95B9A" w:rsidRDefault="000A5D99" w:rsidP="00C95B9A">
      <w:pPr>
        <w:rPr>
          <w:lang w:val="en-IN"/>
        </w:rPr>
      </w:pPr>
      <w:r w:rsidRPr="00C95B9A">
        <w:rPr>
          <w:lang w:val="en-IN"/>
        </w:rPr>
        <w:t xml:space="preserve">Wong, L.W., Tan, G.W.H., Ooi, K.B. and Dwivedi, Y. (2024) ‘The role of institutional and self in the formation of trust in artificial intelligence technologies’, </w:t>
      </w:r>
      <w:r w:rsidRPr="00C95B9A">
        <w:rPr>
          <w:i/>
          <w:iCs/>
          <w:lang w:val="en-IN"/>
        </w:rPr>
        <w:t>Internet Research</w:t>
      </w:r>
      <w:r w:rsidRPr="00C95B9A">
        <w:rPr>
          <w:lang w:val="en-IN"/>
        </w:rPr>
        <w:t xml:space="preserve">, 34(2), pp. 343–370. </w:t>
      </w:r>
      <w:hyperlink r:id="rId140" w:history="1">
        <w:r w:rsidRPr="00C95B9A">
          <w:rPr>
            <w:rStyle w:val="Hyperlink"/>
            <w:lang w:val="en-IN"/>
          </w:rPr>
          <w:t>https://cronfa.swan.ac.uk/Record/cronfa62227/Download/62227__26154__52a927a78ac84be1abb82f6c4c12ebd2.pdf</w:t>
        </w:r>
      </w:hyperlink>
    </w:p>
    <w:p w14:paraId="48AD6CDF" w14:textId="77777777" w:rsidR="000A5D99" w:rsidRPr="00257866" w:rsidRDefault="000A5D99" w:rsidP="00257866">
      <w:pPr>
        <w:rPr>
          <w:lang w:val="en-US"/>
        </w:rPr>
      </w:pPr>
      <w:r w:rsidRPr="00257866">
        <w:rPr>
          <w:lang w:val="en-US"/>
        </w:rPr>
        <w:t xml:space="preserve">World Health Organization (2021) </w:t>
      </w:r>
      <w:r w:rsidRPr="00257866">
        <w:rPr>
          <w:i/>
          <w:iCs/>
          <w:lang w:val="en-US"/>
        </w:rPr>
        <w:t>Ethics and governance of artificial intelligence for health: WHO guidance</w:t>
      </w:r>
      <w:r w:rsidRPr="00257866">
        <w:rPr>
          <w:lang w:val="en-US"/>
        </w:rPr>
        <w:t xml:space="preserve">. Geneva: World Health Organization. Available at: </w:t>
      </w:r>
      <w:hyperlink r:id="rId141" w:history="1">
        <w:r w:rsidRPr="00257866">
          <w:rPr>
            <w:rStyle w:val="Hyperlink"/>
            <w:lang w:val="en-US"/>
          </w:rPr>
          <w:t>https://www.who.int/publications/i/item/9789240029200</w:t>
        </w:r>
      </w:hyperlink>
      <w:r w:rsidRPr="00257866">
        <w:rPr>
          <w:lang w:val="en-US"/>
        </w:rPr>
        <w:t xml:space="preserve"> (Accessed: 31 July 2026).</w:t>
      </w:r>
    </w:p>
    <w:p w14:paraId="403670D1" w14:textId="77777777" w:rsidR="000A5D99" w:rsidRPr="00257866" w:rsidRDefault="000A5D99" w:rsidP="00257866">
      <w:pPr>
        <w:rPr>
          <w:lang w:val="en-US"/>
        </w:rPr>
      </w:pPr>
      <w:r w:rsidRPr="00257866">
        <w:rPr>
          <w:lang w:val="en-US"/>
        </w:rPr>
        <w:lastRenderedPageBreak/>
        <w:t xml:space="preserve">Wu, M.-J., Zhao, K. and Fils-Aime, F. (2022) ‘Response rates of online surveys in published research: A meta-analysis’, </w:t>
      </w:r>
      <w:r w:rsidRPr="00257866">
        <w:rPr>
          <w:i/>
          <w:iCs/>
          <w:lang w:val="en-US"/>
        </w:rPr>
        <w:t>Computers in Human Behavior Reports</w:t>
      </w:r>
      <w:r w:rsidRPr="00257866">
        <w:rPr>
          <w:lang w:val="en-US"/>
        </w:rPr>
        <w:t xml:space="preserve">, 7, article 100206. Available at: </w:t>
      </w:r>
      <w:hyperlink r:id="rId142" w:history="1">
        <w:r w:rsidRPr="00257866">
          <w:rPr>
            <w:rStyle w:val="Hyperlink"/>
            <w:lang w:val="en-US"/>
          </w:rPr>
          <w:t>https://doi.org/10.1016/j.chbr.2022.100206</w:t>
        </w:r>
      </w:hyperlink>
    </w:p>
    <w:p w14:paraId="0392D88C" w14:textId="77777777" w:rsidR="000A5D99" w:rsidRPr="00C95B9A" w:rsidRDefault="000A5D99" w:rsidP="00C95B9A">
      <w:pPr>
        <w:rPr>
          <w:lang w:val="en-IN"/>
        </w:rPr>
      </w:pPr>
      <w:r w:rsidRPr="00C95B9A">
        <w:rPr>
          <w:lang w:val="en-IN"/>
        </w:rPr>
        <w:t xml:space="preserve">Yang, O.S. and Kim, S.H. (2026) ‘Digital transformation and sustainable customer value in healthcare: Evidence from an AI-based diabetes prognostic service’, </w:t>
      </w:r>
      <w:r w:rsidRPr="00C95B9A">
        <w:rPr>
          <w:i/>
          <w:iCs/>
          <w:lang w:val="en-IN"/>
        </w:rPr>
        <w:t>Sustainability</w:t>
      </w:r>
      <w:r w:rsidRPr="00C95B9A">
        <w:rPr>
          <w:lang w:val="en-IN"/>
        </w:rPr>
        <w:t xml:space="preserve">, 18(2), p. 928. </w:t>
      </w:r>
      <w:hyperlink r:id="rId143" w:history="1">
        <w:r w:rsidRPr="00C95B9A">
          <w:rPr>
            <w:rStyle w:val="Hyperlink"/>
            <w:lang w:val="en-IN"/>
          </w:rPr>
          <w:t>https://doi.org/10.3390/su18020928</w:t>
        </w:r>
      </w:hyperlink>
    </w:p>
    <w:p w14:paraId="338A2570" w14:textId="77777777" w:rsidR="000A5D99" w:rsidRPr="00257866" w:rsidRDefault="000A5D99" w:rsidP="00257866">
      <w:pPr>
        <w:rPr>
          <w:lang w:val="en-US"/>
        </w:rPr>
      </w:pPr>
      <w:r w:rsidRPr="00257866">
        <w:rPr>
          <w:lang w:val="en-US"/>
        </w:rPr>
        <w:t xml:space="preserve">Yeboah, J.G. and Amponsah, K.T. (2025) ‘The mediating role of service innovation in the relationship between customer orientation and patient satisfaction’, </w:t>
      </w:r>
      <w:r w:rsidRPr="00257866">
        <w:rPr>
          <w:i/>
          <w:iCs/>
          <w:lang w:val="en-US"/>
        </w:rPr>
        <w:t>BMC Health Services Research</w:t>
      </w:r>
      <w:r w:rsidRPr="00257866">
        <w:rPr>
          <w:lang w:val="en-US"/>
        </w:rPr>
        <w:t xml:space="preserve">, 25, article 803. Available at: </w:t>
      </w:r>
      <w:hyperlink r:id="rId144" w:history="1">
        <w:r w:rsidRPr="00257866">
          <w:rPr>
            <w:rStyle w:val="Hyperlink"/>
            <w:lang w:val="en-US"/>
          </w:rPr>
          <w:t>https://doi.org/10.1186/s12913-025-12794-7</w:t>
        </w:r>
      </w:hyperlink>
    </w:p>
    <w:p w14:paraId="55CB0477" w14:textId="77777777" w:rsidR="000A5D99" w:rsidRPr="00C95B9A" w:rsidRDefault="000A5D99" w:rsidP="00C95B9A">
      <w:pPr>
        <w:rPr>
          <w:lang w:val="en-IN"/>
        </w:rPr>
      </w:pPr>
      <w:r w:rsidRPr="00C95B9A">
        <w:rPr>
          <w:lang w:val="en-IN"/>
        </w:rPr>
        <w:t xml:space="preserve">Zhan, X., Abdi, N., Seymour, W. and Such, J. (2024) ‘Healthcare voice AI assistants: Factors influencing trust and intention to use’, </w:t>
      </w:r>
      <w:r w:rsidRPr="00C95B9A">
        <w:rPr>
          <w:i/>
          <w:iCs/>
          <w:lang w:val="en-IN"/>
        </w:rPr>
        <w:t>Proceedings of the ACM on Human-Computer Interaction</w:t>
      </w:r>
      <w:r w:rsidRPr="00C95B9A">
        <w:rPr>
          <w:lang w:val="en-IN"/>
        </w:rPr>
        <w:t xml:space="preserve">, 8(CSCW1), pp. 1–37. </w:t>
      </w:r>
      <w:hyperlink r:id="rId145" w:history="1">
        <w:r w:rsidRPr="00C95B9A">
          <w:rPr>
            <w:rStyle w:val="Hyperlink"/>
            <w:lang w:val="en-IN"/>
          </w:rPr>
          <w:t>https://doi.org/10.1145/3637339</w:t>
        </w:r>
      </w:hyperlink>
    </w:p>
    <w:p w14:paraId="68772DB5" w14:textId="77777777" w:rsidR="000A5D99" w:rsidRDefault="000A5D99">
      <w:r w:rsidRPr="00C95B9A">
        <w:rPr>
          <w:lang w:val="en-IN"/>
        </w:rPr>
        <w:t xml:space="preserve">Zhang, L., Hussain, W.M.H.W. and Md Ali, S.H. (2025) ‘Trust transfer in digital healthcare: The role of self-service systems in reducing patient treatment barriers’, </w:t>
      </w:r>
      <w:r w:rsidRPr="00C95B9A">
        <w:rPr>
          <w:i/>
          <w:iCs/>
          <w:lang w:val="en-IN"/>
        </w:rPr>
        <w:t>Digital Health</w:t>
      </w:r>
      <w:r w:rsidRPr="00C95B9A">
        <w:rPr>
          <w:lang w:val="en-IN"/>
        </w:rPr>
        <w:t xml:space="preserve">, 11, p. 20552076251396560. </w:t>
      </w:r>
      <w:hyperlink r:id="rId146" w:history="1">
        <w:r w:rsidRPr="00C95B9A">
          <w:rPr>
            <w:rStyle w:val="Hyperlink"/>
            <w:lang w:val="en-IN"/>
          </w:rPr>
          <w:t>https://doi.org/10.1177/20552076251396560</w:t>
        </w:r>
      </w:hyperlink>
    </w:p>
    <w:p w14:paraId="3F2168D9" w14:textId="77777777" w:rsidR="000A5D99" w:rsidRDefault="000A5D99" w:rsidP="00257866">
      <w:r w:rsidRPr="00257866">
        <w:rPr>
          <w:lang w:val="en-US"/>
        </w:rPr>
        <w:t xml:space="preserve">Zimba, O. and Gasparyan, A.Y. (2023) ‘Designing, conducting, and reporting survey studies: A primer for researchers’, </w:t>
      </w:r>
      <w:r w:rsidRPr="00257866">
        <w:rPr>
          <w:i/>
          <w:iCs/>
          <w:lang w:val="en-US"/>
        </w:rPr>
        <w:t>Journal of Korean Medical Science</w:t>
      </w:r>
      <w:r w:rsidRPr="00257866">
        <w:rPr>
          <w:lang w:val="en-US"/>
        </w:rPr>
        <w:t xml:space="preserve">, 38(48), article e403. Available at: </w:t>
      </w:r>
      <w:hyperlink r:id="rId147" w:history="1">
        <w:r w:rsidRPr="00257866">
          <w:rPr>
            <w:rStyle w:val="Hyperlink"/>
            <w:lang w:val="en-US"/>
          </w:rPr>
          <w:t>https://doi.org/10.3346/jkms.2023.38.e403</w:t>
        </w:r>
      </w:hyperlink>
    </w:p>
    <w:p w14:paraId="7FC01C7A" w14:textId="77777777" w:rsidR="009312E1" w:rsidRDefault="009312E1" w:rsidP="009312E1">
      <w:pPr>
        <w:pStyle w:val="Heading1"/>
        <w:rPr>
          <w:lang w:val="en-US"/>
        </w:rPr>
      </w:pPr>
      <w:bookmarkStart w:id="113" w:name="_Toc241072287"/>
      <w:r>
        <w:rPr>
          <w:lang w:val="en-US"/>
        </w:rPr>
        <w:t>Appendix 1: Survey Questionnaire</w:t>
      </w:r>
      <w:bookmarkEnd w:id="113"/>
    </w:p>
    <w:p w14:paraId="081177C0" w14:textId="77777777" w:rsidR="009312E1" w:rsidRDefault="009312E1" w:rsidP="009312E1">
      <w:pPr>
        <w:rPr>
          <w:b/>
          <w:bCs/>
          <w:lang w:val="en-US"/>
        </w:rPr>
      </w:pPr>
      <w:r w:rsidRPr="009312E1">
        <w:rPr>
          <w:b/>
          <w:bCs/>
          <w:lang w:val="en-US"/>
        </w:rPr>
        <w:t>Demographic Questions</w:t>
      </w:r>
    </w:p>
    <w:p w14:paraId="212BA4F1" w14:textId="77777777" w:rsidR="009312E1" w:rsidRDefault="00E2643F" w:rsidP="009312E1">
      <w:pPr>
        <w:rPr>
          <w:b/>
          <w:bCs/>
          <w:lang w:val="en-US"/>
        </w:rPr>
      </w:pPr>
      <w:r>
        <w:rPr>
          <w:b/>
          <w:bCs/>
          <w:lang w:val="en-US"/>
        </w:rPr>
        <w:t xml:space="preserve">1. </w:t>
      </w:r>
      <w:r w:rsidRPr="00E2643F">
        <w:rPr>
          <w:b/>
          <w:bCs/>
          <w:lang w:val="en-US"/>
        </w:rPr>
        <w:t>What is your age group?</w:t>
      </w:r>
    </w:p>
    <w:p w14:paraId="22638120" w14:textId="77777777" w:rsidR="00E2643F" w:rsidRPr="00E2643F" w:rsidRDefault="00E2643F" w:rsidP="00E2643F">
      <w:pPr>
        <w:rPr>
          <w:lang w:val="en-US"/>
        </w:rPr>
      </w:pPr>
      <w:r w:rsidRPr="00E2643F">
        <w:rPr>
          <w:lang w:val="en-US"/>
        </w:rPr>
        <w:t>18–24 years</w:t>
      </w:r>
    </w:p>
    <w:p w14:paraId="5E5D7EB7" w14:textId="77777777" w:rsidR="00E2643F" w:rsidRPr="00E2643F" w:rsidRDefault="00E2643F" w:rsidP="00E2643F">
      <w:pPr>
        <w:rPr>
          <w:lang w:val="en-US"/>
        </w:rPr>
      </w:pPr>
      <w:r w:rsidRPr="00E2643F">
        <w:rPr>
          <w:lang w:val="en-US"/>
        </w:rPr>
        <w:t>25–34 years</w:t>
      </w:r>
    </w:p>
    <w:p w14:paraId="43D3275E" w14:textId="77777777" w:rsidR="00E2643F" w:rsidRPr="00E2643F" w:rsidRDefault="00E2643F" w:rsidP="00E2643F">
      <w:pPr>
        <w:rPr>
          <w:lang w:val="en-US"/>
        </w:rPr>
      </w:pPr>
      <w:r w:rsidRPr="00E2643F">
        <w:rPr>
          <w:lang w:val="en-US"/>
        </w:rPr>
        <w:t>35–44 years</w:t>
      </w:r>
    </w:p>
    <w:p w14:paraId="169A28C7" w14:textId="77777777" w:rsidR="00E2643F" w:rsidRPr="00E2643F" w:rsidRDefault="00E2643F" w:rsidP="00E2643F">
      <w:pPr>
        <w:rPr>
          <w:lang w:val="en-US"/>
        </w:rPr>
      </w:pPr>
      <w:r w:rsidRPr="00E2643F">
        <w:rPr>
          <w:lang w:val="en-US"/>
        </w:rPr>
        <w:t>45–54 years</w:t>
      </w:r>
    </w:p>
    <w:p w14:paraId="331B15CA" w14:textId="77777777" w:rsidR="00E2643F" w:rsidRDefault="00E2643F" w:rsidP="00E2643F">
      <w:pPr>
        <w:rPr>
          <w:lang w:val="en-US"/>
        </w:rPr>
      </w:pPr>
      <w:r w:rsidRPr="00E2643F">
        <w:rPr>
          <w:lang w:val="en-US"/>
        </w:rPr>
        <w:lastRenderedPageBreak/>
        <w:t>55 years and above</w:t>
      </w:r>
    </w:p>
    <w:p w14:paraId="311FA267" w14:textId="77777777" w:rsidR="00E2643F" w:rsidRPr="00443037" w:rsidRDefault="00E2643F" w:rsidP="00E2643F">
      <w:pPr>
        <w:rPr>
          <w:b/>
          <w:bCs/>
          <w:lang w:val="en-US"/>
        </w:rPr>
      </w:pPr>
      <w:r w:rsidRPr="00443037">
        <w:rPr>
          <w:b/>
          <w:bCs/>
          <w:lang w:val="en-US"/>
        </w:rPr>
        <w:t>2. What is your gender?</w:t>
      </w:r>
    </w:p>
    <w:p w14:paraId="25A60FDA" w14:textId="77777777" w:rsidR="00E2643F" w:rsidRDefault="00E2643F" w:rsidP="00E2643F">
      <w:pPr>
        <w:rPr>
          <w:lang w:val="en-US"/>
        </w:rPr>
      </w:pPr>
      <w:r>
        <w:rPr>
          <w:lang w:val="en-US"/>
        </w:rPr>
        <w:t>Male</w:t>
      </w:r>
    </w:p>
    <w:p w14:paraId="6EBAEE24" w14:textId="77777777" w:rsidR="00E2643F" w:rsidRDefault="00E2643F" w:rsidP="00E2643F">
      <w:pPr>
        <w:rPr>
          <w:lang w:val="en-US"/>
        </w:rPr>
      </w:pPr>
      <w:r>
        <w:rPr>
          <w:lang w:val="en-US"/>
        </w:rPr>
        <w:t>Female</w:t>
      </w:r>
    </w:p>
    <w:p w14:paraId="144ED404" w14:textId="77777777" w:rsidR="00E2643F" w:rsidRPr="00E2643F" w:rsidRDefault="00E2643F" w:rsidP="00E2643F">
      <w:pPr>
        <w:rPr>
          <w:b/>
          <w:bCs/>
          <w:lang w:val="en-US"/>
        </w:rPr>
      </w:pPr>
      <w:r w:rsidRPr="00E2643F">
        <w:rPr>
          <w:b/>
          <w:bCs/>
          <w:lang w:val="en-US"/>
        </w:rPr>
        <w:t>3. What is your highest completed level of education?</w:t>
      </w:r>
    </w:p>
    <w:p w14:paraId="2F285786" w14:textId="77777777" w:rsidR="00E2643F" w:rsidRPr="00E2643F" w:rsidRDefault="00E2643F" w:rsidP="00E2643F">
      <w:pPr>
        <w:rPr>
          <w:lang w:val="en-US"/>
        </w:rPr>
      </w:pPr>
      <w:r w:rsidRPr="00E2643F">
        <w:rPr>
          <w:lang w:val="en-US"/>
        </w:rPr>
        <w:t>Secondary education or below</w:t>
      </w:r>
    </w:p>
    <w:p w14:paraId="39B280C1" w14:textId="77777777" w:rsidR="00E2643F" w:rsidRPr="00E2643F" w:rsidRDefault="00E2643F" w:rsidP="00E2643F">
      <w:pPr>
        <w:rPr>
          <w:lang w:val="en-US"/>
        </w:rPr>
      </w:pPr>
      <w:r>
        <w:rPr>
          <w:lang w:val="en-US"/>
        </w:rPr>
        <w:t>C</w:t>
      </w:r>
      <w:r w:rsidRPr="00E2643F">
        <w:rPr>
          <w:lang w:val="en-US"/>
        </w:rPr>
        <w:t xml:space="preserve">ollege </w:t>
      </w:r>
      <w:r>
        <w:rPr>
          <w:lang w:val="en-US"/>
        </w:rPr>
        <w:t>level</w:t>
      </w:r>
    </w:p>
    <w:p w14:paraId="1002341F" w14:textId="77777777" w:rsidR="00E2643F" w:rsidRPr="00E2643F" w:rsidRDefault="00E2643F" w:rsidP="00E2643F">
      <w:pPr>
        <w:rPr>
          <w:lang w:val="en-US"/>
        </w:rPr>
      </w:pPr>
      <w:r w:rsidRPr="00E2643F">
        <w:rPr>
          <w:lang w:val="en-US"/>
        </w:rPr>
        <w:t>Diploma or professional certificate</w:t>
      </w:r>
    </w:p>
    <w:p w14:paraId="3F965218" w14:textId="77777777" w:rsidR="00E2643F" w:rsidRPr="00E2643F" w:rsidRDefault="00E2643F" w:rsidP="00E2643F">
      <w:pPr>
        <w:rPr>
          <w:lang w:val="en-US"/>
        </w:rPr>
      </w:pPr>
      <w:r w:rsidRPr="00E2643F">
        <w:rPr>
          <w:lang w:val="en-US"/>
        </w:rPr>
        <w:t>Bachelor’s degree</w:t>
      </w:r>
    </w:p>
    <w:p w14:paraId="04D82B7A" w14:textId="77777777" w:rsidR="00E2643F" w:rsidRPr="00E2643F" w:rsidRDefault="00E2643F" w:rsidP="00E2643F">
      <w:pPr>
        <w:rPr>
          <w:lang w:val="en-US"/>
        </w:rPr>
      </w:pPr>
      <w:r w:rsidRPr="00E2643F">
        <w:rPr>
          <w:lang w:val="en-US"/>
        </w:rPr>
        <w:t>Master’s degree</w:t>
      </w:r>
    </w:p>
    <w:p w14:paraId="7408A91B" w14:textId="77777777" w:rsidR="00E2643F" w:rsidRDefault="00E2643F" w:rsidP="00E2643F">
      <w:pPr>
        <w:rPr>
          <w:lang w:val="en-US"/>
        </w:rPr>
      </w:pPr>
      <w:r w:rsidRPr="00E2643F">
        <w:rPr>
          <w:lang w:val="en-US"/>
        </w:rPr>
        <w:t>Doctoral degree</w:t>
      </w:r>
    </w:p>
    <w:p w14:paraId="0B4C5D15" w14:textId="77777777" w:rsidR="00E2643F" w:rsidRPr="00E2643F" w:rsidRDefault="00E2643F" w:rsidP="00E2643F">
      <w:pPr>
        <w:rPr>
          <w:b/>
          <w:bCs/>
          <w:lang w:val="en-US"/>
        </w:rPr>
      </w:pPr>
      <w:r w:rsidRPr="00E2643F">
        <w:rPr>
          <w:b/>
          <w:bCs/>
          <w:lang w:val="en-US"/>
        </w:rPr>
        <w:t>4. What is your current employment status?</w:t>
      </w:r>
    </w:p>
    <w:p w14:paraId="0B9BB43E" w14:textId="77777777" w:rsidR="00E2643F" w:rsidRDefault="00E2643F" w:rsidP="00E2643F">
      <w:pPr>
        <w:rPr>
          <w:lang w:val="en-US"/>
        </w:rPr>
      </w:pPr>
      <w:r w:rsidRPr="00E2643F">
        <w:rPr>
          <w:lang w:val="en-US"/>
        </w:rPr>
        <w:t>Student</w:t>
      </w:r>
    </w:p>
    <w:p w14:paraId="6F5E582E" w14:textId="77777777" w:rsidR="00E2643F" w:rsidRDefault="00E2643F" w:rsidP="00E2643F">
      <w:pPr>
        <w:rPr>
          <w:lang w:val="en-US"/>
        </w:rPr>
      </w:pPr>
      <w:r w:rsidRPr="00E2643F">
        <w:rPr>
          <w:lang w:val="en-US"/>
        </w:rPr>
        <w:t>Unemployed or seeking employment</w:t>
      </w:r>
    </w:p>
    <w:p w14:paraId="1169DC9E" w14:textId="77777777" w:rsidR="00E2643F" w:rsidRPr="00E2643F" w:rsidRDefault="00E2643F" w:rsidP="00E2643F">
      <w:pPr>
        <w:rPr>
          <w:lang w:val="en-US"/>
        </w:rPr>
      </w:pPr>
      <w:r w:rsidRPr="00E2643F">
        <w:rPr>
          <w:lang w:val="en-US"/>
        </w:rPr>
        <w:t>Employed full-time</w:t>
      </w:r>
    </w:p>
    <w:p w14:paraId="25414F46" w14:textId="77777777" w:rsidR="00E2643F" w:rsidRPr="00E2643F" w:rsidRDefault="00E2643F" w:rsidP="00E2643F">
      <w:pPr>
        <w:rPr>
          <w:lang w:val="en-US"/>
        </w:rPr>
      </w:pPr>
      <w:r w:rsidRPr="00E2643F">
        <w:rPr>
          <w:lang w:val="en-US"/>
        </w:rPr>
        <w:t>Employed part-time</w:t>
      </w:r>
    </w:p>
    <w:p w14:paraId="558AFAE8" w14:textId="77777777" w:rsidR="00E2643F" w:rsidRDefault="00E2643F" w:rsidP="00E2643F">
      <w:pPr>
        <w:rPr>
          <w:lang w:val="en-US"/>
        </w:rPr>
      </w:pPr>
      <w:r w:rsidRPr="00E2643F">
        <w:rPr>
          <w:lang w:val="en-US"/>
        </w:rPr>
        <w:t>Self-employed</w:t>
      </w:r>
    </w:p>
    <w:p w14:paraId="4FC88540" w14:textId="77777777" w:rsidR="00E2643F" w:rsidRDefault="00E2643F" w:rsidP="00E2643F">
      <w:pPr>
        <w:rPr>
          <w:lang w:val="en-US"/>
        </w:rPr>
      </w:pPr>
      <w:r>
        <w:rPr>
          <w:lang w:val="en-US"/>
        </w:rPr>
        <w:t>Retired</w:t>
      </w:r>
    </w:p>
    <w:p w14:paraId="5AACC276" w14:textId="77777777" w:rsidR="00E2643F" w:rsidRPr="00E2643F" w:rsidRDefault="00E2643F" w:rsidP="00E2643F">
      <w:pPr>
        <w:rPr>
          <w:b/>
          <w:bCs/>
          <w:lang w:val="en-US"/>
        </w:rPr>
      </w:pPr>
      <w:r w:rsidRPr="00E2643F">
        <w:rPr>
          <w:b/>
          <w:bCs/>
          <w:lang w:val="en-US"/>
        </w:rPr>
        <w:t>5. Which AI-enabled healthcare services have you used?</w:t>
      </w:r>
    </w:p>
    <w:p w14:paraId="30AD1D62" w14:textId="77777777" w:rsidR="00E2643F" w:rsidRPr="00E2643F" w:rsidRDefault="00E2643F" w:rsidP="00E2643F">
      <w:pPr>
        <w:rPr>
          <w:lang w:val="en-US"/>
        </w:rPr>
      </w:pPr>
      <w:r w:rsidRPr="00E2643F">
        <w:rPr>
          <w:lang w:val="en-US"/>
        </w:rPr>
        <w:t>Healthcare chatbot</w:t>
      </w:r>
    </w:p>
    <w:p w14:paraId="7C4CFD62" w14:textId="77777777" w:rsidR="00E2643F" w:rsidRPr="00E2643F" w:rsidRDefault="00E2643F" w:rsidP="00E2643F">
      <w:pPr>
        <w:rPr>
          <w:lang w:val="en-US"/>
        </w:rPr>
      </w:pPr>
      <w:r w:rsidRPr="00E2643F">
        <w:rPr>
          <w:lang w:val="en-US"/>
        </w:rPr>
        <w:t>AI-enabled symptom checker or virtual triage</w:t>
      </w:r>
    </w:p>
    <w:p w14:paraId="30A18F11" w14:textId="77777777" w:rsidR="00E2643F" w:rsidRPr="00E2643F" w:rsidRDefault="00E2643F" w:rsidP="00E2643F">
      <w:pPr>
        <w:rPr>
          <w:lang w:val="en-US"/>
        </w:rPr>
      </w:pPr>
      <w:r w:rsidRPr="00E2643F">
        <w:rPr>
          <w:lang w:val="en-US"/>
        </w:rPr>
        <w:t>Intelligent appointment scheduling or reminders</w:t>
      </w:r>
    </w:p>
    <w:p w14:paraId="40FA3965" w14:textId="77777777" w:rsidR="00E2643F" w:rsidRPr="00E2643F" w:rsidRDefault="00E2643F" w:rsidP="00E2643F">
      <w:pPr>
        <w:rPr>
          <w:lang w:val="en-US"/>
        </w:rPr>
      </w:pPr>
      <w:r w:rsidRPr="00E2643F">
        <w:rPr>
          <w:lang w:val="en-US"/>
        </w:rPr>
        <w:t>AI-personalised healthcare communication</w:t>
      </w:r>
    </w:p>
    <w:p w14:paraId="5A78B6B3" w14:textId="77777777" w:rsidR="00E2643F" w:rsidRPr="00E2643F" w:rsidRDefault="00E2643F" w:rsidP="00E2643F">
      <w:pPr>
        <w:rPr>
          <w:lang w:val="en-US"/>
        </w:rPr>
      </w:pPr>
      <w:r w:rsidRPr="00E2643F">
        <w:rPr>
          <w:lang w:val="en-US"/>
        </w:rPr>
        <w:t>AI-supported monitoring or recommendations</w:t>
      </w:r>
    </w:p>
    <w:p w14:paraId="6405D727" w14:textId="77777777" w:rsidR="009312E1" w:rsidRDefault="009312E1" w:rsidP="009312E1">
      <w:pPr>
        <w:rPr>
          <w:b/>
          <w:bCs/>
          <w:lang w:val="en-US"/>
        </w:rPr>
      </w:pPr>
      <w:r w:rsidRPr="009312E1">
        <w:rPr>
          <w:b/>
          <w:bCs/>
          <w:lang w:val="en-US"/>
        </w:rPr>
        <w:t>Descriptive Questions</w:t>
      </w:r>
    </w:p>
    <w:p w14:paraId="4F1BE31C" w14:textId="77777777" w:rsidR="00721C18" w:rsidRDefault="00BE5A5C" w:rsidP="00231115">
      <w:pPr>
        <w:rPr>
          <w:b/>
          <w:bCs/>
          <w:lang w:val="en-US"/>
        </w:rPr>
      </w:pPr>
      <w:r w:rsidRPr="00BE5A5C">
        <w:rPr>
          <w:b/>
          <w:bCs/>
          <w:lang w:val="en-US"/>
        </w:rPr>
        <w:lastRenderedPageBreak/>
        <w:t>AI Tools in UK Healthcare Services</w:t>
      </w:r>
    </w:p>
    <w:tbl>
      <w:tblPr>
        <w:tblStyle w:val="TableGrid"/>
        <w:tblW w:w="0" w:type="auto"/>
        <w:tblLook w:val="04A0" w:firstRow="1" w:lastRow="0" w:firstColumn="1" w:lastColumn="0" w:noHBand="0" w:noVBand="1"/>
      </w:tblPr>
      <w:tblGrid>
        <w:gridCol w:w="3265"/>
        <w:gridCol w:w="1373"/>
        <w:gridCol w:w="1155"/>
        <w:gridCol w:w="1049"/>
        <w:gridCol w:w="875"/>
        <w:gridCol w:w="1299"/>
      </w:tblGrid>
      <w:tr w:rsidR="00BE5A5C" w:rsidRPr="00BE5A5C" w14:paraId="1A18B4AB" w14:textId="77777777" w:rsidTr="00BE5A5C">
        <w:tc>
          <w:tcPr>
            <w:tcW w:w="0" w:type="auto"/>
            <w:hideMark/>
          </w:tcPr>
          <w:p w14:paraId="7BE4913E" w14:textId="77777777" w:rsidR="00BE5A5C" w:rsidRPr="00BE5A5C" w:rsidRDefault="00BE5A5C" w:rsidP="00BE5A5C">
            <w:pPr>
              <w:jc w:val="center"/>
              <w:rPr>
                <w:b/>
                <w:bCs/>
                <w:lang w:val="en-IN"/>
              </w:rPr>
            </w:pPr>
            <w:r w:rsidRPr="00BE5A5C">
              <w:rPr>
                <w:b/>
                <w:bCs/>
                <w:lang w:val="en-IN"/>
              </w:rPr>
              <w:t>Statement</w:t>
            </w:r>
          </w:p>
        </w:tc>
        <w:tc>
          <w:tcPr>
            <w:tcW w:w="0" w:type="auto"/>
            <w:hideMark/>
          </w:tcPr>
          <w:p w14:paraId="0AA50331" w14:textId="77777777" w:rsidR="00BE5A5C" w:rsidRPr="00BE5A5C" w:rsidRDefault="00BE5A5C" w:rsidP="00BE5A5C">
            <w:pPr>
              <w:jc w:val="center"/>
              <w:rPr>
                <w:b/>
                <w:bCs/>
                <w:lang w:val="en-IN"/>
              </w:rPr>
            </w:pPr>
            <w:r w:rsidRPr="00BE5A5C">
              <w:rPr>
                <w:b/>
                <w:bCs/>
                <w:lang w:val="en-IN"/>
              </w:rPr>
              <w:t>1 Strongly disagree</w:t>
            </w:r>
          </w:p>
        </w:tc>
        <w:tc>
          <w:tcPr>
            <w:tcW w:w="0" w:type="auto"/>
            <w:hideMark/>
          </w:tcPr>
          <w:p w14:paraId="77783874" w14:textId="77777777" w:rsidR="00BE5A5C" w:rsidRPr="00BE5A5C" w:rsidRDefault="00BE5A5C" w:rsidP="00BE5A5C">
            <w:pPr>
              <w:jc w:val="center"/>
              <w:rPr>
                <w:b/>
                <w:bCs/>
                <w:lang w:val="en-IN"/>
              </w:rPr>
            </w:pPr>
            <w:r w:rsidRPr="00BE5A5C">
              <w:rPr>
                <w:b/>
                <w:bCs/>
                <w:lang w:val="en-IN"/>
              </w:rPr>
              <w:t>2 Disagree</w:t>
            </w:r>
          </w:p>
        </w:tc>
        <w:tc>
          <w:tcPr>
            <w:tcW w:w="0" w:type="auto"/>
            <w:hideMark/>
          </w:tcPr>
          <w:p w14:paraId="5A1AA92F" w14:textId="77777777" w:rsidR="00BE5A5C" w:rsidRPr="00BE5A5C" w:rsidRDefault="00BE5A5C" w:rsidP="00BE5A5C">
            <w:pPr>
              <w:jc w:val="center"/>
              <w:rPr>
                <w:b/>
                <w:bCs/>
                <w:lang w:val="en-IN"/>
              </w:rPr>
            </w:pPr>
            <w:r w:rsidRPr="00BE5A5C">
              <w:rPr>
                <w:b/>
                <w:bCs/>
                <w:lang w:val="en-IN"/>
              </w:rPr>
              <w:t>3 Neutral</w:t>
            </w:r>
          </w:p>
        </w:tc>
        <w:tc>
          <w:tcPr>
            <w:tcW w:w="0" w:type="auto"/>
            <w:hideMark/>
          </w:tcPr>
          <w:p w14:paraId="4BD95168" w14:textId="77777777" w:rsidR="00BE5A5C" w:rsidRPr="00BE5A5C" w:rsidRDefault="00BE5A5C" w:rsidP="00BE5A5C">
            <w:pPr>
              <w:jc w:val="center"/>
              <w:rPr>
                <w:b/>
                <w:bCs/>
                <w:lang w:val="en-IN"/>
              </w:rPr>
            </w:pPr>
            <w:r w:rsidRPr="00BE5A5C">
              <w:rPr>
                <w:b/>
                <w:bCs/>
                <w:lang w:val="en-IN"/>
              </w:rPr>
              <w:t>4 Agree</w:t>
            </w:r>
          </w:p>
        </w:tc>
        <w:tc>
          <w:tcPr>
            <w:tcW w:w="0" w:type="auto"/>
            <w:hideMark/>
          </w:tcPr>
          <w:p w14:paraId="6B14DABF" w14:textId="77777777" w:rsidR="00BE5A5C" w:rsidRPr="00BE5A5C" w:rsidRDefault="00BE5A5C" w:rsidP="00BE5A5C">
            <w:pPr>
              <w:jc w:val="center"/>
              <w:rPr>
                <w:b/>
                <w:bCs/>
                <w:lang w:val="en-IN"/>
              </w:rPr>
            </w:pPr>
            <w:r w:rsidRPr="00BE5A5C">
              <w:rPr>
                <w:b/>
                <w:bCs/>
                <w:lang w:val="en-IN"/>
              </w:rPr>
              <w:t>5 Strongly agree</w:t>
            </w:r>
          </w:p>
        </w:tc>
      </w:tr>
      <w:tr w:rsidR="00BE5A5C" w:rsidRPr="00BE5A5C" w14:paraId="6E98FBA0" w14:textId="77777777" w:rsidTr="00BE5A5C">
        <w:tc>
          <w:tcPr>
            <w:tcW w:w="0" w:type="auto"/>
            <w:hideMark/>
          </w:tcPr>
          <w:p w14:paraId="40D7D186" w14:textId="77777777" w:rsidR="00BE5A5C" w:rsidRPr="00BE5A5C" w:rsidRDefault="00BE5A5C" w:rsidP="00BE5A5C">
            <w:pPr>
              <w:jc w:val="left"/>
              <w:rPr>
                <w:lang w:val="en-IN"/>
              </w:rPr>
            </w:pPr>
            <w:r w:rsidRPr="00BE5A5C">
              <w:rPr>
                <w:lang w:val="en-IN"/>
              </w:rPr>
              <w:t>AI tools make UK healthcare services easier to access.</w:t>
            </w:r>
          </w:p>
        </w:tc>
        <w:tc>
          <w:tcPr>
            <w:tcW w:w="0" w:type="auto"/>
            <w:hideMark/>
          </w:tcPr>
          <w:p w14:paraId="328DCD82" w14:textId="77777777" w:rsidR="00BE5A5C" w:rsidRPr="00BE5A5C" w:rsidRDefault="00BE5A5C" w:rsidP="00BE5A5C">
            <w:pPr>
              <w:jc w:val="center"/>
              <w:rPr>
                <w:lang w:val="en-IN"/>
              </w:rPr>
            </w:pPr>
            <w:r w:rsidRPr="00BE5A5C">
              <w:rPr>
                <w:lang w:val="en-IN"/>
              </w:rPr>
              <w:t>○</w:t>
            </w:r>
          </w:p>
        </w:tc>
        <w:tc>
          <w:tcPr>
            <w:tcW w:w="0" w:type="auto"/>
            <w:hideMark/>
          </w:tcPr>
          <w:p w14:paraId="0511C72D" w14:textId="77777777" w:rsidR="00BE5A5C" w:rsidRPr="00BE5A5C" w:rsidRDefault="00BE5A5C" w:rsidP="00BE5A5C">
            <w:pPr>
              <w:jc w:val="center"/>
              <w:rPr>
                <w:lang w:val="en-IN"/>
              </w:rPr>
            </w:pPr>
            <w:r w:rsidRPr="00BE5A5C">
              <w:rPr>
                <w:lang w:val="en-IN"/>
              </w:rPr>
              <w:t>○</w:t>
            </w:r>
          </w:p>
        </w:tc>
        <w:tc>
          <w:tcPr>
            <w:tcW w:w="0" w:type="auto"/>
            <w:hideMark/>
          </w:tcPr>
          <w:p w14:paraId="1612BFC0" w14:textId="77777777" w:rsidR="00BE5A5C" w:rsidRPr="00BE5A5C" w:rsidRDefault="00BE5A5C" w:rsidP="00BE5A5C">
            <w:pPr>
              <w:jc w:val="center"/>
              <w:rPr>
                <w:lang w:val="en-IN"/>
              </w:rPr>
            </w:pPr>
            <w:r w:rsidRPr="00BE5A5C">
              <w:rPr>
                <w:lang w:val="en-IN"/>
              </w:rPr>
              <w:t>○</w:t>
            </w:r>
          </w:p>
        </w:tc>
        <w:tc>
          <w:tcPr>
            <w:tcW w:w="0" w:type="auto"/>
            <w:hideMark/>
          </w:tcPr>
          <w:p w14:paraId="6852D747" w14:textId="77777777" w:rsidR="00BE5A5C" w:rsidRPr="00BE5A5C" w:rsidRDefault="00BE5A5C" w:rsidP="00BE5A5C">
            <w:pPr>
              <w:jc w:val="center"/>
              <w:rPr>
                <w:lang w:val="en-IN"/>
              </w:rPr>
            </w:pPr>
            <w:r w:rsidRPr="00BE5A5C">
              <w:rPr>
                <w:lang w:val="en-IN"/>
              </w:rPr>
              <w:t>○</w:t>
            </w:r>
          </w:p>
        </w:tc>
        <w:tc>
          <w:tcPr>
            <w:tcW w:w="0" w:type="auto"/>
            <w:hideMark/>
          </w:tcPr>
          <w:p w14:paraId="4D19B747" w14:textId="77777777" w:rsidR="00BE5A5C" w:rsidRPr="00BE5A5C" w:rsidRDefault="00BE5A5C" w:rsidP="00BE5A5C">
            <w:pPr>
              <w:jc w:val="center"/>
              <w:rPr>
                <w:lang w:val="en-IN"/>
              </w:rPr>
            </w:pPr>
            <w:r w:rsidRPr="00BE5A5C">
              <w:rPr>
                <w:lang w:val="en-IN"/>
              </w:rPr>
              <w:t>○</w:t>
            </w:r>
          </w:p>
        </w:tc>
      </w:tr>
      <w:tr w:rsidR="00BE5A5C" w:rsidRPr="00BE5A5C" w14:paraId="5553C0E6" w14:textId="77777777" w:rsidTr="00BE5A5C">
        <w:tc>
          <w:tcPr>
            <w:tcW w:w="0" w:type="auto"/>
            <w:hideMark/>
          </w:tcPr>
          <w:p w14:paraId="7DFA2B59" w14:textId="77777777" w:rsidR="00BE5A5C" w:rsidRPr="00BE5A5C" w:rsidRDefault="00BE5A5C" w:rsidP="00BE5A5C">
            <w:pPr>
              <w:jc w:val="left"/>
              <w:rPr>
                <w:lang w:val="en-IN"/>
              </w:rPr>
            </w:pPr>
            <w:r w:rsidRPr="00BE5A5C">
              <w:rPr>
                <w:lang w:val="en-IN"/>
              </w:rPr>
              <w:t>AI tools improve communication between healthcare providers and consumers.</w:t>
            </w:r>
          </w:p>
        </w:tc>
        <w:tc>
          <w:tcPr>
            <w:tcW w:w="0" w:type="auto"/>
            <w:hideMark/>
          </w:tcPr>
          <w:p w14:paraId="015DE9DA" w14:textId="77777777" w:rsidR="00BE5A5C" w:rsidRPr="00BE5A5C" w:rsidRDefault="00BE5A5C" w:rsidP="00BE5A5C">
            <w:pPr>
              <w:jc w:val="center"/>
              <w:rPr>
                <w:lang w:val="en-IN"/>
              </w:rPr>
            </w:pPr>
            <w:r w:rsidRPr="00BE5A5C">
              <w:rPr>
                <w:lang w:val="en-IN"/>
              </w:rPr>
              <w:t>○</w:t>
            </w:r>
          </w:p>
        </w:tc>
        <w:tc>
          <w:tcPr>
            <w:tcW w:w="0" w:type="auto"/>
            <w:hideMark/>
          </w:tcPr>
          <w:p w14:paraId="0AE0EEB2" w14:textId="77777777" w:rsidR="00BE5A5C" w:rsidRPr="00BE5A5C" w:rsidRDefault="00BE5A5C" w:rsidP="00BE5A5C">
            <w:pPr>
              <w:jc w:val="center"/>
              <w:rPr>
                <w:lang w:val="en-IN"/>
              </w:rPr>
            </w:pPr>
            <w:r w:rsidRPr="00BE5A5C">
              <w:rPr>
                <w:lang w:val="en-IN"/>
              </w:rPr>
              <w:t>○</w:t>
            </w:r>
          </w:p>
        </w:tc>
        <w:tc>
          <w:tcPr>
            <w:tcW w:w="0" w:type="auto"/>
            <w:hideMark/>
          </w:tcPr>
          <w:p w14:paraId="7231D35E" w14:textId="77777777" w:rsidR="00BE5A5C" w:rsidRPr="00BE5A5C" w:rsidRDefault="00BE5A5C" w:rsidP="00BE5A5C">
            <w:pPr>
              <w:jc w:val="center"/>
              <w:rPr>
                <w:lang w:val="en-IN"/>
              </w:rPr>
            </w:pPr>
            <w:r w:rsidRPr="00BE5A5C">
              <w:rPr>
                <w:lang w:val="en-IN"/>
              </w:rPr>
              <w:t>○</w:t>
            </w:r>
          </w:p>
        </w:tc>
        <w:tc>
          <w:tcPr>
            <w:tcW w:w="0" w:type="auto"/>
            <w:hideMark/>
          </w:tcPr>
          <w:p w14:paraId="7C86A508" w14:textId="77777777" w:rsidR="00BE5A5C" w:rsidRPr="00BE5A5C" w:rsidRDefault="00BE5A5C" w:rsidP="00BE5A5C">
            <w:pPr>
              <w:jc w:val="center"/>
              <w:rPr>
                <w:lang w:val="en-IN"/>
              </w:rPr>
            </w:pPr>
            <w:r w:rsidRPr="00BE5A5C">
              <w:rPr>
                <w:lang w:val="en-IN"/>
              </w:rPr>
              <w:t>○</w:t>
            </w:r>
          </w:p>
        </w:tc>
        <w:tc>
          <w:tcPr>
            <w:tcW w:w="0" w:type="auto"/>
            <w:hideMark/>
          </w:tcPr>
          <w:p w14:paraId="54763172" w14:textId="77777777" w:rsidR="00BE5A5C" w:rsidRPr="00BE5A5C" w:rsidRDefault="00BE5A5C" w:rsidP="00BE5A5C">
            <w:pPr>
              <w:jc w:val="center"/>
              <w:rPr>
                <w:lang w:val="en-IN"/>
              </w:rPr>
            </w:pPr>
            <w:r w:rsidRPr="00BE5A5C">
              <w:rPr>
                <w:lang w:val="en-IN"/>
              </w:rPr>
              <w:t>○</w:t>
            </w:r>
          </w:p>
        </w:tc>
      </w:tr>
      <w:tr w:rsidR="00BE5A5C" w:rsidRPr="00BE5A5C" w14:paraId="5678F8DC" w14:textId="77777777" w:rsidTr="00BE5A5C">
        <w:tc>
          <w:tcPr>
            <w:tcW w:w="0" w:type="auto"/>
            <w:hideMark/>
          </w:tcPr>
          <w:p w14:paraId="091C1345" w14:textId="77777777" w:rsidR="00BE5A5C" w:rsidRPr="00BE5A5C" w:rsidRDefault="00BE5A5C" w:rsidP="00BE5A5C">
            <w:pPr>
              <w:jc w:val="left"/>
              <w:rPr>
                <w:lang w:val="en-IN"/>
              </w:rPr>
            </w:pPr>
            <w:r w:rsidRPr="00BE5A5C">
              <w:rPr>
                <w:lang w:val="en-IN"/>
              </w:rPr>
              <w:t>AI tools enable healthcare services to respond more quickly to consumer needs.</w:t>
            </w:r>
          </w:p>
        </w:tc>
        <w:tc>
          <w:tcPr>
            <w:tcW w:w="0" w:type="auto"/>
            <w:hideMark/>
          </w:tcPr>
          <w:p w14:paraId="151BFE22" w14:textId="77777777" w:rsidR="00BE5A5C" w:rsidRPr="00BE5A5C" w:rsidRDefault="00BE5A5C" w:rsidP="00BE5A5C">
            <w:pPr>
              <w:jc w:val="center"/>
              <w:rPr>
                <w:lang w:val="en-IN"/>
              </w:rPr>
            </w:pPr>
            <w:r w:rsidRPr="00BE5A5C">
              <w:rPr>
                <w:lang w:val="en-IN"/>
              </w:rPr>
              <w:t>○</w:t>
            </w:r>
          </w:p>
        </w:tc>
        <w:tc>
          <w:tcPr>
            <w:tcW w:w="0" w:type="auto"/>
            <w:hideMark/>
          </w:tcPr>
          <w:p w14:paraId="6DF11D70" w14:textId="77777777" w:rsidR="00BE5A5C" w:rsidRPr="00BE5A5C" w:rsidRDefault="00BE5A5C" w:rsidP="00BE5A5C">
            <w:pPr>
              <w:jc w:val="center"/>
              <w:rPr>
                <w:lang w:val="en-IN"/>
              </w:rPr>
            </w:pPr>
            <w:r w:rsidRPr="00BE5A5C">
              <w:rPr>
                <w:lang w:val="en-IN"/>
              </w:rPr>
              <w:t>○</w:t>
            </w:r>
          </w:p>
        </w:tc>
        <w:tc>
          <w:tcPr>
            <w:tcW w:w="0" w:type="auto"/>
            <w:hideMark/>
          </w:tcPr>
          <w:p w14:paraId="56034FA4" w14:textId="77777777" w:rsidR="00BE5A5C" w:rsidRPr="00BE5A5C" w:rsidRDefault="00BE5A5C" w:rsidP="00BE5A5C">
            <w:pPr>
              <w:jc w:val="center"/>
              <w:rPr>
                <w:lang w:val="en-IN"/>
              </w:rPr>
            </w:pPr>
            <w:r w:rsidRPr="00BE5A5C">
              <w:rPr>
                <w:lang w:val="en-IN"/>
              </w:rPr>
              <w:t>○</w:t>
            </w:r>
          </w:p>
        </w:tc>
        <w:tc>
          <w:tcPr>
            <w:tcW w:w="0" w:type="auto"/>
            <w:hideMark/>
          </w:tcPr>
          <w:p w14:paraId="58132D74" w14:textId="77777777" w:rsidR="00BE5A5C" w:rsidRPr="00BE5A5C" w:rsidRDefault="00BE5A5C" w:rsidP="00BE5A5C">
            <w:pPr>
              <w:jc w:val="center"/>
              <w:rPr>
                <w:lang w:val="en-IN"/>
              </w:rPr>
            </w:pPr>
            <w:r w:rsidRPr="00BE5A5C">
              <w:rPr>
                <w:lang w:val="en-IN"/>
              </w:rPr>
              <w:t>○</w:t>
            </w:r>
          </w:p>
        </w:tc>
        <w:tc>
          <w:tcPr>
            <w:tcW w:w="0" w:type="auto"/>
            <w:hideMark/>
          </w:tcPr>
          <w:p w14:paraId="72C3A40A" w14:textId="77777777" w:rsidR="00BE5A5C" w:rsidRPr="00BE5A5C" w:rsidRDefault="00BE5A5C" w:rsidP="00BE5A5C">
            <w:pPr>
              <w:jc w:val="center"/>
              <w:rPr>
                <w:lang w:val="en-IN"/>
              </w:rPr>
            </w:pPr>
            <w:r w:rsidRPr="00BE5A5C">
              <w:rPr>
                <w:lang w:val="en-IN"/>
              </w:rPr>
              <w:t>○</w:t>
            </w:r>
          </w:p>
        </w:tc>
      </w:tr>
      <w:tr w:rsidR="00BE5A5C" w:rsidRPr="00BE5A5C" w14:paraId="7A491A88" w14:textId="77777777" w:rsidTr="00BE5A5C">
        <w:tc>
          <w:tcPr>
            <w:tcW w:w="0" w:type="auto"/>
            <w:hideMark/>
          </w:tcPr>
          <w:p w14:paraId="79EFF90B" w14:textId="77777777" w:rsidR="00BE5A5C" w:rsidRPr="00BE5A5C" w:rsidRDefault="00BE5A5C" w:rsidP="00BE5A5C">
            <w:pPr>
              <w:jc w:val="left"/>
              <w:rPr>
                <w:lang w:val="en-IN"/>
              </w:rPr>
            </w:pPr>
            <w:r w:rsidRPr="00BE5A5C">
              <w:rPr>
                <w:lang w:val="en-IN"/>
              </w:rPr>
              <w:t>AI tools support the personalisation of healthcare services.</w:t>
            </w:r>
          </w:p>
        </w:tc>
        <w:tc>
          <w:tcPr>
            <w:tcW w:w="0" w:type="auto"/>
            <w:hideMark/>
          </w:tcPr>
          <w:p w14:paraId="06321522" w14:textId="77777777" w:rsidR="00BE5A5C" w:rsidRPr="00BE5A5C" w:rsidRDefault="00BE5A5C" w:rsidP="00BE5A5C">
            <w:pPr>
              <w:jc w:val="center"/>
              <w:rPr>
                <w:lang w:val="en-IN"/>
              </w:rPr>
            </w:pPr>
            <w:r w:rsidRPr="00BE5A5C">
              <w:rPr>
                <w:lang w:val="en-IN"/>
              </w:rPr>
              <w:t>○</w:t>
            </w:r>
          </w:p>
        </w:tc>
        <w:tc>
          <w:tcPr>
            <w:tcW w:w="0" w:type="auto"/>
            <w:hideMark/>
          </w:tcPr>
          <w:p w14:paraId="4A616FD3" w14:textId="77777777" w:rsidR="00BE5A5C" w:rsidRPr="00BE5A5C" w:rsidRDefault="00BE5A5C" w:rsidP="00BE5A5C">
            <w:pPr>
              <w:jc w:val="center"/>
              <w:rPr>
                <w:lang w:val="en-IN"/>
              </w:rPr>
            </w:pPr>
            <w:r w:rsidRPr="00BE5A5C">
              <w:rPr>
                <w:lang w:val="en-IN"/>
              </w:rPr>
              <w:t>○</w:t>
            </w:r>
          </w:p>
        </w:tc>
        <w:tc>
          <w:tcPr>
            <w:tcW w:w="0" w:type="auto"/>
            <w:hideMark/>
          </w:tcPr>
          <w:p w14:paraId="170BCD84" w14:textId="77777777" w:rsidR="00BE5A5C" w:rsidRPr="00BE5A5C" w:rsidRDefault="00BE5A5C" w:rsidP="00BE5A5C">
            <w:pPr>
              <w:jc w:val="center"/>
              <w:rPr>
                <w:lang w:val="en-IN"/>
              </w:rPr>
            </w:pPr>
            <w:r w:rsidRPr="00BE5A5C">
              <w:rPr>
                <w:lang w:val="en-IN"/>
              </w:rPr>
              <w:t>○</w:t>
            </w:r>
          </w:p>
        </w:tc>
        <w:tc>
          <w:tcPr>
            <w:tcW w:w="0" w:type="auto"/>
            <w:hideMark/>
          </w:tcPr>
          <w:p w14:paraId="3AD80EF4" w14:textId="77777777" w:rsidR="00BE5A5C" w:rsidRPr="00BE5A5C" w:rsidRDefault="00BE5A5C" w:rsidP="00BE5A5C">
            <w:pPr>
              <w:jc w:val="center"/>
              <w:rPr>
                <w:lang w:val="en-IN"/>
              </w:rPr>
            </w:pPr>
            <w:r w:rsidRPr="00BE5A5C">
              <w:rPr>
                <w:lang w:val="en-IN"/>
              </w:rPr>
              <w:t>○</w:t>
            </w:r>
          </w:p>
        </w:tc>
        <w:tc>
          <w:tcPr>
            <w:tcW w:w="0" w:type="auto"/>
            <w:hideMark/>
          </w:tcPr>
          <w:p w14:paraId="0DC283DB" w14:textId="77777777" w:rsidR="00BE5A5C" w:rsidRPr="00BE5A5C" w:rsidRDefault="00BE5A5C" w:rsidP="00BE5A5C">
            <w:pPr>
              <w:jc w:val="center"/>
              <w:rPr>
                <w:lang w:val="en-IN"/>
              </w:rPr>
            </w:pPr>
            <w:r w:rsidRPr="00BE5A5C">
              <w:rPr>
                <w:lang w:val="en-IN"/>
              </w:rPr>
              <w:t>○</w:t>
            </w:r>
          </w:p>
        </w:tc>
      </w:tr>
      <w:tr w:rsidR="00BE5A5C" w:rsidRPr="00BE5A5C" w14:paraId="1AA94493" w14:textId="77777777" w:rsidTr="00BE5A5C">
        <w:tc>
          <w:tcPr>
            <w:tcW w:w="0" w:type="auto"/>
            <w:hideMark/>
          </w:tcPr>
          <w:p w14:paraId="618BD987" w14:textId="77777777" w:rsidR="00BE5A5C" w:rsidRPr="00BE5A5C" w:rsidRDefault="00BE5A5C" w:rsidP="00BE5A5C">
            <w:pPr>
              <w:jc w:val="left"/>
              <w:rPr>
                <w:lang w:val="en-IN"/>
              </w:rPr>
            </w:pPr>
            <w:r w:rsidRPr="00BE5A5C">
              <w:rPr>
                <w:lang w:val="en-IN"/>
              </w:rPr>
              <w:t xml:space="preserve">AI tools improve the overall quality of </w:t>
            </w:r>
            <w:r w:rsidR="007736A8">
              <w:rPr>
                <w:lang w:val="en-IN"/>
              </w:rPr>
              <w:t>healthcare service</w:t>
            </w:r>
            <w:r w:rsidRPr="00BE5A5C">
              <w:rPr>
                <w:lang w:val="en-IN"/>
              </w:rPr>
              <w:t xml:space="preserve"> delivery.</w:t>
            </w:r>
          </w:p>
        </w:tc>
        <w:tc>
          <w:tcPr>
            <w:tcW w:w="0" w:type="auto"/>
            <w:hideMark/>
          </w:tcPr>
          <w:p w14:paraId="4D24EF47" w14:textId="77777777" w:rsidR="00BE5A5C" w:rsidRPr="00BE5A5C" w:rsidRDefault="00BE5A5C" w:rsidP="00BE5A5C">
            <w:pPr>
              <w:jc w:val="center"/>
              <w:rPr>
                <w:lang w:val="en-IN"/>
              </w:rPr>
            </w:pPr>
            <w:r w:rsidRPr="00BE5A5C">
              <w:rPr>
                <w:lang w:val="en-IN"/>
              </w:rPr>
              <w:t>○</w:t>
            </w:r>
          </w:p>
        </w:tc>
        <w:tc>
          <w:tcPr>
            <w:tcW w:w="0" w:type="auto"/>
            <w:hideMark/>
          </w:tcPr>
          <w:p w14:paraId="1CFC4B77" w14:textId="77777777" w:rsidR="00BE5A5C" w:rsidRPr="00BE5A5C" w:rsidRDefault="00BE5A5C" w:rsidP="00BE5A5C">
            <w:pPr>
              <w:jc w:val="center"/>
              <w:rPr>
                <w:lang w:val="en-IN"/>
              </w:rPr>
            </w:pPr>
            <w:r w:rsidRPr="00BE5A5C">
              <w:rPr>
                <w:lang w:val="en-IN"/>
              </w:rPr>
              <w:t>○</w:t>
            </w:r>
          </w:p>
        </w:tc>
        <w:tc>
          <w:tcPr>
            <w:tcW w:w="0" w:type="auto"/>
            <w:hideMark/>
          </w:tcPr>
          <w:p w14:paraId="15E7D173" w14:textId="77777777" w:rsidR="00BE5A5C" w:rsidRPr="00BE5A5C" w:rsidRDefault="00BE5A5C" w:rsidP="00BE5A5C">
            <w:pPr>
              <w:jc w:val="center"/>
              <w:rPr>
                <w:lang w:val="en-IN"/>
              </w:rPr>
            </w:pPr>
            <w:r w:rsidRPr="00BE5A5C">
              <w:rPr>
                <w:lang w:val="en-IN"/>
              </w:rPr>
              <w:t>○</w:t>
            </w:r>
          </w:p>
        </w:tc>
        <w:tc>
          <w:tcPr>
            <w:tcW w:w="0" w:type="auto"/>
            <w:hideMark/>
          </w:tcPr>
          <w:p w14:paraId="795AEB9C" w14:textId="77777777" w:rsidR="00BE5A5C" w:rsidRPr="00BE5A5C" w:rsidRDefault="00BE5A5C" w:rsidP="00BE5A5C">
            <w:pPr>
              <w:jc w:val="center"/>
              <w:rPr>
                <w:lang w:val="en-IN"/>
              </w:rPr>
            </w:pPr>
            <w:r w:rsidRPr="00BE5A5C">
              <w:rPr>
                <w:lang w:val="en-IN"/>
              </w:rPr>
              <w:t>○</w:t>
            </w:r>
          </w:p>
        </w:tc>
        <w:tc>
          <w:tcPr>
            <w:tcW w:w="0" w:type="auto"/>
            <w:hideMark/>
          </w:tcPr>
          <w:p w14:paraId="300DC0C6" w14:textId="77777777" w:rsidR="00BE5A5C" w:rsidRPr="00BE5A5C" w:rsidRDefault="00BE5A5C" w:rsidP="00BE5A5C">
            <w:pPr>
              <w:jc w:val="center"/>
              <w:rPr>
                <w:lang w:val="en-IN"/>
              </w:rPr>
            </w:pPr>
            <w:r w:rsidRPr="00BE5A5C">
              <w:rPr>
                <w:lang w:val="en-IN"/>
              </w:rPr>
              <w:t>○</w:t>
            </w:r>
          </w:p>
        </w:tc>
      </w:tr>
    </w:tbl>
    <w:p w14:paraId="6AB86A4E" w14:textId="77777777" w:rsidR="00BE5A5C" w:rsidRPr="00BE5A5C" w:rsidRDefault="00BE5A5C" w:rsidP="00BE5A5C">
      <w:pPr>
        <w:rPr>
          <w:lang w:val="en-US"/>
        </w:rPr>
      </w:pPr>
    </w:p>
    <w:p w14:paraId="3FD3274D" w14:textId="77777777" w:rsidR="00BE5A5C" w:rsidRDefault="00BE5A5C" w:rsidP="00231115">
      <w:pPr>
        <w:rPr>
          <w:b/>
          <w:bCs/>
          <w:lang w:val="en-US"/>
        </w:rPr>
      </w:pPr>
      <w:r w:rsidRPr="00BE5A5C">
        <w:rPr>
          <w:b/>
          <w:bCs/>
          <w:lang w:val="en-US"/>
        </w:rPr>
        <w:t>Consumer Trust</w:t>
      </w:r>
    </w:p>
    <w:tbl>
      <w:tblPr>
        <w:tblStyle w:val="TableGrid"/>
        <w:tblW w:w="0" w:type="auto"/>
        <w:tblLook w:val="04A0" w:firstRow="1" w:lastRow="0" w:firstColumn="1" w:lastColumn="0" w:noHBand="0" w:noVBand="1"/>
      </w:tblPr>
      <w:tblGrid>
        <w:gridCol w:w="3259"/>
        <w:gridCol w:w="1377"/>
        <w:gridCol w:w="1155"/>
        <w:gridCol w:w="1049"/>
        <w:gridCol w:w="875"/>
        <w:gridCol w:w="1301"/>
      </w:tblGrid>
      <w:tr w:rsidR="00BE5A5C" w:rsidRPr="00BE5A5C" w14:paraId="26AC9643" w14:textId="77777777" w:rsidTr="00BE5A5C">
        <w:tc>
          <w:tcPr>
            <w:tcW w:w="0" w:type="auto"/>
            <w:hideMark/>
          </w:tcPr>
          <w:p w14:paraId="22977D35" w14:textId="77777777" w:rsidR="00BE5A5C" w:rsidRPr="00BE5A5C" w:rsidRDefault="00BE5A5C" w:rsidP="00BE5A5C">
            <w:pPr>
              <w:jc w:val="center"/>
              <w:rPr>
                <w:b/>
                <w:bCs/>
                <w:lang w:val="en-IN"/>
              </w:rPr>
            </w:pPr>
            <w:r w:rsidRPr="00BE5A5C">
              <w:rPr>
                <w:b/>
                <w:bCs/>
                <w:lang w:val="en-IN"/>
              </w:rPr>
              <w:t>Statement</w:t>
            </w:r>
          </w:p>
        </w:tc>
        <w:tc>
          <w:tcPr>
            <w:tcW w:w="0" w:type="auto"/>
            <w:hideMark/>
          </w:tcPr>
          <w:p w14:paraId="28AB11A1" w14:textId="77777777" w:rsidR="00BE5A5C" w:rsidRPr="00BE5A5C" w:rsidRDefault="00BE5A5C" w:rsidP="00BE5A5C">
            <w:pPr>
              <w:jc w:val="center"/>
              <w:rPr>
                <w:b/>
                <w:bCs/>
                <w:lang w:val="en-IN"/>
              </w:rPr>
            </w:pPr>
            <w:r w:rsidRPr="00BE5A5C">
              <w:rPr>
                <w:b/>
                <w:bCs/>
                <w:lang w:val="en-IN"/>
              </w:rPr>
              <w:t>1 Strongly disagree</w:t>
            </w:r>
          </w:p>
        </w:tc>
        <w:tc>
          <w:tcPr>
            <w:tcW w:w="0" w:type="auto"/>
            <w:hideMark/>
          </w:tcPr>
          <w:p w14:paraId="45D009E1" w14:textId="77777777" w:rsidR="00BE5A5C" w:rsidRPr="00BE5A5C" w:rsidRDefault="00BE5A5C" w:rsidP="00BE5A5C">
            <w:pPr>
              <w:jc w:val="center"/>
              <w:rPr>
                <w:b/>
                <w:bCs/>
                <w:lang w:val="en-IN"/>
              </w:rPr>
            </w:pPr>
            <w:r w:rsidRPr="00BE5A5C">
              <w:rPr>
                <w:b/>
                <w:bCs/>
                <w:lang w:val="en-IN"/>
              </w:rPr>
              <w:t>2 Disagree</w:t>
            </w:r>
          </w:p>
        </w:tc>
        <w:tc>
          <w:tcPr>
            <w:tcW w:w="0" w:type="auto"/>
            <w:hideMark/>
          </w:tcPr>
          <w:p w14:paraId="5917E603" w14:textId="77777777" w:rsidR="00BE5A5C" w:rsidRPr="00BE5A5C" w:rsidRDefault="00BE5A5C" w:rsidP="00BE5A5C">
            <w:pPr>
              <w:jc w:val="center"/>
              <w:rPr>
                <w:b/>
                <w:bCs/>
                <w:lang w:val="en-IN"/>
              </w:rPr>
            </w:pPr>
            <w:r w:rsidRPr="00BE5A5C">
              <w:rPr>
                <w:b/>
                <w:bCs/>
                <w:lang w:val="en-IN"/>
              </w:rPr>
              <w:t>3 Neutral</w:t>
            </w:r>
          </w:p>
        </w:tc>
        <w:tc>
          <w:tcPr>
            <w:tcW w:w="0" w:type="auto"/>
            <w:hideMark/>
          </w:tcPr>
          <w:p w14:paraId="04DFE2CD" w14:textId="77777777" w:rsidR="00BE5A5C" w:rsidRPr="00BE5A5C" w:rsidRDefault="00BE5A5C" w:rsidP="00BE5A5C">
            <w:pPr>
              <w:jc w:val="center"/>
              <w:rPr>
                <w:b/>
                <w:bCs/>
                <w:lang w:val="en-IN"/>
              </w:rPr>
            </w:pPr>
            <w:r w:rsidRPr="00BE5A5C">
              <w:rPr>
                <w:b/>
                <w:bCs/>
                <w:lang w:val="en-IN"/>
              </w:rPr>
              <w:t>4 Agree</w:t>
            </w:r>
          </w:p>
        </w:tc>
        <w:tc>
          <w:tcPr>
            <w:tcW w:w="0" w:type="auto"/>
            <w:hideMark/>
          </w:tcPr>
          <w:p w14:paraId="1C0C808E" w14:textId="77777777" w:rsidR="00BE5A5C" w:rsidRPr="00BE5A5C" w:rsidRDefault="00BE5A5C" w:rsidP="00BE5A5C">
            <w:pPr>
              <w:jc w:val="center"/>
              <w:rPr>
                <w:b/>
                <w:bCs/>
                <w:lang w:val="en-IN"/>
              </w:rPr>
            </w:pPr>
            <w:r w:rsidRPr="00BE5A5C">
              <w:rPr>
                <w:b/>
                <w:bCs/>
                <w:lang w:val="en-IN"/>
              </w:rPr>
              <w:t>5 Strongly agree</w:t>
            </w:r>
          </w:p>
        </w:tc>
      </w:tr>
      <w:tr w:rsidR="00BE5A5C" w:rsidRPr="00BE5A5C" w14:paraId="474A68CE" w14:textId="77777777" w:rsidTr="00BE5A5C">
        <w:tc>
          <w:tcPr>
            <w:tcW w:w="0" w:type="auto"/>
            <w:hideMark/>
          </w:tcPr>
          <w:p w14:paraId="460D578A" w14:textId="77777777" w:rsidR="00BE5A5C" w:rsidRPr="00BE5A5C" w:rsidRDefault="00BE5A5C" w:rsidP="00BE5A5C">
            <w:pPr>
              <w:jc w:val="left"/>
              <w:rPr>
                <w:lang w:val="en-IN"/>
              </w:rPr>
            </w:pPr>
            <w:r w:rsidRPr="00BE5A5C">
              <w:rPr>
                <w:lang w:val="en-IN"/>
              </w:rPr>
              <w:t>UK healthcare providers can be trusted to use AI tools responsibly.</w:t>
            </w:r>
          </w:p>
        </w:tc>
        <w:tc>
          <w:tcPr>
            <w:tcW w:w="0" w:type="auto"/>
            <w:hideMark/>
          </w:tcPr>
          <w:p w14:paraId="08E422C0" w14:textId="77777777" w:rsidR="00BE5A5C" w:rsidRPr="00BE5A5C" w:rsidRDefault="00BE5A5C" w:rsidP="00BE5A5C">
            <w:pPr>
              <w:jc w:val="center"/>
              <w:rPr>
                <w:lang w:val="en-IN"/>
              </w:rPr>
            </w:pPr>
            <w:r w:rsidRPr="00BE5A5C">
              <w:rPr>
                <w:lang w:val="en-IN"/>
              </w:rPr>
              <w:t>○</w:t>
            </w:r>
          </w:p>
        </w:tc>
        <w:tc>
          <w:tcPr>
            <w:tcW w:w="0" w:type="auto"/>
            <w:hideMark/>
          </w:tcPr>
          <w:p w14:paraId="3315DC85" w14:textId="77777777" w:rsidR="00BE5A5C" w:rsidRPr="00BE5A5C" w:rsidRDefault="00BE5A5C" w:rsidP="00BE5A5C">
            <w:pPr>
              <w:jc w:val="center"/>
              <w:rPr>
                <w:lang w:val="en-IN"/>
              </w:rPr>
            </w:pPr>
            <w:r w:rsidRPr="00BE5A5C">
              <w:rPr>
                <w:lang w:val="en-IN"/>
              </w:rPr>
              <w:t>○</w:t>
            </w:r>
          </w:p>
        </w:tc>
        <w:tc>
          <w:tcPr>
            <w:tcW w:w="0" w:type="auto"/>
            <w:hideMark/>
          </w:tcPr>
          <w:p w14:paraId="68B999B4" w14:textId="77777777" w:rsidR="00BE5A5C" w:rsidRPr="00BE5A5C" w:rsidRDefault="00BE5A5C" w:rsidP="00BE5A5C">
            <w:pPr>
              <w:jc w:val="center"/>
              <w:rPr>
                <w:lang w:val="en-IN"/>
              </w:rPr>
            </w:pPr>
            <w:r w:rsidRPr="00BE5A5C">
              <w:rPr>
                <w:lang w:val="en-IN"/>
              </w:rPr>
              <w:t>○</w:t>
            </w:r>
          </w:p>
        </w:tc>
        <w:tc>
          <w:tcPr>
            <w:tcW w:w="0" w:type="auto"/>
            <w:hideMark/>
          </w:tcPr>
          <w:p w14:paraId="334A81DB" w14:textId="77777777" w:rsidR="00BE5A5C" w:rsidRPr="00BE5A5C" w:rsidRDefault="00BE5A5C" w:rsidP="00BE5A5C">
            <w:pPr>
              <w:jc w:val="center"/>
              <w:rPr>
                <w:lang w:val="en-IN"/>
              </w:rPr>
            </w:pPr>
            <w:r w:rsidRPr="00BE5A5C">
              <w:rPr>
                <w:lang w:val="en-IN"/>
              </w:rPr>
              <w:t>○</w:t>
            </w:r>
          </w:p>
        </w:tc>
        <w:tc>
          <w:tcPr>
            <w:tcW w:w="0" w:type="auto"/>
            <w:hideMark/>
          </w:tcPr>
          <w:p w14:paraId="4C6484E0" w14:textId="77777777" w:rsidR="00BE5A5C" w:rsidRPr="00BE5A5C" w:rsidRDefault="00BE5A5C" w:rsidP="00BE5A5C">
            <w:pPr>
              <w:jc w:val="center"/>
              <w:rPr>
                <w:lang w:val="en-IN"/>
              </w:rPr>
            </w:pPr>
            <w:r w:rsidRPr="00BE5A5C">
              <w:rPr>
                <w:lang w:val="en-IN"/>
              </w:rPr>
              <w:t>○</w:t>
            </w:r>
          </w:p>
        </w:tc>
      </w:tr>
      <w:tr w:rsidR="00BE5A5C" w:rsidRPr="00BE5A5C" w14:paraId="18C26C14" w14:textId="77777777" w:rsidTr="00BE5A5C">
        <w:tc>
          <w:tcPr>
            <w:tcW w:w="0" w:type="auto"/>
            <w:hideMark/>
          </w:tcPr>
          <w:p w14:paraId="0CA3821A" w14:textId="77777777" w:rsidR="00BE5A5C" w:rsidRPr="00BE5A5C" w:rsidRDefault="00BE5A5C" w:rsidP="00BE5A5C">
            <w:pPr>
              <w:jc w:val="left"/>
              <w:rPr>
                <w:lang w:val="en-IN"/>
              </w:rPr>
            </w:pPr>
            <w:r w:rsidRPr="00BE5A5C">
              <w:rPr>
                <w:lang w:val="en-IN"/>
              </w:rPr>
              <w:lastRenderedPageBreak/>
              <w:t>AI-supported healthcare services provide reliable information.</w:t>
            </w:r>
          </w:p>
        </w:tc>
        <w:tc>
          <w:tcPr>
            <w:tcW w:w="0" w:type="auto"/>
            <w:hideMark/>
          </w:tcPr>
          <w:p w14:paraId="77C2DC0F" w14:textId="77777777" w:rsidR="00BE5A5C" w:rsidRPr="00BE5A5C" w:rsidRDefault="00BE5A5C" w:rsidP="00BE5A5C">
            <w:pPr>
              <w:jc w:val="center"/>
              <w:rPr>
                <w:lang w:val="en-IN"/>
              </w:rPr>
            </w:pPr>
            <w:r w:rsidRPr="00BE5A5C">
              <w:rPr>
                <w:lang w:val="en-IN"/>
              </w:rPr>
              <w:t>○</w:t>
            </w:r>
          </w:p>
        </w:tc>
        <w:tc>
          <w:tcPr>
            <w:tcW w:w="0" w:type="auto"/>
            <w:hideMark/>
          </w:tcPr>
          <w:p w14:paraId="098129A2" w14:textId="77777777" w:rsidR="00BE5A5C" w:rsidRPr="00BE5A5C" w:rsidRDefault="00BE5A5C" w:rsidP="00BE5A5C">
            <w:pPr>
              <w:jc w:val="center"/>
              <w:rPr>
                <w:lang w:val="en-IN"/>
              </w:rPr>
            </w:pPr>
            <w:r w:rsidRPr="00BE5A5C">
              <w:rPr>
                <w:lang w:val="en-IN"/>
              </w:rPr>
              <w:t>○</w:t>
            </w:r>
          </w:p>
        </w:tc>
        <w:tc>
          <w:tcPr>
            <w:tcW w:w="0" w:type="auto"/>
            <w:hideMark/>
          </w:tcPr>
          <w:p w14:paraId="3B26DAD5" w14:textId="77777777" w:rsidR="00BE5A5C" w:rsidRPr="00BE5A5C" w:rsidRDefault="00BE5A5C" w:rsidP="00BE5A5C">
            <w:pPr>
              <w:jc w:val="center"/>
              <w:rPr>
                <w:lang w:val="en-IN"/>
              </w:rPr>
            </w:pPr>
            <w:r w:rsidRPr="00BE5A5C">
              <w:rPr>
                <w:lang w:val="en-IN"/>
              </w:rPr>
              <w:t>○</w:t>
            </w:r>
          </w:p>
        </w:tc>
        <w:tc>
          <w:tcPr>
            <w:tcW w:w="0" w:type="auto"/>
            <w:hideMark/>
          </w:tcPr>
          <w:p w14:paraId="5CA5F2F2" w14:textId="77777777" w:rsidR="00BE5A5C" w:rsidRPr="00BE5A5C" w:rsidRDefault="00BE5A5C" w:rsidP="00BE5A5C">
            <w:pPr>
              <w:jc w:val="center"/>
              <w:rPr>
                <w:lang w:val="en-IN"/>
              </w:rPr>
            </w:pPr>
            <w:r w:rsidRPr="00BE5A5C">
              <w:rPr>
                <w:lang w:val="en-IN"/>
              </w:rPr>
              <w:t>○</w:t>
            </w:r>
          </w:p>
        </w:tc>
        <w:tc>
          <w:tcPr>
            <w:tcW w:w="0" w:type="auto"/>
            <w:hideMark/>
          </w:tcPr>
          <w:p w14:paraId="65661863" w14:textId="77777777" w:rsidR="00BE5A5C" w:rsidRPr="00BE5A5C" w:rsidRDefault="00BE5A5C" w:rsidP="00BE5A5C">
            <w:pPr>
              <w:jc w:val="center"/>
              <w:rPr>
                <w:lang w:val="en-IN"/>
              </w:rPr>
            </w:pPr>
            <w:r w:rsidRPr="00BE5A5C">
              <w:rPr>
                <w:lang w:val="en-IN"/>
              </w:rPr>
              <w:t>○</w:t>
            </w:r>
          </w:p>
        </w:tc>
      </w:tr>
      <w:tr w:rsidR="00BE5A5C" w:rsidRPr="00BE5A5C" w14:paraId="08AA72AA" w14:textId="77777777" w:rsidTr="00BE5A5C">
        <w:tc>
          <w:tcPr>
            <w:tcW w:w="0" w:type="auto"/>
            <w:hideMark/>
          </w:tcPr>
          <w:p w14:paraId="75B8F422" w14:textId="77777777" w:rsidR="00BE5A5C" w:rsidRPr="00BE5A5C" w:rsidRDefault="00BE5A5C" w:rsidP="00BE5A5C">
            <w:pPr>
              <w:jc w:val="left"/>
              <w:rPr>
                <w:lang w:val="en-IN"/>
              </w:rPr>
            </w:pPr>
            <w:r w:rsidRPr="00BE5A5C">
              <w:rPr>
                <w:lang w:val="en-IN"/>
              </w:rPr>
              <w:t>Healthcare providers adequately protect consumer data when using AI tools.</w:t>
            </w:r>
          </w:p>
        </w:tc>
        <w:tc>
          <w:tcPr>
            <w:tcW w:w="0" w:type="auto"/>
            <w:hideMark/>
          </w:tcPr>
          <w:p w14:paraId="537AB762" w14:textId="77777777" w:rsidR="00BE5A5C" w:rsidRPr="00BE5A5C" w:rsidRDefault="00BE5A5C" w:rsidP="00BE5A5C">
            <w:pPr>
              <w:jc w:val="center"/>
              <w:rPr>
                <w:lang w:val="en-IN"/>
              </w:rPr>
            </w:pPr>
            <w:r w:rsidRPr="00BE5A5C">
              <w:rPr>
                <w:lang w:val="en-IN"/>
              </w:rPr>
              <w:t>○</w:t>
            </w:r>
          </w:p>
        </w:tc>
        <w:tc>
          <w:tcPr>
            <w:tcW w:w="0" w:type="auto"/>
            <w:hideMark/>
          </w:tcPr>
          <w:p w14:paraId="25DA0E55" w14:textId="77777777" w:rsidR="00BE5A5C" w:rsidRPr="00BE5A5C" w:rsidRDefault="00BE5A5C" w:rsidP="00BE5A5C">
            <w:pPr>
              <w:jc w:val="center"/>
              <w:rPr>
                <w:lang w:val="en-IN"/>
              </w:rPr>
            </w:pPr>
            <w:r w:rsidRPr="00BE5A5C">
              <w:rPr>
                <w:lang w:val="en-IN"/>
              </w:rPr>
              <w:t>○</w:t>
            </w:r>
          </w:p>
        </w:tc>
        <w:tc>
          <w:tcPr>
            <w:tcW w:w="0" w:type="auto"/>
            <w:hideMark/>
          </w:tcPr>
          <w:p w14:paraId="3964A3A7" w14:textId="77777777" w:rsidR="00BE5A5C" w:rsidRPr="00BE5A5C" w:rsidRDefault="00BE5A5C" w:rsidP="00BE5A5C">
            <w:pPr>
              <w:jc w:val="center"/>
              <w:rPr>
                <w:lang w:val="en-IN"/>
              </w:rPr>
            </w:pPr>
            <w:r w:rsidRPr="00BE5A5C">
              <w:rPr>
                <w:lang w:val="en-IN"/>
              </w:rPr>
              <w:t>○</w:t>
            </w:r>
          </w:p>
        </w:tc>
        <w:tc>
          <w:tcPr>
            <w:tcW w:w="0" w:type="auto"/>
            <w:hideMark/>
          </w:tcPr>
          <w:p w14:paraId="64E71029" w14:textId="77777777" w:rsidR="00BE5A5C" w:rsidRPr="00BE5A5C" w:rsidRDefault="00BE5A5C" w:rsidP="00BE5A5C">
            <w:pPr>
              <w:jc w:val="center"/>
              <w:rPr>
                <w:lang w:val="en-IN"/>
              </w:rPr>
            </w:pPr>
            <w:r w:rsidRPr="00BE5A5C">
              <w:rPr>
                <w:lang w:val="en-IN"/>
              </w:rPr>
              <w:t>○</w:t>
            </w:r>
          </w:p>
        </w:tc>
        <w:tc>
          <w:tcPr>
            <w:tcW w:w="0" w:type="auto"/>
            <w:hideMark/>
          </w:tcPr>
          <w:p w14:paraId="0F63F493" w14:textId="77777777" w:rsidR="00BE5A5C" w:rsidRPr="00BE5A5C" w:rsidRDefault="00BE5A5C" w:rsidP="00BE5A5C">
            <w:pPr>
              <w:jc w:val="center"/>
              <w:rPr>
                <w:lang w:val="en-IN"/>
              </w:rPr>
            </w:pPr>
            <w:r w:rsidRPr="00BE5A5C">
              <w:rPr>
                <w:lang w:val="en-IN"/>
              </w:rPr>
              <w:t>○</w:t>
            </w:r>
          </w:p>
        </w:tc>
      </w:tr>
      <w:tr w:rsidR="00BE5A5C" w:rsidRPr="00BE5A5C" w14:paraId="04E1784F" w14:textId="77777777" w:rsidTr="00BE5A5C">
        <w:tc>
          <w:tcPr>
            <w:tcW w:w="0" w:type="auto"/>
            <w:hideMark/>
          </w:tcPr>
          <w:p w14:paraId="0DFD8D45" w14:textId="77777777" w:rsidR="00BE5A5C" w:rsidRPr="00BE5A5C" w:rsidRDefault="00BE5A5C" w:rsidP="00BE5A5C">
            <w:pPr>
              <w:jc w:val="left"/>
              <w:rPr>
                <w:lang w:val="en-IN"/>
              </w:rPr>
            </w:pPr>
            <w:r w:rsidRPr="00BE5A5C">
              <w:rPr>
                <w:lang w:val="en-IN"/>
              </w:rPr>
              <w:t>Healthcare providers maintain appropriate human oversight of AI-supported services.</w:t>
            </w:r>
          </w:p>
        </w:tc>
        <w:tc>
          <w:tcPr>
            <w:tcW w:w="0" w:type="auto"/>
            <w:hideMark/>
          </w:tcPr>
          <w:p w14:paraId="53215BAB" w14:textId="77777777" w:rsidR="00BE5A5C" w:rsidRPr="00BE5A5C" w:rsidRDefault="00BE5A5C" w:rsidP="00BE5A5C">
            <w:pPr>
              <w:jc w:val="center"/>
              <w:rPr>
                <w:lang w:val="en-IN"/>
              </w:rPr>
            </w:pPr>
            <w:r w:rsidRPr="00BE5A5C">
              <w:rPr>
                <w:lang w:val="en-IN"/>
              </w:rPr>
              <w:t>○</w:t>
            </w:r>
          </w:p>
        </w:tc>
        <w:tc>
          <w:tcPr>
            <w:tcW w:w="0" w:type="auto"/>
            <w:hideMark/>
          </w:tcPr>
          <w:p w14:paraId="41C69386" w14:textId="77777777" w:rsidR="00BE5A5C" w:rsidRPr="00BE5A5C" w:rsidRDefault="00BE5A5C" w:rsidP="00BE5A5C">
            <w:pPr>
              <w:jc w:val="center"/>
              <w:rPr>
                <w:lang w:val="en-IN"/>
              </w:rPr>
            </w:pPr>
            <w:r w:rsidRPr="00BE5A5C">
              <w:rPr>
                <w:lang w:val="en-IN"/>
              </w:rPr>
              <w:t>○</w:t>
            </w:r>
          </w:p>
        </w:tc>
        <w:tc>
          <w:tcPr>
            <w:tcW w:w="0" w:type="auto"/>
            <w:hideMark/>
          </w:tcPr>
          <w:p w14:paraId="7A1664CD" w14:textId="77777777" w:rsidR="00BE5A5C" w:rsidRPr="00BE5A5C" w:rsidRDefault="00BE5A5C" w:rsidP="00BE5A5C">
            <w:pPr>
              <w:jc w:val="center"/>
              <w:rPr>
                <w:lang w:val="en-IN"/>
              </w:rPr>
            </w:pPr>
            <w:r w:rsidRPr="00BE5A5C">
              <w:rPr>
                <w:lang w:val="en-IN"/>
              </w:rPr>
              <w:t>○</w:t>
            </w:r>
          </w:p>
        </w:tc>
        <w:tc>
          <w:tcPr>
            <w:tcW w:w="0" w:type="auto"/>
            <w:hideMark/>
          </w:tcPr>
          <w:p w14:paraId="4826069B" w14:textId="77777777" w:rsidR="00BE5A5C" w:rsidRPr="00BE5A5C" w:rsidRDefault="00BE5A5C" w:rsidP="00BE5A5C">
            <w:pPr>
              <w:jc w:val="center"/>
              <w:rPr>
                <w:lang w:val="en-IN"/>
              </w:rPr>
            </w:pPr>
            <w:r w:rsidRPr="00BE5A5C">
              <w:rPr>
                <w:lang w:val="en-IN"/>
              </w:rPr>
              <w:t>○</w:t>
            </w:r>
          </w:p>
        </w:tc>
        <w:tc>
          <w:tcPr>
            <w:tcW w:w="0" w:type="auto"/>
            <w:hideMark/>
          </w:tcPr>
          <w:p w14:paraId="75D84524" w14:textId="77777777" w:rsidR="00BE5A5C" w:rsidRPr="00BE5A5C" w:rsidRDefault="00BE5A5C" w:rsidP="00BE5A5C">
            <w:pPr>
              <w:jc w:val="center"/>
              <w:rPr>
                <w:lang w:val="en-IN"/>
              </w:rPr>
            </w:pPr>
            <w:r w:rsidRPr="00BE5A5C">
              <w:rPr>
                <w:lang w:val="en-IN"/>
              </w:rPr>
              <w:t>○</w:t>
            </w:r>
          </w:p>
        </w:tc>
      </w:tr>
      <w:tr w:rsidR="00BE5A5C" w:rsidRPr="00BE5A5C" w14:paraId="60BFD68B" w14:textId="77777777" w:rsidTr="00BE5A5C">
        <w:tc>
          <w:tcPr>
            <w:tcW w:w="0" w:type="auto"/>
            <w:hideMark/>
          </w:tcPr>
          <w:p w14:paraId="58D1167C" w14:textId="77777777" w:rsidR="00BE5A5C" w:rsidRPr="00BE5A5C" w:rsidRDefault="00BE5A5C" w:rsidP="00BE5A5C">
            <w:pPr>
              <w:jc w:val="left"/>
              <w:rPr>
                <w:lang w:val="en-IN"/>
              </w:rPr>
            </w:pPr>
            <w:r w:rsidRPr="00BE5A5C">
              <w:rPr>
                <w:lang w:val="en-IN"/>
              </w:rPr>
              <w:t>AI-supported services offered by UK healthcare providers can be used with confidence.</w:t>
            </w:r>
          </w:p>
        </w:tc>
        <w:tc>
          <w:tcPr>
            <w:tcW w:w="0" w:type="auto"/>
            <w:hideMark/>
          </w:tcPr>
          <w:p w14:paraId="68587E31" w14:textId="77777777" w:rsidR="00BE5A5C" w:rsidRPr="00BE5A5C" w:rsidRDefault="00BE5A5C" w:rsidP="00BE5A5C">
            <w:pPr>
              <w:jc w:val="center"/>
              <w:rPr>
                <w:lang w:val="en-IN"/>
              </w:rPr>
            </w:pPr>
            <w:r w:rsidRPr="00BE5A5C">
              <w:rPr>
                <w:lang w:val="en-IN"/>
              </w:rPr>
              <w:t>○</w:t>
            </w:r>
          </w:p>
        </w:tc>
        <w:tc>
          <w:tcPr>
            <w:tcW w:w="0" w:type="auto"/>
            <w:hideMark/>
          </w:tcPr>
          <w:p w14:paraId="25EE1444" w14:textId="77777777" w:rsidR="00BE5A5C" w:rsidRPr="00BE5A5C" w:rsidRDefault="00BE5A5C" w:rsidP="00BE5A5C">
            <w:pPr>
              <w:jc w:val="center"/>
              <w:rPr>
                <w:lang w:val="en-IN"/>
              </w:rPr>
            </w:pPr>
            <w:r w:rsidRPr="00BE5A5C">
              <w:rPr>
                <w:lang w:val="en-IN"/>
              </w:rPr>
              <w:t>○</w:t>
            </w:r>
          </w:p>
        </w:tc>
        <w:tc>
          <w:tcPr>
            <w:tcW w:w="0" w:type="auto"/>
            <w:hideMark/>
          </w:tcPr>
          <w:p w14:paraId="398C2ED9" w14:textId="77777777" w:rsidR="00BE5A5C" w:rsidRPr="00BE5A5C" w:rsidRDefault="00BE5A5C" w:rsidP="00BE5A5C">
            <w:pPr>
              <w:jc w:val="center"/>
              <w:rPr>
                <w:lang w:val="en-IN"/>
              </w:rPr>
            </w:pPr>
            <w:r w:rsidRPr="00BE5A5C">
              <w:rPr>
                <w:lang w:val="en-IN"/>
              </w:rPr>
              <w:t>○</w:t>
            </w:r>
          </w:p>
        </w:tc>
        <w:tc>
          <w:tcPr>
            <w:tcW w:w="0" w:type="auto"/>
            <w:hideMark/>
          </w:tcPr>
          <w:p w14:paraId="51EE12DF" w14:textId="77777777" w:rsidR="00BE5A5C" w:rsidRPr="00BE5A5C" w:rsidRDefault="00BE5A5C" w:rsidP="00BE5A5C">
            <w:pPr>
              <w:jc w:val="center"/>
              <w:rPr>
                <w:lang w:val="en-IN"/>
              </w:rPr>
            </w:pPr>
            <w:r w:rsidRPr="00BE5A5C">
              <w:rPr>
                <w:lang w:val="en-IN"/>
              </w:rPr>
              <w:t>○</w:t>
            </w:r>
          </w:p>
        </w:tc>
        <w:tc>
          <w:tcPr>
            <w:tcW w:w="0" w:type="auto"/>
            <w:hideMark/>
          </w:tcPr>
          <w:p w14:paraId="3556DF43" w14:textId="77777777" w:rsidR="00BE5A5C" w:rsidRPr="00BE5A5C" w:rsidRDefault="00BE5A5C" w:rsidP="00BE5A5C">
            <w:pPr>
              <w:jc w:val="center"/>
              <w:rPr>
                <w:lang w:val="en-IN"/>
              </w:rPr>
            </w:pPr>
            <w:r w:rsidRPr="00BE5A5C">
              <w:rPr>
                <w:lang w:val="en-IN"/>
              </w:rPr>
              <w:t>○</w:t>
            </w:r>
          </w:p>
        </w:tc>
      </w:tr>
    </w:tbl>
    <w:p w14:paraId="3A967E18" w14:textId="77777777" w:rsidR="00BE5A5C" w:rsidRPr="00BE5A5C" w:rsidRDefault="00BE5A5C" w:rsidP="00BE5A5C">
      <w:pPr>
        <w:rPr>
          <w:lang w:val="en-US"/>
        </w:rPr>
      </w:pPr>
    </w:p>
    <w:p w14:paraId="3A703244" w14:textId="77777777" w:rsidR="00BE5A5C" w:rsidRDefault="00BE5A5C" w:rsidP="00231115">
      <w:pPr>
        <w:rPr>
          <w:b/>
          <w:bCs/>
          <w:lang w:val="en-US"/>
        </w:rPr>
      </w:pPr>
      <w:r w:rsidRPr="00BE5A5C">
        <w:rPr>
          <w:b/>
          <w:bCs/>
          <w:lang w:val="en-US"/>
        </w:rPr>
        <w:t>Brand Reputation and Brand Image</w:t>
      </w:r>
    </w:p>
    <w:tbl>
      <w:tblPr>
        <w:tblStyle w:val="TableGrid"/>
        <w:tblW w:w="0" w:type="auto"/>
        <w:tblLook w:val="04A0" w:firstRow="1" w:lastRow="0" w:firstColumn="1" w:lastColumn="0" w:noHBand="0" w:noVBand="1"/>
      </w:tblPr>
      <w:tblGrid>
        <w:gridCol w:w="3314"/>
        <w:gridCol w:w="1352"/>
        <w:gridCol w:w="1151"/>
        <w:gridCol w:w="1045"/>
        <w:gridCol w:w="871"/>
        <w:gridCol w:w="1283"/>
      </w:tblGrid>
      <w:tr w:rsidR="00BE5A5C" w:rsidRPr="00BE5A5C" w14:paraId="5A950BF7" w14:textId="77777777" w:rsidTr="00BE5A5C">
        <w:tc>
          <w:tcPr>
            <w:tcW w:w="0" w:type="auto"/>
            <w:hideMark/>
          </w:tcPr>
          <w:p w14:paraId="7D45227B" w14:textId="77777777" w:rsidR="00BE5A5C" w:rsidRPr="00BE5A5C" w:rsidRDefault="00BE5A5C" w:rsidP="00BE5A5C">
            <w:pPr>
              <w:jc w:val="center"/>
              <w:rPr>
                <w:b/>
                <w:bCs/>
                <w:lang w:val="en-IN"/>
              </w:rPr>
            </w:pPr>
            <w:r w:rsidRPr="00BE5A5C">
              <w:rPr>
                <w:b/>
                <w:bCs/>
                <w:lang w:val="en-IN"/>
              </w:rPr>
              <w:t>Statement</w:t>
            </w:r>
          </w:p>
        </w:tc>
        <w:tc>
          <w:tcPr>
            <w:tcW w:w="0" w:type="auto"/>
            <w:hideMark/>
          </w:tcPr>
          <w:p w14:paraId="6048C955" w14:textId="77777777" w:rsidR="00BE5A5C" w:rsidRPr="00BE5A5C" w:rsidRDefault="00BE5A5C" w:rsidP="00BE5A5C">
            <w:pPr>
              <w:jc w:val="center"/>
              <w:rPr>
                <w:b/>
                <w:bCs/>
                <w:lang w:val="en-IN"/>
              </w:rPr>
            </w:pPr>
            <w:r w:rsidRPr="00BE5A5C">
              <w:rPr>
                <w:b/>
                <w:bCs/>
                <w:lang w:val="en-IN"/>
              </w:rPr>
              <w:t>1 Strongly disagree</w:t>
            </w:r>
          </w:p>
        </w:tc>
        <w:tc>
          <w:tcPr>
            <w:tcW w:w="0" w:type="auto"/>
            <w:hideMark/>
          </w:tcPr>
          <w:p w14:paraId="6360BD6F" w14:textId="77777777" w:rsidR="00BE5A5C" w:rsidRPr="00BE5A5C" w:rsidRDefault="00BE5A5C" w:rsidP="00BE5A5C">
            <w:pPr>
              <w:jc w:val="center"/>
              <w:rPr>
                <w:b/>
                <w:bCs/>
                <w:lang w:val="en-IN"/>
              </w:rPr>
            </w:pPr>
            <w:r w:rsidRPr="00BE5A5C">
              <w:rPr>
                <w:b/>
                <w:bCs/>
                <w:lang w:val="en-IN"/>
              </w:rPr>
              <w:t>2 Disagree</w:t>
            </w:r>
          </w:p>
        </w:tc>
        <w:tc>
          <w:tcPr>
            <w:tcW w:w="0" w:type="auto"/>
            <w:hideMark/>
          </w:tcPr>
          <w:p w14:paraId="11503952" w14:textId="77777777" w:rsidR="00BE5A5C" w:rsidRPr="00BE5A5C" w:rsidRDefault="00BE5A5C" w:rsidP="00BE5A5C">
            <w:pPr>
              <w:jc w:val="center"/>
              <w:rPr>
                <w:b/>
                <w:bCs/>
                <w:lang w:val="en-IN"/>
              </w:rPr>
            </w:pPr>
            <w:r w:rsidRPr="00BE5A5C">
              <w:rPr>
                <w:b/>
                <w:bCs/>
                <w:lang w:val="en-IN"/>
              </w:rPr>
              <w:t>3 Neutral</w:t>
            </w:r>
          </w:p>
        </w:tc>
        <w:tc>
          <w:tcPr>
            <w:tcW w:w="0" w:type="auto"/>
            <w:hideMark/>
          </w:tcPr>
          <w:p w14:paraId="4DB3CB24" w14:textId="77777777" w:rsidR="00BE5A5C" w:rsidRPr="00BE5A5C" w:rsidRDefault="00BE5A5C" w:rsidP="00BE5A5C">
            <w:pPr>
              <w:jc w:val="center"/>
              <w:rPr>
                <w:b/>
                <w:bCs/>
                <w:lang w:val="en-IN"/>
              </w:rPr>
            </w:pPr>
            <w:r w:rsidRPr="00BE5A5C">
              <w:rPr>
                <w:b/>
                <w:bCs/>
                <w:lang w:val="en-IN"/>
              </w:rPr>
              <w:t>4 Agree</w:t>
            </w:r>
          </w:p>
        </w:tc>
        <w:tc>
          <w:tcPr>
            <w:tcW w:w="0" w:type="auto"/>
            <w:hideMark/>
          </w:tcPr>
          <w:p w14:paraId="05850171" w14:textId="77777777" w:rsidR="00BE5A5C" w:rsidRPr="00BE5A5C" w:rsidRDefault="00BE5A5C" w:rsidP="00BE5A5C">
            <w:pPr>
              <w:jc w:val="center"/>
              <w:rPr>
                <w:b/>
                <w:bCs/>
                <w:lang w:val="en-IN"/>
              </w:rPr>
            </w:pPr>
            <w:r w:rsidRPr="00BE5A5C">
              <w:rPr>
                <w:b/>
                <w:bCs/>
                <w:lang w:val="en-IN"/>
              </w:rPr>
              <w:t>5 Strongly agree</w:t>
            </w:r>
          </w:p>
        </w:tc>
      </w:tr>
      <w:tr w:rsidR="00BE5A5C" w:rsidRPr="00BE5A5C" w14:paraId="51ADEDB7" w14:textId="77777777" w:rsidTr="00BE5A5C">
        <w:tc>
          <w:tcPr>
            <w:tcW w:w="0" w:type="auto"/>
            <w:hideMark/>
          </w:tcPr>
          <w:p w14:paraId="22F8DA40" w14:textId="77777777" w:rsidR="00BE5A5C" w:rsidRPr="00BE5A5C" w:rsidRDefault="00BE5A5C" w:rsidP="00BE5A5C">
            <w:pPr>
              <w:jc w:val="left"/>
              <w:rPr>
                <w:lang w:val="en-IN"/>
              </w:rPr>
            </w:pPr>
            <w:r w:rsidRPr="00BE5A5C">
              <w:rPr>
                <w:lang w:val="en-IN"/>
              </w:rPr>
              <w:t>Effective use of AI tools improves a healthcare provider’s reputation.</w:t>
            </w:r>
          </w:p>
        </w:tc>
        <w:tc>
          <w:tcPr>
            <w:tcW w:w="0" w:type="auto"/>
            <w:hideMark/>
          </w:tcPr>
          <w:p w14:paraId="3FD982B8" w14:textId="77777777" w:rsidR="00BE5A5C" w:rsidRPr="00BE5A5C" w:rsidRDefault="00BE5A5C" w:rsidP="00BE5A5C">
            <w:pPr>
              <w:jc w:val="center"/>
              <w:rPr>
                <w:lang w:val="en-IN"/>
              </w:rPr>
            </w:pPr>
            <w:r w:rsidRPr="00BE5A5C">
              <w:rPr>
                <w:lang w:val="en-IN"/>
              </w:rPr>
              <w:t>○</w:t>
            </w:r>
          </w:p>
        </w:tc>
        <w:tc>
          <w:tcPr>
            <w:tcW w:w="0" w:type="auto"/>
            <w:hideMark/>
          </w:tcPr>
          <w:p w14:paraId="1678B2E6" w14:textId="77777777" w:rsidR="00BE5A5C" w:rsidRPr="00BE5A5C" w:rsidRDefault="00BE5A5C" w:rsidP="00BE5A5C">
            <w:pPr>
              <w:jc w:val="center"/>
              <w:rPr>
                <w:lang w:val="en-IN"/>
              </w:rPr>
            </w:pPr>
            <w:r w:rsidRPr="00BE5A5C">
              <w:rPr>
                <w:lang w:val="en-IN"/>
              </w:rPr>
              <w:t>○</w:t>
            </w:r>
          </w:p>
        </w:tc>
        <w:tc>
          <w:tcPr>
            <w:tcW w:w="0" w:type="auto"/>
            <w:hideMark/>
          </w:tcPr>
          <w:p w14:paraId="2F73E42B" w14:textId="77777777" w:rsidR="00BE5A5C" w:rsidRPr="00BE5A5C" w:rsidRDefault="00BE5A5C" w:rsidP="00BE5A5C">
            <w:pPr>
              <w:jc w:val="center"/>
              <w:rPr>
                <w:lang w:val="en-IN"/>
              </w:rPr>
            </w:pPr>
            <w:r w:rsidRPr="00BE5A5C">
              <w:rPr>
                <w:lang w:val="en-IN"/>
              </w:rPr>
              <w:t>○</w:t>
            </w:r>
          </w:p>
        </w:tc>
        <w:tc>
          <w:tcPr>
            <w:tcW w:w="0" w:type="auto"/>
            <w:hideMark/>
          </w:tcPr>
          <w:p w14:paraId="0C050B75" w14:textId="77777777" w:rsidR="00BE5A5C" w:rsidRPr="00BE5A5C" w:rsidRDefault="00BE5A5C" w:rsidP="00BE5A5C">
            <w:pPr>
              <w:jc w:val="center"/>
              <w:rPr>
                <w:lang w:val="en-IN"/>
              </w:rPr>
            </w:pPr>
            <w:r w:rsidRPr="00BE5A5C">
              <w:rPr>
                <w:lang w:val="en-IN"/>
              </w:rPr>
              <w:t>○</w:t>
            </w:r>
          </w:p>
        </w:tc>
        <w:tc>
          <w:tcPr>
            <w:tcW w:w="0" w:type="auto"/>
            <w:hideMark/>
          </w:tcPr>
          <w:p w14:paraId="38954612" w14:textId="77777777" w:rsidR="00BE5A5C" w:rsidRPr="00BE5A5C" w:rsidRDefault="00BE5A5C" w:rsidP="00BE5A5C">
            <w:pPr>
              <w:jc w:val="center"/>
              <w:rPr>
                <w:lang w:val="en-IN"/>
              </w:rPr>
            </w:pPr>
            <w:r w:rsidRPr="00BE5A5C">
              <w:rPr>
                <w:lang w:val="en-IN"/>
              </w:rPr>
              <w:t>○</w:t>
            </w:r>
          </w:p>
        </w:tc>
      </w:tr>
      <w:tr w:rsidR="00BE5A5C" w:rsidRPr="00BE5A5C" w14:paraId="69A07E5B" w14:textId="77777777" w:rsidTr="00BE5A5C">
        <w:tc>
          <w:tcPr>
            <w:tcW w:w="0" w:type="auto"/>
            <w:hideMark/>
          </w:tcPr>
          <w:p w14:paraId="188562C5" w14:textId="77777777" w:rsidR="00BE5A5C" w:rsidRPr="00BE5A5C" w:rsidRDefault="00BE5A5C" w:rsidP="00BE5A5C">
            <w:pPr>
              <w:jc w:val="left"/>
              <w:rPr>
                <w:lang w:val="en-IN"/>
              </w:rPr>
            </w:pPr>
            <w:r w:rsidRPr="00BE5A5C">
              <w:rPr>
                <w:lang w:val="en-IN"/>
              </w:rPr>
              <w:t>Responsible use of AI creates a positive image of a healthcare provider.</w:t>
            </w:r>
          </w:p>
        </w:tc>
        <w:tc>
          <w:tcPr>
            <w:tcW w:w="0" w:type="auto"/>
            <w:hideMark/>
          </w:tcPr>
          <w:p w14:paraId="502AD883" w14:textId="77777777" w:rsidR="00BE5A5C" w:rsidRPr="00BE5A5C" w:rsidRDefault="00BE5A5C" w:rsidP="00BE5A5C">
            <w:pPr>
              <w:jc w:val="center"/>
              <w:rPr>
                <w:lang w:val="en-IN"/>
              </w:rPr>
            </w:pPr>
            <w:r w:rsidRPr="00BE5A5C">
              <w:rPr>
                <w:lang w:val="en-IN"/>
              </w:rPr>
              <w:t>○</w:t>
            </w:r>
          </w:p>
        </w:tc>
        <w:tc>
          <w:tcPr>
            <w:tcW w:w="0" w:type="auto"/>
            <w:hideMark/>
          </w:tcPr>
          <w:p w14:paraId="16C0F53B" w14:textId="77777777" w:rsidR="00BE5A5C" w:rsidRPr="00BE5A5C" w:rsidRDefault="00BE5A5C" w:rsidP="00BE5A5C">
            <w:pPr>
              <w:jc w:val="center"/>
              <w:rPr>
                <w:lang w:val="en-IN"/>
              </w:rPr>
            </w:pPr>
            <w:r w:rsidRPr="00BE5A5C">
              <w:rPr>
                <w:lang w:val="en-IN"/>
              </w:rPr>
              <w:t>○</w:t>
            </w:r>
          </w:p>
        </w:tc>
        <w:tc>
          <w:tcPr>
            <w:tcW w:w="0" w:type="auto"/>
            <w:hideMark/>
          </w:tcPr>
          <w:p w14:paraId="038C9188" w14:textId="77777777" w:rsidR="00BE5A5C" w:rsidRPr="00BE5A5C" w:rsidRDefault="00BE5A5C" w:rsidP="00BE5A5C">
            <w:pPr>
              <w:jc w:val="center"/>
              <w:rPr>
                <w:lang w:val="en-IN"/>
              </w:rPr>
            </w:pPr>
            <w:r w:rsidRPr="00BE5A5C">
              <w:rPr>
                <w:lang w:val="en-IN"/>
              </w:rPr>
              <w:t>○</w:t>
            </w:r>
          </w:p>
        </w:tc>
        <w:tc>
          <w:tcPr>
            <w:tcW w:w="0" w:type="auto"/>
            <w:hideMark/>
          </w:tcPr>
          <w:p w14:paraId="42B7D19E" w14:textId="77777777" w:rsidR="00BE5A5C" w:rsidRPr="00BE5A5C" w:rsidRDefault="00BE5A5C" w:rsidP="00BE5A5C">
            <w:pPr>
              <w:jc w:val="center"/>
              <w:rPr>
                <w:lang w:val="en-IN"/>
              </w:rPr>
            </w:pPr>
            <w:r w:rsidRPr="00BE5A5C">
              <w:rPr>
                <w:lang w:val="en-IN"/>
              </w:rPr>
              <w:t>○</w:t>
            </w:r>
          </w:p>
        </w:tc>
        <w:tc>
          <w:tcPr>
            <w:tcW w:w="0" w:type="auto"/>
            <w:hideMark/>
          </w:tcPr>
          <w:p w14:paraId="20F1719E" w14:textId="77777777" w:rsidR="00BE5A5C" w:rsidRPr="00BE5A5C" w:rsidRDefault="00BE5A5C" w:rsidP="00BE5A5C">
            <w:pPr>
              <w:jc w:val="center"/>
              <w:rPr>
                <w:lang w:val="en-IN"/>
              </w:rPr>
            </w:pPr>
            <w:r w:rsidRPr="00BE5A5C">
              <w:rPr>
                <w:lang w:val="en-IN"/>
              </w:rPr>
              <w:t>○</w:t>
            </w:r>
          </w:p>
        </w:tc>
      </w:tr>
      <w:tr w:rsidR="00BE5A5C" w:rsidRPr="00BE5A5C" w14:paraId="5779EBDD" w14:textId="77777777" w:rsidTr="00BE5A5C">
        <w:tc>
          <w:tcPr>
            <w:tcW w:w="0" w:type="auto"/>
            <w:hideMark/>
          </w:tcPr>
          <w:p w14:paraId="4D1C5F98" w14:textId="77777777" w:rsidR="00BE5A5C" w:rsidRPr="00BE5A5C" w:rsidRDefault="00BE5A5C" w:rsidP="00BE5A5C">
            <w:pPr>
              <w:jc w:val="left"/>
              <w:rPr>
                <w:lang w:val="en-IN"/>
              </w:rPr>
            </w:pPr>
            <w:r w:rsidRPr="00BE5A5C">
              <w:rPr>
                <w:lang w:val="en-IN"/>
              </w:rPr>
              <w:t>AI-supported services make a healthcare provider appear modern.</w:t>
            </w:r>
          </w:p>
        </w:tc>
        <w:tc>
          <w:tcPr>
            <w:tcW w:w="0" w:type="auto"/>
            <w:hideMark/>
          </w:tcPr>
          <w:p w14:paraId="548C31B2" w14:textId="77777777" w:rsidR="00BE5A5C" w:rsidRPr="00BE5A5C" w:rsidRDefault="00BE5A5C" w:rsidP="00BE5A5C">
            <w:pPr>
              <w:jc w:val="center"/>
              <w:rPr>
                <w:lang w:val="en-IN"/>
              </w:rPr>
            </w:pPr>
            <w:r w:rsidRPr="00BE5A5C">
              <w:rPr>
                <w:lang w:val="en-IN"/>
              </w:rPr>
              <w:t>○</w:t>
            </w:r>
          </w:p>
        </w:tc>
        <w:tc>
          <w:tcPr>
            <w:tcW w:w="0" w:type="auto"/>
            <w:hideMark/>
          </w:tcPr>
          <w:p w14:paraId="215B4D96" w14:textId="77777777" w:rsidR="00BE5A5C" w:rsidRPr="00BE5A5C" w:rsidRDefault="00BE5A5C" w:rsidP="00BE5A5C">
            <w:pPr>
              <w:jc w:val="center"/>
              <w:rPr>
                <w:lang w:val="en-IN"/>
              </w:rPr>
            </w:pPr>
            <w:r w:rsidRPr="00BE5A5C">
              <w:rPr>
                <w:lang w:val="en-IN"/>
              </w:rPr>
              <w:t>○</w:t>
            </w:r>
          </w:p>
        </w:tc>
        <w:tc>
          <w:tcPr>
            <w:tcW w:w="0" w:type="auto"/>
            <w:hideMark/>
          </w:tcPr>
          <w:p w14:paraId="46BC37C0" w14:textId="77777777" w:rsidR="00BE5A5C" w:rsidRPr="00BE5A5C" w:rsidRDefault="00BE5A5C" w:rsidP="00BE5A5C">
            <w:pPr>
              <w:jc w:val="center"/>
              <w:rPr>
                <w:lang w:val="en-IN"/>
              </w:rPr>
            </w:pPr>
            <w:r w:rsidRPr="00BE5A5C">
              <w:rPr>
                <w:lang w:val="en-IN"/>
              </w:rPr>
              <w:t>○</w:t>
            </w:r>
          </w:p>
        </w:tc>
        <w:tc>
          <w:tcPr>
            <w:tcW w:w="0" w:type="auto"/>
            <w:hideMark/>
          </w:tcPr>
          <w:p w14:paraId="3DB3ACCC" w14:textId="77777777" w:rsidR="00BE5A5C" w:rsidRPr="00BE5A5C" w:rsidRDefault="00BE5A5C" w:rsidP="00BE5A5C">
            <w:pPr>
              <w:jc w:val="center"/>
              <w:rPr>
                <w:lang w:val="en-IN"/>
              </w:rPr>
            </w:pPr>
            <w:r w:rsidRPr="00BE5A5C">
              <w:rPr>
                <w:lang w:val="en-IN"/>
              </w:rPr>
              <w:t>○</w:t>
            </w:r>
          </w:p>
        </w:tc>
        <w:tc>
          <w:tcPr>
            <w:tcW w:w="0" w:type="auto"/>
            <w:hideMark/>
          </w:tcPr>
          <w:p w14:paraId="30F8E51A" w14:textId="77777777" w:rsidR="00BE5A5C" w:rsidRPr="00BE5A5C" w:rsidRDefault="00BE5A5C" w:rsidP="00BE5A5C">
            <w:pPr>
              <w:jc w:val="center"/>
              <w:rPr>
                <w:lang w:val="en-IN"/>
              </w:rPr>
            </w:pPr>
            <w:r w:rsidRPr="00BE5A5C">
              <w:rPr>
                <w:lang w:val="en-IN"/>
              </w:rPr>
              <w:t>○</w:t>
            </w:r>
          </w:p>
        </w:tc>
      </w:tr>
      <w:tr w:rsidR="00BE5A5C" w:rsidRPr="00BE5A5C" w14:paraId="3E3C3EAB" w14:textId="77777777" w:rsidTr="00BE5A5C">
        <w:tc>
          <w:tcPr>
            <w:tcW w:w="0" w:type="auto"/>
            <w:hideMark/>
          </w:tcPr>
          <w:p w14:paraId="7B5A59D1" w14:textId="77777777" w:rsidR="00BE5A5C" w:rsidRPr="00BE5A5C" w:rsidRDefault="00BE5A5C" w:rsidP="00BE5A5C">
            <w:pPr>
              <w:jc w:val="left"/>
              <w:rPr>
                <w:lang w:val="en-IN"/>
              </w:rPr>
            </w:pPr>
            <w:r w:rsidRPr="00BE5A5C">
              <w:rPr>
                <w:lang w:val="en-IN"/>
              </w:rPr>
              <w:lastRenderedPageBreak/>
              <w:t>Reliable AI-supported services strengthen public perceptions of healthcare-provider competence.</w:t>
            </w:r>
          </w:p>
        </w:tc>
        <w:tc>
          <w:tcPr>
            <w:tcW w:w="0" w:type="auto"/>
            <w:hideMark/>
          </w:tcPr>
          <w:p w14:paraId="5434B3A4" w14:textId="77777777" w:rsidR="00BE5A5C" w:rsidRPr="00BE5A5C" w:rsidRDefault="00BE5A5C" w:rsidP="00BE5A5C">
            <w:pPr>
              <w:jc w:val="center"/>
              <w:rPr>
                <w:lang w:val="en-IN"/>
              </w:rPr>
            </w:pPr>
            <w:r w:rsidRPr="00BE5A5C">
              <w:rPr>
                <w:lang w:val="en-IN"/>
              </w:rPr>
              <w:t>○</w:t>
            </w:r>
          </w:p>
        </w:tc>
        <w:tc>
          <w:tcPr>
            <w:tcW w:w="0" w:type="auto"/>
            <w:hideMark/>
          </w:tcPr>
          <w:p w14:paraId="04DC7937" w14:textId="77777777" w:rsidR="00BE5A5C" w:rsidRPr="00BE5A5C" w:rsidRDefault="00BE5A5C" w:rsidP="00BE5A5C">
            <w:pPr>
              <w:jc w:val="center"/>
              <w:rPr>
                <w:lang w:val="en-IN"/>
              </w:rPr>
            </w:pPr>
            <w:r w:rsidRPr="00BE5A5C">
              <w:rPr>
                <w:lang w:val="en-IN"/>
              </w:rPr>
              <w:t>○</w:t>
            </w:r>
          </w:p>
        </w:tc>
        <w:tc>
          <w:tcPr>
            <w:tcW w:w="0" w:type="auto"/>
            <w:hideMark/>
          </w:tcPr>
          <w:p w14:paraId="1922F645" w14:textId="77777777" w:rsidR="00BE5A5C" w:rsidRPr="00BE5A5C" w:rsidRDefault="00BE5A5C" w:rsidP="00BE5A5C">
            <w:pPr>
              <w:jc w:val="center"/>
              <w:rPr>
                <w:lang w:val="en-IN"/>
              </w:rPr>
            </w:pPr>
            <w:r w:rsidRPr="00BE5A5C">
              <w:rPr>
                <w:lang w:val="en-IN"/>
              </w:rPr>
              <w:t>○</w:t>
            </w:r>
          </w:p>
        </w:tc>
        <w:tc>
          <w:tcPr>
            <w:tcW w:w="0" w:type="auto"/>
            <w:hideMark/>
          </w:tcPr>
          <w:p w14:paraId="6D4E6CE3" w14:textId="77777777" w:rsidR="00BE5A5C" w:rsidRPr="00BE5A5C" w:rsidRDefault="00BE5A5C" w:rsidP="00BE5A5C">
            <w:pPr>
              <w:jc w:val="center"/>
              <w:rPr>
                <w:lang w:val="en-IN"/>
              </w:rPr>
            </w:pPr>
            <w:r w:rsidRPr="00BE5A5C">
              <w:rPr>
                <w:lang w:val="en-IN"/>
              </w:rPr>
              <w:t>○</w:t>
            </w:r>
          </w:p>
        </w:tc>
        <w:tc>
          <w:tcPr>
            <w:tcW w:w="0" w:type="auto"/>
            <w:hideMark/>
          </w:tcPr>
          <w:p w14:paraId="74B426AA" w14:textId="77777777" w:rsidR="00BE5A5C" w:rsidRPr="00BE5A5C" w:rsidRDefault="00BE5A5C" w:rsidP="00BE5A5C">
            <w:pPr>
              <w:jc w:val="center"/>
              <w:rPr>
                <w:lang w:val="en-IN"/>
              </w:rPr>
            </w:pPr>
            <w:r w:rsidRPr="00BE5A5C">
              <w:rPr>
                <w:lang w:val="en-IN"/>
              </w:rPr>
              <w:t>○</w:t>
            </w:r>
          </w:p>
        </w:tc>
      </w:tr>
      <w:tr w:rsidR="00BE5A5C" w:rsidRPr="00BE5A5C" w14:paraId="0F93FC47" w14:textId="77777777" w:rsidTr="00BE5A5C">
        <w:tc>
          <w:tcPr>
            <w:tcW w:w="0" w:type="auto"/>
            <w:hideMark/>
          </w:tcPr>
          <w:p w14:paraId="283D0A27" w14:textId="77777777" w:rsidR="00BE5A5C" w:rsidRPr="00BE5A5C" w:rsidRDefault="00BE5A5C" w:rsidP="00BE5A5C">
            <w:pPr>
              <w:jc w:val="left"/>
              <w:rPr>
                <w:lang w:val="en-IN"/>
              </w:rPr>
            </w:pPr>
            <w:r w:rsidRPr="00BE5A5C">
              <w:rPr>
                <w:lang w:val="en-IN"/>
              </w:rPr>
              <w:t>Poorly managed AI tools can damage a healthcare provider’s public image.</w:t>
            </w:r>
          </w:p>
        </w:tc>
        <w:tc>
          <w:tcPr>
            <w:tcW w:w="0" w:type="auto"/>
            <w:hideMark/>
          </w:tcPr>
          <w:p w14:paraId="48BB4073" w14:textId="77777777" w:rsidR="00BE5A5C" w:rsidRPr="00BE5A5C" w:rsidRDefault="00BE5A5C" w:rsidP="00BE5A5C">
            <w:pPr>
              <w:jc w:val="center"/>
              <w:rPr>
                <w:lang w:val="en-IN"/>
              </w:rPr>
            </w:pPr>
            <w:r w:rsidRPr="00BE5A5C">
              <w:rPr>
                <w:lang w:val="en-IN"/>
              </w:rPr>
              <w:t>○</w:t>
            </w:r>
          </w:p>
        </w:tc>
        <w:tc>
          <w:tcPr>
            <w:tcW w:w="0" w:type="auto"/>
            <w:hideMark/>
          </w:tcPr>
          <w:p w14:paraId="52A46427" w14:textId="77777777" w:rsidR="00BE5A5C" w:rsidRPr="00BE5A5C" w:rsidRDefault="00BE5A5C" w:rsidP="00BE5A5C">
            <w:pPr>
              <w:jc w:val="center"/>
              <w:rPr>
                <w:lang w:val="en-IN"/>
              </w:rPr>
            </w:pPr>
            <w:r w:rsidRPr="00BE5A5C">
              <w:rPr>
                <w:lang w:val="en-IN"/>
              </w:rPr>
              <w:t>○</w:t>
            </w:r>
          </w:p>
        </w:tc>
        <w:tc>
          <w:tcPr>
            <w:tcW w:w="0" w:type="auto"/>
            <w:hideMark/>
          </w:tcPr>
          <w:p w14:paraId="07A306FC" w14:textId="77777777" w:rsidR="00BE5A5C" w:rsidRPr="00BE5A5C" w:rsidRDefault="00BE5A5C" w:rsidP="00BE5A5C">
            <w:pPr>
              <w:jc w:val="center"/>
              <w:rPr>
                <w:lang w:val="en-IN"/>
              </w:rPr>
            </w:pPr>
            <w:r w:rsidRPr="00BE5A5C">
              <w:rPr>
                <w:lang w:val="en-IN"/>
              </w:rPr>
              <w:t>○</w:t>
            </w:r>
          </w:p>
        </w:tc>
        <w:tc>
          <w:tcPr>
            <w:tcW w:w="0" w:type="auto"/>
            <w:hideMark/>
          </w:tcPr>
          <w:p w14:paraId="144FAAB8" w14:textId="77777777" w:rsidR="00BE5A5C" w:rsidRPr="00BE5A5C" w:rsidRDefault="00BE5A5C" w:rsidP="00BE5A5C">
            <w:pPr>
              <w:jc w:val="center"/>
              <w:rPr>
                <w:lang w:val="en-IN"/>
              </w:rPr>
            </w:pPr>
            <w:r w:rsidRPr="00BE5A5C">
              <w:rPr>
                <w:lang w:val="en-IN"/>
              </w:rPr>
              <w:t>○</w:t>
            </w:r>
          </w:p>
        </w:tc>
        <w:tc>
          <w:tcPr>
            <w:tcW w:w="0" w:type="auto"/>
            <w:hideMark/>
          </w:tcPr>
          <w:p w14:paraId="4F551F06" w14:textId="77777777" w:rsidR="00BE5A5C" w:rsidRPr="00BE5A5C" w:rsidRDefault="00BE5A5C" w:rsidP="00BE5A5C">
            <w:pPr>
              <w:jc w:val="center"/>
              <w:rPr>
                <w:lang w:val="en-IN"/>
              </w:rPr>
            </w:pPr>
            <w:r w:rsidRPr="00BE5A5C">
              <w:rPr>
                <w:lang w:val="en-IN"/>
              </w:rPr>
              <w:t>○</w:t>
            </w:r>
          </w:p>
        </w:tc>
      </w:tr>
    </w:tbl>
    <w:p w14:paraId="3B41F421" w14:textId="77777777" w:rsidR="00BE5A5C" w:rsidRPr="00BE5A5C" w:rsidRDefault="00BE5A5C" w:rsidP="00BE5A5C">
      <w:pPr>
        <w:rPr>
          <w:lang w:val="en-US"/>
        </w:rPr>
      </w:pPr>
    </w:p>
    <w:p w14:paraId="6C3F62A3" w14:textId="77777777" w:rsidR="00BE5A5C" w:rsidRDefault="00BE5A5C" w:rsidP="00231115">
      <w:pPr>
        <w:rPr>
          <w:b/>
          <w:bCs/>
          <w:lang w:val="en-US"/>
        </w:rPr>
      </w:pPr>
      <w:r w:rsidRPr="00BE5A5C">
        <w:rPr>
          <w:b/>
          <w:bCs/>
          <w:lang w:val="en-US"/>
        </w:rPr>
        <w:t>Patient Loyalty and Consumer Loyalty</w:t>
      </w:r>
    </w:p>
    <w:tbl>
      <w:tblPr>
        <w:tblStyle w:val="TableGrid"/>
        <w:tblW w:w="0" w:type="auto"/>
        <w:tblLook w:val="04A0" w:firstRow="1" w:lastRow="0" w:firstColumn="1" w:lastColumn="0" w:noHBand="0" w:noVBand="1"/>
      </w:tblPr>
      <w:tblGrid>
        <w:gridCol w:w="3606"/>
        <w:gridCol w:w="1272"/>
        <w:gridCol w:w="1109"/>
        <w:gridCol w:w="976"/>
        <w:gridCol w:w="843"/>
        <w:gridCol w:w="1210"/>
      </w:tblGrid>
      <w:tr w:rsidR="00BE5A5C" w:rsidRPr="00BE5A5C" w14:paraId="2945098D" w14:textId="77777777" w:rsidTr="00BE5A5C">
        <w:tc>
          <w:tcPr>
            <w:tcW w:w="0" w:type="auto"/>
            <w:hideMark/>
          </w:tcPr>
          <w:p w14:paraId="56B80073" w14:textId="77777777" w:rsidR="00BE5A5C" w:rsidRPr="00BE5A5C" w:rsidRDefault="00BE5A5C" w:rsidP="00BE5A5C">
            <w:pPr>
              <w:rPr>
                <w:lang w:val="en-IN"/>
              </w:rPr>
            </w:pPr>
            <w:r w:rsidRPr="00BE5A5C">
              <w:rPr>
                <w:lang w:val="en-IN"/>
              </w:rPr>
              <w:t>Statement</w:t>
            </w:r>
          </w:p>
        </w:tc>
        <w:tc>
          <w:tcPr>
            <w:tcW w:w="0" w:type="auto"/>
            <w:hideMark/>
          </w:tcPr>
          <w:p w14:paraId="6BF611B8" w14:textId="77777777" w:rsidR="00BE5A5C" w:rsidRPr="00BE5A5C" w:rsidRDefault="00BE5A5C" w:rsidP="00BE5A5C">
            <w:pPr>
              <w:rPr>
                <w:lang w:val="en-IN"/>
              </w:rPr>
            </w:pPr>
            <w:r w:rsidRPr="00BE5A5C">
              <w:rPr>
                <w:lang w:val="en-IN"/>
              </w:rPr>
              <w:t>1 Strongly disagree</w:t>
            </w:r>
          </w:p>
        </w:tc>
        <w:tc>
          <w:tcPr>
            <w:tcW w:w="0" w:type="auto"/>
            <w:hideMark/>
          </w:tcPr>
          <w:p w14:paraId="5A12A6CB" w14:textId="77777777" w:rsidR="00BE5A5C" w:rsidRPr="00BE5A5C" w:rsidRDefault="00BE5A5C" w:rsidP="00BE5A5C">
            <w:pPr>
              <w:rPr>
                <w:lang w:val="en-IN"/>
              </w:rPr>
            </w:pPr>
            <w:r w:rsidRPr="00BE5A5C">
              <w:rPr>
                <w:lang w:val="en-IN"/>
              </w:rPr>
              <w:t>2 Disagree</w:t>
            </w:r>
          </w:p>
        </w:tc>
        <w:tc>
          <w:tcPr>
            <w:tcW w:w="0" w:type="auto"/>
            <w:hideMark/>
          </w:tcPr>
          <w:p w14:paraId="1895A9C4" w14:textId="77777777" w:rsidR="00BE5A5C" w:rsidRPr="00BE5A5C" w:rsidRDefault="00BE5A5C" w:rsidP="00BE5A5C">
            <w:pPr>
              <w:rPr>
                <w:lang w:val="en-IN"/>
              </w:rPr>
            </w:pPr>
            <w:r w:rsidRPr="00BE5A5C">
              <w:rPr>
                <w:lang w:val="en-IN"/>
              </w:rPr>
              <w:t>3 Neutral</w:t>
            </w:r>
          </w:p>
        </w:tc>
        <w:tc>
          <w:tcPr>
            <w:tcW w:w="0" w:type="auto"/>
            <w:hideMark/>
          </w:tcPr>
          <w:p w14:paraId="409E8CE2" w14:textId="77777777" w:rsidR="00BE5A5C" w:rsidRPr="00BE5A5C" w:rsidRDefault="00BE5A5C" w:rsidP="00BE5A5C">
            <w:pPr>
              <w:rPr>
                <w:lang w:val="en-IN"/>
              </w:rPr>
            </w:pPr>
            <w:r w:rsidRPr="00BE5A5C">
              <w:rPr>
                <w:lang w:val="en-IN"/>
              </w:rPr>
              <w:t>4 Agree</w:t>
            </w:r>
          </w:p>
        </w:tc>
        <w:tc>
          <w:tcPr>
            <w:tcW w:w="0" w:type="auto"/>
            <w:hideMark/>
          </w:tcPr>
          <w:p w14:paraId="1D8F9B49" w14:textId="77777777" w:rsidR="00BE5A5C" w:rsidRPr="00BE5A5C" w:rsidRDefault="00BE5A5C" w:rsidP="00BE5A5C">
            <w:pPr>
              <w:rPr>
                <w:lang w:val="en-IN"/>
              </w:rPr>
            </w:pPr>
            <w:r w:rsidRPr="00BE5A5C">
              <w:rPr>
                <w:lang w:val="en-IN"/>
              </w:rPr>
              <w:t>5 Strongly agree</w:t>
            </w:r>
          </w:p>
        </w:tc>
      </w:tr>
      <w:tr w:rsidR="00BE5A5C" w:rsidRPr="00BE5A5C" w14:paraId="1B831F2E" w14:textId="77777777" w:rsidTr="00BE5A5C">
        <w:tc>
          <w:tcPr>
            <w:tcW w:w="0" w:type="auto"/>
            <w:hideMark/>
          </w:tcPr>
          <w:p w14:paraId="588C2B61" w14:textId="77777777" w:rsidR="00BE5A5C" w:rsidRPr="00BE5A5C" w:rsidRDefault="00BE5A5C" w:rsidP="00BE5A5C">
            <w:pPr>
              <w:rPr>
                <w:lang w:val="en-IN"/>
              </w:rPr>
            </w:pPr>
            <w:r w:rsidRPr="00BE5A5C">
              <w:rPr>
                <w:lang w:val="en-IN"/>
              </w:rPr>
              <w:t>Positive AI-supported healthcare experiences encourage consumers to continue using the same provider.</w:t>
            </w:r>
          </w:p>
        </w:tc>
        <w:tc>
          <w:tcPr>
            <w:tcW w:w="0" w:type="auto"/>
            <w:hideMark/>
          </w:tcPr>
          <w:p w14:paraId="14691B2E" w14:textId="77777777" w:rsidR="00BE5A5C" w:rsidRPr="00BE5A5C" w:rsidRDefault="00BE5A5C" w:rsidP="00BE5A5C">
            <w:pPr>
              <w:rPr>
                <w:lang w:val="en-IN"/>
              </w:rPr>
            </w:pPr>
            <w:r w:rsidRPr="00BE5A5C">
              <w:rPr>
                <w:lang w:val="en-IN"/>
              </w:rPr>
              <w:t>○</w:t>
            </w:r>
          </w:p>
        </w:tc>
        <w:tc>
          <w:tcPr>
            <w:tcW w:w="0" w:type="auto"/>
            <w:hideMark/>
          </w:tcPr>
          <w:p w14:paraId="1F447F9E" w14:textId="77777777" w:rsidR="00BE5A5C" w:rsidRPr="00BE5A5C" w:rsidRDefault="00BE5A5C" w:rsidP="00BE5A5C">
            <w:pPr>
              <w:rPr>
                <w:lang w:val="en-IN"/>
              </w:rPr>
            </w:pPr>
            <w:r w:rsidRPr="00BE5A5C">
              <w:rPr>
                <w:lang w:val="en-IN"/>
              </w:rPr>
              <w:t>○</w:t>
            </w:r>
          </w:p>
        </w:tc>
        <w:tc>
          <w:tcPr>
            <w:tcW w:w="0" w:type="auto"/>
            <w:hideMark/>
          </w:tcPr>
          <w:p w14:paraId="21E083F4" w14:textId="77777777" w:rsidR="00BE5A5C" w:rsidRPr="00BE5A5C" w:rsidRDefault="00BE5A5C" w:rsidP="00BE5A5C">
            <w:pPr>
              <w:rPr>
                <w:lang w:val="en-IN"/>
              </w:rPr>
            </w:pPr>
            <w:r w:rsidRPr="00BE5A5C">
              <w:rPr>
                <w:lang w:val="en-IN"/>
              </w:rPr>
              <w:t>○</w:t>
            </w:r>
          </w:p>
        </w:tc>
        <w:tc>
          <w:tcPr>
            <w:tcW w:w="0" w:type="auto"/>
            <w:hideMark/>
          </w:tcPr>
          <w:p w14:paraId="3D32D9EB" w14:textId="77777777" w:rsidR="00BE5A5C" w:rsidRPr="00BE5A5C" w:rsidRDefault="00BE5A5C" w:rsidP="00BE5A5C">
            <w:pPr>
              <w:rPr>
                <w:lang w:val="en-IN"/>
              </w:rPr>
            </w:pPr>
            <w:r w:rsidRPr="00BE5A5C">
              <w:rPr>
                <w:lang w:val="en-IN"/>
              </w:rPr>
              <w:t>○</w:t>
            </w:r>
          </w:p>
        </w:tc>
        <w:tc>
          <w:tcPr>
            <w:tcW w:w="0" w:type="auto"/>
            <w:hideMark/>
          </w:tcPr>
          <w:p w14:paraId="62DEE1A3" w14:textId="77777777" w:rsidR="00BE5A5C" w:rsidRPr="00BE5A5C" w:rsidRDefault="00BE5A5C" w:rsidP="00BE5A5C">
            <w:pPr>
              <w:rPr>
                <w:lang w:val="en-IN"/>
              </w:rPr>
            </w:pPr>
            <w:r w:rsidRPr="00BE5A5C">
              <w:rPr>
                <w:lang w:val="en-IN"/>
              </w:rPr>
              <w:t>○</w:t>
            </w:r>
          </w:p>
        </w:tc>
      </w:tr>
      <w:tr w:rsidR="00BE5A5C" w:rsidRPr="00BE5A5C" w14:paraId="731A5AB7" w14:textId="77777777" w:rsidTr="00BE5A5C">
        <w:tc>
          <w:tcPr>
            <w:tcW w:w="0" w:type="auto"/>
            <w:hideMark/>
          </w:tcPr>
          <w:p w14:paraId="104FEFF2" w14:textId="77777777" w:rsidR="00BE5A5C" w:rsidRPr="00BE5A5C" w:rsidRDefault="00BE5A5C" w:rsidP="00BE5A5C">
            <w:pPr>
              <w:rPr>
                <w:lang w:val="en-IN"/>
              </w:rPr>
            </w:pPr>
            <w:r w:rsidRPr="00BE5A5C">
              <w:rPr>
                <w:lang w:val="en-IN"/>
              </w:rPr>
              <w:t>Reliable AI-supported services increase consumers’ preference for a healthcare provider.</w:t>
            </w:r>
          </w:p>
        </w:tc>
        <w:tc>
          <w:tcPr>
            <w:tcW w:w="0" w:type="auto"/>
            <w:hideMark/>
          </w:tcPr>
          <w:p w14:paraId="65B4CE49" w14:textId="77777777" w:rsidR="00BE5A5C" w:rsidRPr="00BE5A5C" w:rsidRDefault="00BE5A5C" w:rsidP="00BE5A5C">
            <w:pPr>
              <w:rPr>
                <w:lang w:val="en-IN"/>
              </w:rPr>
            </w:pPr>
            <w:r w:rsidRPr="00BE5A5C">
              <w:rPr>
                <w:lang w:val="en-IN"/>
              </w:rPr>
              <w:t>○</w:t>
            </w:r>
          </w:p>
        </w:tc>
        <w:tc>
          <w:tcPr>
            <w:tcW w:w="0" w:type="auto"/>
            <w:hideMark/>
          </w:tcPr>
          <w:p w14:paraId="645AA946" w14:textId="77777777" w:rsidR="00BE5A5C" w:rsidRPr="00BE5A5C" w:rsidRDefault="00BE5A5C" w:rsidP="00BE5A5C">
            <w:pPr>
              <w:rPr>
                <w:lang w:val="en-IN"/>
              </w:rPr>
            </w:pPr>
            <w:r w:rsidRPr="00BE5A5C">
              <w:rPr>
                <w:lang w:val="en-IN"/>
              </w:rPr>
              <w:t>○</w:t>
            </w:r>
          </w:p>
        </w:tc>
        <w:tc>
          <w:tcPr>
            <w:tcW w:w="0" w:type="auto"/>
            <w:hideMark/>
          </w:tcPr>
          <w:p w14:paraId="051CCBB5" w14:textId="77777777" w:rsidR="00BE5A5C" w:rsidRPr="00BE5A5C" w:rsidRDefault="00BE5A5C" w:rsidP="00BE5A5C">
            <w:pPr>
              <w:rPr>
                <w:lang w:val="en-IN"/>
              </w:rPr>
            </w:pPr>
            <w:r w:rsidRPr="00BE5A5C">
              <w:rPr>
                <w:lang w:val="en-IN"/>
              </w:rPr>
              <w:t>○</w:t>
            </w:r>
          </w:p>
        </w:tc>
        <w:tc>
          <w:tcPr>
            <w:tcW w:w="0" w:type="auto"/>
            <w:hideMark/>
          </w:tcPr>
          <w:p w14:paraId="3CBF9A19" w14:textId="77777777" w:rsidR="00BE5A5C" w:rsidRPr="00BE5A5C" w:rsidRDefault="00BE5A5C" w:rsidP="00BE5A5C">
            <w:pPr>
              <w:rPr>
                <w:lang w:val="en-IN"/>
              </w:rPr>
            </w:pPr>
            <w:r w:rsidRPr="00BE5A5C">
              <w:rPr>
                <w:lang w:val="en-IN"/>
              </w:rPr>
              <w:t>○</w:t>
            </w:r>
          </w:p>
        </w:tc>
        <w:tc>
          <w:tcPr>
            <w:tcW w:w="0" w:type="auto"/>
            <w:hideMark/>
          </w:tcPr>
          <w:p w14:paraId="1D878587" w14:textId="77777777" w:rsidR="00BE5A5C" w:rsidRPr="00BE5A5C" w:rsidRDefault="00BE5A5C" w:rsidP="00BE5A5C">
            <w:pPr>
              <w:rPr>
                <w:lang w:val="en-IN"/>
              </w:rPr>
            </w:pPr>
            <w:r w:rsidRPr="00BE5A5C">
              <w:rPr>
                <w:lang w:val="en-IN"/>
              </w:rPr>
              <w:t>○</w:t>
            </w:r>
          </w:p>
        </w:tc>
      </w:tr>
      <w:tr w:rsidR="00BE5A5C" w:rsidRPr="00BE5A5C" w14:paraId="2BD1E44F" w14:textId="77777777" w:rsidTr="00BE5A5C">
        <w:tc>
          <w:tcPr>
            <w:tcW w:w="0" w:type="auto"/>
            <w:hideMark/>
          </w:tcPr>
          <w:p w14:paraId="5517140B" w14:textId="77777777" w:rsidR="00BE5A5C" w:rsidRPr="00BE5A5C" w:rsidRDefault="00BE5A5C" w:rsidP="00BE5A5C">
            <w:pPr>
              <w:rPr>
                <w:lang w:val="en-IN"/>
              </w:rPr>
            </w:pPr>
            <w:r w:rsidRPr="00BE5A5C">
              <w:rPr>
                <w:lang w:val="en-IN"/>
              </w:rPr>
              <w:t>Effective AI tools encourage consumers to recommend a healthcare provider to others.</w:t>
            </w:r>
          </w:p>
        </w:tc>
        <w:tc>
          <w:tcPr>
            <w:tcW w:w="0" w:type="auto"/>
            <w:hideMark/>
          </w:tcPr>
          <w:p w14:paraId="7168C3AF" w14:textId="77777777" w:rsidR="00BE5A5C" w:rsidRPr="00BE5A5C" w:rsidRDefault="00BE5A5C" w:rsidP="00BE5A5C">
            <w:pPr>
              <w:rPr>
                <w:lang w:val="en-IN"/>
              </w:rPr>
            </w:pPr>
            <w:r w:rsidRPr="00BE5A5C">
              <w:rPr>
                <w:lang w:val="en-IN"/>
              </w:rPr>
              <w:t>○</w:t>
            </w:r>
          </w:p>
        </w:tc>
        <w:tc>
          <w:tcPr>
            <w:tcW w:w="0" w:type="auto"/>
            <w:hideMark/>
          </w:tcPr>
          <w:p w14:paraId="5B27FAAC" w14:textId="77777777" w:rsidR="00BE5A5C" w:rsidRPr="00BE5A5C" w:rsidRDefault="00BE5A5C" w:rsidP="00BE5A5C">
            <w:pPr>
              <w:rPr>
                <w:lang w:val="en-IN"/>
              </w:rPr>
            </w:pPr>
            <w:r w:rsidRPr="00BE5A5C">
              <w:rPr>
                <w:lang w:val="en-IN"/>
              </w:rPr>
              <w:t>○</w:t>
            </w:r>
          </w:p>
        </w:tc>
        <w:tc>
          <w:tcPr>
            <w:tcW w:w="0" w:type="auto"/>
            <w:hideMark/>
          </w:tcPr>
          <w:p w14:paraId="27C87A1E" w14:textId="77777777" w:rsidR="00BE5A5C" w:rsidRPr="00BE5A5C" w:rsidRDefault="00BE5A5C" w:rsidP="00BE5A5C">
            <w:pPr>
              <w:rPr>
                <w:lang w:val="en-IN"/>
              </w:rPr>
            </w:pPr>
            <w:r w:rsidRPr="00BE5A5C">
              <w:rPr>
                <w:lang w:val="en-IN"/>
              </w:rPr>
              <w:t>○</w:t>
            </w:r>
          </w:p>
        </w:tc>
        <w:tc>
          <w:tcPr>
            <w:tcW w:w="0" w:type="auto"/>
            <w:hideMark/>
          </w:tcPr>
          <w:p w14:paraId="51019E60" w14:textId="77777777" w:rsidR="00BE5A5C" w:rsidRPr="00BE5A5C" w:rsidRDefault="00BE5A5C" w:rsidP="00BE5A5C">
            <w:pPr>
              <w:rPr>
                <w:lang w:val="en-IN"/>
              </w:rPr>
            </w:pPr>
            <w:r w:rsidRPr="00BE5A5C">
              <w:rPr>
                <w:lang w:val="en-IN"/>
              </w:rPr>
              <w:t>○</w:t>
            </w:r>
          </w:p>
        </w:tc>
        <w:tc>
          <w:tcPr>
            <w:tcW w:w="0" w:type="auto"/>
            <w:hideMark/>
          </w:tcPr>
          <w:p w14:paraId="46259BAC" w14:textId="77777777" w:rsidR="00BE5A5C" w:rsidRPr="00BE5A5C" w:rsidRDefault="00BE5A5C" w:rsidP="00BE5A5C">
            <w:pPr>
              <w:rPr>
                <w:lang w:val="en-IN"/>
              </w:rPr>
            </w:pPr>
            <w:r w:rsidRPr="00BE5A5C">
              <w:rPr>
                <w:lang w:val="en-IN"/>
              </w:rPr>
              <w:t>○</w:t>
            </w:r>
          </w:p>
        </w:tc>
      </w:tr>
      <w:tr w:rsidR="00BE5A5C" w:rsidRPr="00BE5A5C" w14:paraId="15860064" w14:textId="77777777" w:rsidTr="00BE5A5C">
        <w:tc>
          <w:tcPr>
            <w:tcW w:w="0" w:type="auto"/>
            <w:hideMark/>
          </w:tcPr>
          <w:p w14:paraId="2E3087D6" w14:textId="77777777" w:rsidR="00BE5A5C" w:rsidRPr="00BE5A5C" w:rsidRDefault="00BE5A5C" w:rsidP="00BE5A5C">
            <w:pPr>
              <w:rPr>
                <w:lang w:val="en-IN"/>
              </w:rPr>
            </w:pPr>
            <w:r w:rsidRPr="00BE5A5C">
              <w:rPr>
                <w:lang w:val="en-IN"/>
              </w:rPr>
              <w:t>Convenient AI-supported services strengthen long-term relationships between consumers and healthcare providers.</w:t>
            </w:r>
          </w:p>
        </w:tc>
        <w:tc>
          <w:tcPr>
            <w:tcW w:w="0" w:type="auto"/>
            <w:hideMark/>
          </w:tcPr>
          <w:p w14:paraId="16D7EE1E" w14:textId="77777777" w:rsidR="00BE5A5C" w:rsidRPr="00BE5A5C" w:rsidRDefault="00BE5A5C" w:rsidP="00BE5A5C">
            <w:pPr>
              <w:rPr>
                <w:lang w:val="en-IN"/>
              </w:rPr>
            </w:pPr>
            <w:r w:rsidRPr="00BE5A5C">
              <w:rPr>
                <w:lang w:val="en-IN"/>
              </w:rPr>
              <w:t>○</w:t>
            </w:r>
          </w:p>
        </w:tc>
        <w:tc>
          <w:tcPr>
            <w:tcW w:w="0" w:type="auto"/>
            <w:hideMark/>
          </w:tcPr>
          <w:p w14:paraId="74D6B269" w14:textId="77777777" w:rsidR="00BE5A5C" w:rsidRPr="00BE5A5C" w:rsidRDefault="00BE5A5C" w:rsidP="00BE5A5C">
            <w:pPr>
              <w:rPr>
                <w:lang w:val="en-IN"/>
              </w:rPr>
            </w:pPr>
            <w:r w:rsidRPr="00BE5A5C">
              <w:rPr>
                <w:lang w:val="en-IN"/>
              </w:rPr>
              <w:t>○</w:t>
            </w:r>
          </w:p>
        </w:tc>
        <w:tc>
          <w:tcPr>
            <w:tcW w:w="0" w:type="auto"/>
            <w:hideMark/>
          </w:tcPr>
          <w:p w14:paraId="6B876B37" w14:textId="77777777" w:rsidR="00BE5A5C" w:rsidRPr="00BE5A5C" w:rsidRDefault="00BE5A5C" w:rsidP="00BE5A5C">
            <w:pPr>
              <w:rPr>
                <w:lang w:val="en-IN"/>
              </w:rPr>
            </w:pPr>
            <w:r w:rsidRPr="00BE5A5C">
              <w:rPr>
                <w:lang w:val="en-IN"/>
              </w:rPr>
              <w:t>○</w:t>
            </w:r>
          </w:p>
        </w:tc>
        <w:tc>
          <w:tcPr>
            <w:tcW w:w="0" w:type="auto"/>
            <w:hideMark/>
          </w:tcPr>
          <w:p w14:paraId="45290D99" w14:textId="77777777" w:rsidR="00BE5A5C" w:rsidRPr="00BE5A5C" w:rsidRDefault="00BE5A5C" w:rsidP="00BE5A5C">
            <w:pPr>
              <w:rPr>
                <w:lang w:val="en-IN"/>
              </w:rPr>
            </w:pPr>
            <w:r w:rsidRPr="00BE5A5C">
              <w:rPr>
                <w:lang w:val="en-IN"/>
              </w:rPr>
              <w:t>○</w:t>
            </w:r>
          </w:p>
        </w:tc>
        <w:tc>
          <w:tcPr>
            <w:tcW w:w="0" w:type="auto"/>
            <w:hideMark/>
          </w:tcPr>
          <w:p w14:paraId="52FB80B8" w14:textId="77777777" w:rsidR="00BE5A5C" w:rsidRPr="00BE5A5C" w:rsidRDefault="00BE5A5C" w:rsidP="00BE5A5C">
            <w:pPr>
              <w:rPr>
                <w:lang w:val="en-IN"/>
              </w:rPr>
            </w:pPr>
            <w:r w:rsidRPr="00BE5A5C">
              <w:rPr>
                <w:lang w:val="en-IN"/>
              </w:rPr>
              <w:t>○</w:t>
            </w:r>
          </w:p>
        </w:tc>
      </w:tr>
      <w:tr w:rsidR="00BE5A5C" w:rsidRPr="00BE5A5C" w14:paraId="6D913F89" w14:textId="77777777" w:rsidTr="00BE5A5C">
        <w:tc>
          <w:tcPr>
            <w:tcW w:w="0" w:type="auto"/>
            <w:hideMark/>
          </w:tcPr>
          <w:p w14:paraId="50C9C53C" w14:textId="77777777" w:rsidR="00BE5A5C" w:rsidRPr="00BE5A5C" w:rsidRDefault="00BE5A5C" w:rsidP="00BE5A5C">
            <w:pPr>
              <w:rPr>
                <w:lang w:val="en-IN"/>
              </w:rPr>
            </w:pPr>
            <w:r w:rsidRPr="00BE5A5C">
              <w:rPr>
                <w:lang w:val="en-IN"/>
              </w:rPr>
              <w:lastRenderedPageBreak/>
              <w:t>Consistently positive AI-supported services reduce consumers’ willingness to change healthcare providers.</w:t>
            </w:r>
          </w:p>
        </w:tc>
        <w:tc>
          <w:tcPr>
            <w:tcW w:w="0" w:type="auto"/>
            <w:hideMark/>
          </w:tcPr>
          <w:p w14:paraId="67A05E85" w14:textId="77777777" w:rsidR="00BE5A5C" w:rsidRPr="00BE5A5C" w:rsidRDefault="00BE5A5C" w:rsidP="00BE5A5C">
            <w:pPr>
              <w:rPr>
                <w:lang w:val="en-IN"/>
              </w:rPr>
            </w:pPr>
            <w:r w:rsidRPr="00BE5A5C">
              <w:rPr>
                <w:lang w:val="en-IN"/>
              </w:rPr>
              <w:t>○</w:t>
            </w:r>
          </w:p>
        </w:tc>
        <w:tc>
          <w:tcPr>
            <w:tcW w:w="0" w:type="auto"/>
            <w:hideMark/>
          </w:tcPr>
          <w:p w14:paraId="0E56F859" w14:textId="77777777" w:rsidR="00BE5A5C" w:rsidRPr="00BE5A5C" w:rsidRDefault="00BE5A5C" w:rsidP="00BE5A5C">
            <w:pPr>
              <w:rPr>
                <w:lang w:val="en-IN"/>
              </w:rPr>
            </w:pPr>
            <w:r w:rsidRPr="00BE5A5C">
              <w:rPr>
                <w:lang w:val="en-IN"/>
              </w:rPr>
              <w:t>○</w:t>
            </w:r>
          </w:p>
        </w:tc>
        <w:tc>
          <w:tcPr>
            <w:tcW w:w="0" w:type="auto"/>
            <w:hideMark/>
          </w:tcPr>
          <w:p w14:paraId="3982349E" w14:textId="77777777" w:rsidR="00BE5A5C" w:rsidRPr="00BE5A5C" w:rsidRDefault="00BE5A5C" w:rsidP="00BE5A5C">
            <w:pPr>
              <w:rPr>
                <w:lang w:val="en-IN"/>
              </w:rPr>
            </w:pPr>
            <w:r w:rsidRPr="00BE5A5C">
              <w:rPr>
                <w:lang w:val="en-IN"/>
              </w:rPr>
              <w:t>○</w:t>
            </w:r>
          </w:p>
        </w:tc>
        <w:tc>
          <w:tcPr>
            <w:tcW w:w="0" w:type="auto"/>
            <w:hideMark/>
          </w:tcPr>
          <w:p w14:paraId="53295369" w14:textId="77777777" w:rsidR="00BE5A5C" w:rsidRPr="00BE5A5C" w:rsidRDefault="00BE5A5C" w:rsidP="00BE5A5C">
            <w:pPr>
              <w:rPr>
                <w:lang w:val="en-IN"/>
              </w:rPr>
            </w:pPr>
            <w:r w:rsidRPr="00BE5A5C">
              <w:rPr>
                <w:lang w:val="en-IN"/>
              </w:rPr>
              <w:t>○</w:t>
            </w:r>
          </w:p>
        </w:tc>
        <w:tc>
          <w:tcPr>
            <w:tcW w:w="0" w:type="auto"/>
            <w:hideMark/>
          </w:tcPr>
          <w:p w14:paraId="7371BDF4" w14:textId="77777777" w:rsidR="00BE5A5C" w:rsidRPr="00BE5A5C" w:rsidRDefault="00BE5A5C" w:rsidP="00BE5A5C">
            <w:pPr>
              <w:rPr>
                <w:lang w:val="en-IN"/>
              </w:rPr>
            </w:pPr>
            <w:r w:rsidRPr="00BE5A5C">
              <w:rPr>
                <w:lang w:val="en-IN"/>
              </w:rPr>
              <w:t>○</w:t>
            </w:r>
          </w:p>
        </w:tc>
      </w:tr>
    </w:tbl>
    <w:p w14:paraId="783F5B62" w14:textId="77777777" w:rsidR="00BE5A5C" w:rsidRPr="00BE5A5C" w:rsidRDefault="00BE5A5C" w:rsidP="00231115">
      <w:pPr>
        <w:rPr>
          <w:b/>
          <w:bCs/>
          <w:lang w:val="en-US"/>
        </w:rPr>
      </w:pPr>
    </w:p>
    <w:p w14:paraId="31A1BF1B" w14:textId="77777777" w:rsidR="00BE5A5C" w:rsidRPr="00BE5A5C" w:rsidRDefault="00BE5A5C" w:rsidP="00231115">
      <w:pPr>
        <w:rPr>
          <w:b/>
          <w:bCs/>
          <w:lang w:val="en-US"/>
        </w:rPr>
      </w:pPr>
      <w:r w:rsidRPr="00BE5A5C">
        <w:rPr>
          <w:b/>
          <w:bCs/>
          <w:lang w:val="en-US"/>
        </w:rPr>
        <w:t>Brand Competitiveness</w:t>
      </w:r>
    </w:p>
    <w:tbl>
      <w:tblPr>
        <w:tblStyle w:val="TableGrid"/>
        <w:tblW w:w="0" w:type="auto"/>
        <w:tblLook w:val="04A0" w:firstRow="1" w:lastRow="0" w:firstColumn="1" w:lastColumn="0" w:noHBand="0" w:noVBand="1"/>
      </w:tblPr>
      <w:tblGrid>
        <w:gridCol w:w="3317"/>
        <w:gridCol w:w="1350"/>
        <w:gridCol w:w="1151"/>
        <w:gridCol w:w="1045"/>
        <w:gridCol w:w="871"/>
        <w:gridCol w:w="1282"/>
      </w:tblGrid>
      <w:tr w:rsidR="00BE5A5C" w:rsidRPr="00BE5A5C" w14:paraId="6269DA26" w14:textId="77777777" w:rsidTr="00BE5A5C">
        <w:tc>
          <w:tcPr>
            <w:tcW w:w="0" w:type="auto"/>
            <w:hideMark/>
          </w:tcPr>
          <w:p w14:paraId="252D3611" w14:textId="77777777" w:rsidR="00BE5A5C" w:rsidRPr="00BE5A5C" w:rsidRDefault="00BE5A5C" w:rsidP="00BE5A5C">
            <w:pPr>
              <w:jc w:val="center"/>
              <w:rPr>
                <w:b/>
                <w:bCs/>
                <w:lang w:val="en-IN"/>
              </w:rPr>
            </w:pPr>
            <w:r w:rsidRPr="00BE5A5C">
              <w:rPr>
                <w:b/>
                <w:bCs/>
                <w:lang w:val="en-IN"/>
              </w:rPr>
              <w:t>Statement</w:t>
            </w:r>
          </w:p>
        </w:tc>
        <w:tc>
          <w:tcPr>
            <w:tcW w:w="0" w:type="auto"/>
            <w:hideMark/>
          </w:tcPr>
          <w:p w14:paraId="527FFA0C" w14:textId="77777777" w:rsidR="00BE5A5C" w:rsidRPr="00BE5A5C" w:rsidRDefault="00BE5A5C" w:rsidP="00BE5A5C">
            <w:pPr>
              <w:jc w:val="center"/>
              <w:rPr>
                <w:b/>
                <w:bCs/>
                <w:lang w:val="en-IN"/>
              </w:rPr>
            </w:pPr>
            <w:r w:rsidRPr="00BE5A5C">
              <w:rPr>
                <w:b/>
                <w:bCs/>
                <w:lang w:val="en-IN"/>
              </w:rPr>
              <w:t>1 Strongly disagree</w:t>
            </w:r>
          </w:p>
        </w:tc>
        <w:tc>
          <w:tcPr>
            <w:tcW w:w="0" w:type="auto"/>
            <w:hideMark/>
          </w:tcPr>
          <w:p w14:paraId="12A89054" w14:textId="77777777" w:rsidR="00BE5A5C" w:rsidRPr="00BE5A5C" w:rsidRDefault="00BE5A5C" w:rsidP="00BE5A5C">
            <w:pPr>
              <w:jc w:val="center"/>
              <w:rPr>
                <w:b/>
                <w:bCs/>
                <w:lang w:val="en-IN"/>
              </w:rPr>
            </w:pPr>
            <w:r w:rsidRPr="00BE5A5C">
              <w:rPr>
                <w:b/>
                <w:bCs/>
                <w:lang w:val="en-IN"/>
              </w:rPr>
              <w:t>2 Disagree</w:t>
            </w:r>
          </w:p>
        </w:tc>
        <w:tc>
          <w:tcPr>
            <w:tcW w:w="0" w:type="auto"/>
            <w:hideMark/>
          </w:tcPr>
          <w:p w14:paraId="67B5A48E" w14:textId="77777777" w:rsidR="00BE5A5C" w:rsidRPr="00BE5A5C" w:rsidRDefault="00BE5A5C" w:rsidP="00BE5A5C">
            <w:pPr>
              <w:jc w:val="center"/>
              <w:rPr>
                <w:b/>
                <w:bCs/>
                <w:lang w:val="en-IN"/>
              </w:rPr>
            </w:pPr>
            <w:r w:rsidRPr="00BE5A5C">
              <w:rPr>
                <w:b/>
                <w:bCs/>
                <w:lang w:val="en-IN"/>
              </w:rPr>
              <w:t>3 Neutral</w:t>
            </w:r>
          </w:p>
        </w:tc>
        <w:tc>
          <w:tcPr>
            <w:tcW w:w="0" w:type="auto"/>
            <w:hideMark/>
          </w:tcPr>
          <w:p w14:paraId="3E76C4B6" w14:textId="77777777" w:rsidR="00BE5A5C" w:rsidRPr="00BE5A5C" w:rsidRDefault="00BE5A5C" w:rsidP="00BE5A5C">
            <w:pPr>
              <w:jc w:val="center"/>
              <w:rPr>
                <w:b/>
                <w:bCs/>
                <w:lang w:val="en-IN"/>
              </w:rPr>
            </w:pPr>
            <w:r w:rsidRPr="00BE5A5C">
              <w:rPr>
                <w:b/>
                <w:bCs/>
                <w:lang w:val="en-IN"/>
              </w:rPr>
              <w:t>4 Agree</w:t>
            </w:r>
          </w:p>
        </w:tc>
        <w:tc>
          <w:tcPr>
            <w:tcW w:w="0" w:type="auto"/>
            <w:hideMark/>
          </w:tcPr>
          <w:p w14:paraId="6D654DE2" w14:textId="77777777" w:rsidR="00BE5A5C" w:rsidRPr="00BE5A5C" w:rsidRDefault="00BE5A5C" w:rsidP="00BE5A5C">
            <w:pPr>
              <w:jc w:val="center"/>
              <w:rPr>
                <w:b/>
                <w:bCs/>
                <w:lang w:val="en-IN"/>
              </w:rPr>
            </w:pPr>
            <w:r w:rsidRPr="00BE5A5C">
              <w:rPr>
                <w:b/>
                <w:bCs/>
                <w:lang w:val="en-IN"/>
              </w:rPr>
              <w:t>5 Strongly agree</w:t>
            </w:r>
          </w:p>
        </w:tc>
      </w:tr>
      <w:tr w:rsidR="00BE5A5C" w:rsidRPr="00BE5A5C" w14:paraId="370807B1" w14:textId="77777777" w:rsidTr="00BE5A5C">
        <w:tc>
          <w:tcPr>
            <w:tcW w:w="0" w:type="auto"/>
            <w:hideMark/>
          </w:tcPr>
          <w:p w14:paraId="11E2D82C" w14:textId="77777777" w:rsidR="00BE5A5C" w:rsidRPr="00BE5A5C" w:rsidRDefault="00BE5A5C" w:rsidP="00BE5A5C">
            <w:pPr>
              <w:jc w:val="left"/>
              <w:rPr>
                <w:lang w:val="en-IN"/>
              </w:rPr>
            </w:pPr>
            <w:r w:rsidRPr="00BE5A5C">
              <w:rPr>
                <w:lang w:val="en-IN"/>
              </w:rPr>
              <w:t>AI tools help healthcare providers differentiate their services from competing providers.</w:t>
            </w:r>
          </w:p>
        </w:tc>
        <w:tc>
          <w:tcPr>
            <w:tcW w:w="0" w:type="auto"/>
            <w:hideMark/>
          </w:tcPr>
          <w:p w14:paraId="468BC6D5" w14:textId="77777777" w:rsidR="00BE5A5C" w:rsidRPr="00BE5A5C" w:rsidRDefault="00BE5A5C" w:rsidP="00BE5A5C">
            <w:pPr>
              <w:jc w:val="center"/>
              <w:rPr>
                <w:lang w:val="en-IN"/>
              </w:rPr>
            </w:pPr>
            <w:r w:rsidRPr="00BE5A5C">
              <w:rPr>
                <w:lang w:val="en-IN"/>
              </w:rPr>
              <w:t>○</w:t>
            </w:r>
          </w:p>
        </w:tc>
        <w:tc>
          <w:tcPr>
            <w:tcW w:w="0" w:type="auto"/>
            <w:hideMark/>
          </w:tcPr>
          <w:p w14:paraId="7B57B1B7" w14:textId="77777777" w:rsidR="00BE5A5C" w:rsidRPr="00BE5A5C" w:rsidRDefault="00BE5A5C" w:rsidP="00BE5A5C">
            <w:pPr>
              <w:jc w:val="center"/>
              <w:rPr>
                <w:lang w:val="en-IN"/>
              </w:rPr>
            </w:pPr>
            <w:r w:rsidRPr="00BE5A5C">
              <w:rPr>
                <w:lang w:val="en-IN"/>
              </w:rPr>
              <w:t>○</w:t>
            </w:r>
          </w:p>
        </w:tc>
        <w:tc>
          <w:tcPr>
            <w:tcW w:w="0" w:type="auto"/>
            <w:hideMark/>
          </w:tcPr>
          <w:p w14:paraId="6E49BF9A" w14:textId="77777777" w:rsidR="00BE5A5C" w:rsidRPr="00BE5A5C" w:rsidRDefault="00BE5A5C" w:rsidP="00BE5A5C">
            <w:pPr>
              <w:jc w:val="center"/>
              <w:rPr>
                <w:lang w:val="en-IN"/>
              </w:rPr>
            </w:pPr>
            <w:r w:rsidRPr="00BE5A5C">
              <w:rPr>
                <w:lang w:val="en-IN"/>
              </w:rPr>
              <w:t>○</w:t>
            </w:r>
          </w:p>
        </w:tc>
        <w:tc>
          <w:tcPr>
            <w:tcW w:w="0" w:type="auto"/>
            <w:hideMark/>
          </w:tcPr>
          <w:p w14:paraId="1E48562E" w14:textId="77777777" w:rsidR="00BE5A5C" w:rsidRPr="00BE5A5C" w:rsidRDefault="00BE5A5C" w:rsidP="00BE5A5C">
            <w:pPr>
              <w:jc w:val="center"/>
              <w:rPr>
                <w:lang w:val="en-IN"/>
              </w:rPr>
            </w:pPr>
            <w:r w:rsidRPr="00BE5A5C">
              <w:rPr>
                <w:lang w:val="en-IN"/>
              </w:rPr>
              <w:t>○</w:t>
            </w:r>
          </w:p>
        </w:tc>
        <w:tc>
          <w:tcPr>
            <w:tcW w:w="0" w:type="auto"/>
            <w:hideMark/>
          </w:tcPr>
          <w:p w14:paraId="581EF774" w14:textId="77777777" w:rsidR="00BE5A5C" w:rsidRPr="00BE5A5C" w:rsidRDefault="00BE5A5C" w:rsidP="00BE5A5C">
            <w:pPr>
              <w:jc w:val="center"/>
              <w:rPr>
                <w:lang w:val="en-IN"/>
              </w:rPr>
            </w:pPr>
            <w:r w:rsidRPr="00BE5A5C">
              <w:rPr>
                <w:lang w:val="en-IN"/>
              </w:rPr>
              <w:t>○</w:t>
            </w:r>
          </w:p>
        </w:tc>
      </w:tr>
      <w:tr w:rsidR="00BE5A5C" w:rsidRPr="00BE5A5C" w14:paraId="65F966B7" w14:textId="77777777" w:rsidTr="00BE5A5C">
        <w:tc>
          <w:tcPr>
            <w:tcW w:w="0" w:type="auto"/>
            <w:hideMark/>
          </w:tcPr>
          <w:p w14:paraId="4A1BD004" w14:textId="77777777" w:rsidR="00BE5A5C" w:rsidRPr="00BE5A5C" w:rsidRDefault="00BE5A5C" w:rsidP="00BE5A5C">
            <w:pPr>
              <w:jc w:val="left"/>
              <w:rPr>
                <w:lang w:val="en-IN"/>
              </w:rPr>
            </w:pPr>
            <w:r w:rsidRPr="00BE5A5C">
              <w:rPr>
                <w:lang w:val="en-IN"/>
              </w:rPr>
              <w:t>Effective use of AI strengthens a healthcare provider’s competitive position.</w:t>
            </w:r>
          </w:p>
        </w:tc>
        <w:tc>
          <w:tcPr>
            <w:tcW w:w="0" w:type="auto"/>
            <w:hideMark/>
          </w:tcPr>
          <w:p w14:paraId="28080491" w14:textId="77777777" w:rsidR="00BE5A5C" w:rsidRPr="00BE5A5C" w:rsidRDefault="00BE5A5C" w:rsidP="00BE5A5C">
            <w:pPr>
              <w:jc w:val="center"/>
              <w:rPr>
                <w:lang w:val="en-IN"/>
              </w:rPr>
            </w:pPr>
            <w:r w:rsidRPr="00BE5A5C">
              <w:rPr>
                <w:lang w:val="en-IN"/>
              </w:rPr>
              <w:t>○</w:t>
            </w:r>
          </w:p>
        </w:tc>
        <w:tc>
          <w:tcPr>
            <w:tcW w:w="0" w:type="auto"/>
            <w:hideMark/>
          </w:tcPr>
          <w:p w14:paraId="56A403B8" w14:textId="77777777" w:rsidR="00BE5A5C" w:rsidRPr="00BE5A5C" w:rsidRDefault="00BE5A5C" w:rsidP="00BE5A5C">
            <w:pPr>
              <w:jc w:val="center"/>
              <w:rPr>
                <w:lang w:val="en-IN"/>
              </w:rPr>
            </w:pPr>
            <w:r w:rsidRPr="00BE5A5C">
              <w:rPr>
                <w:lang w:val="en-IN"/>
              </w:rPr>
              <w:t>○</w:t>
            </w:r>
          </w:p>
        </w:tc>
        <w:tc>
          <w:tcPr>
            <w:tcW w:w="0" w:type="auto"/>
            <w:hideMark/>
          </w:tcPr>
          <w:p w14:paraId="6D2F89E6" w14:textId="77777777" w:rsidR="00BE5A5C" w:rsidRPr="00BE5A5C" w:rsidRDefault="00BE5A5C" w:rsidP="00BE5A5C">
            <w:pPr>
              <w:jc w:val="center"/>
              <w:rPr>
                <w:lang w:val="en-IN"/>
              </w:rPr>
            </w:pPr>
            <w:r w:rsidRPr="00BE5A5C">
              <w:rPr>
                <w:lang w:val="en-IN"/>
              </w:rPr>
              <w:t>○</w:t>
            </w:r>
          </w:p>
        </w:tc>
        <w:tc>
          <w:tcPr>
            <w:tcW w:w="0" w:type="auto"/>
            <w:hideMark/>
          </w:tcPr>
          <w:p w14:paraId="53CA3783" w14:textId="77777777" w:rsidR="00BE5A5C" w:rsidRPr="00BE5A5C" w:rsidRDefault="00BE5A5C" w:rsidP="00BE5A5C">
            <w:pPr>
              <w:jc w:val="center"/>
              <w:rPr>
                <w:lang w:val="en-IN"/>
              </w:rPr>
            </w:pPr>
            <w:r w:rsidRPr="00BE5A5C">
              <w:rPr>
                <w:lang w:val="en-IN"/>
              </w:rPr>
              <w:t>○</w:t>
            </w:r>
          </w:p>
        </w:tc>
        <w:tc>
          <w:tcPr>
            <w:tcW w:w="0" w:type="auto"/>
            <w:hideMark/>
          </w:tcPr>
          <w:p w14:paraId="0FC07948" w14:textId="77777777" w:rsidR="00BE5A5C" w:rsidRPr="00BE5A5C" w:rsidRDefault="00BE5A5C" w:rsidP="00BE5A5C">
            <w:pPr>
              <w:jc w:val="center"/>
              <w:rPr>
                <w:lang w:val="en-IN"/>
              </w:rPr>
            </w:pPr>
            <w:r w:rsidRPr="00BE5A5C">
              <w:rPr>
                <w:lang w:val="en-IN"/>
              </w:rPr>
              <w:t>○</w:t>
            </w:r>
          </w:p>
        </w:tc>
      </w:tr>
      <w:tr w:rsidR="00BE5A5C" w:rsidRPr="00BE5A5C" w14:paraId="560D0BCB" w14:textId="77777777" w:rsidTr="00BE5A5C">
        <w:tc>
          <w:tcPr>
            <w:tcW w:w="0" w:type="auto"/>
            <w:hideMark/>
          </w:tcPr>
          <w:p w14:paraId="2BE67716" w14:textId="77777777" w:rsidR="00BE5A5C" w:rsidRPr="00BE5A5C" w:rsidRDefault="00BE5A5C" w:rsidP="00BE5A5C">
            <w:pPr>
              <w:jc w:val="left"/>
              <w:rPr>
                <w:lang w:val="en-IN"/>
              </w:rPr>
            </w:pPr>
            <w:r w:rsidRPr="00BE5A5C">
              <w:rPr>
                <w:lang w:val="en-IN"/>
              </w:rPr>
              <w:t>AI-supported services make a healthcare provider more attractive than alternative providers.</w:t>
            </w:r>
          </w:p>
        </w:tc>
        <w:tc>
          <w:tcPr>
            <w:tcW w:w="0" w:type="auto"/>
            <w:hideMark/>
          </w:tcPr>
          <w:p w14:paraId="43736374" w14:textId="77777777" w:rsidR="00BE5A5C" w:rsidRPr="00BE5A5C" w:rsidRDefault="00BE5A5C" w:rsidP="00BE5A5C">
            <w:pPr>
              <w:jc w:val="center"/>
              <w:rPr>
                <w:lang w:val="en-IN"/>
              </w:rPr>
            </w:pPr>
            <w:r w:rsidRPr="00BE5A5C">
              <w:rPr>
                <w:lang w:val="en-IN"/>
              </w:rPr>
              <w:t>○</w:t>
            </w:r>
          </w:p>
        </w:tc>
        <w:tc>
          <w:tcPr>
            <w:tcW w:w="0" w:type="auto"/>
            <w:hideMark/>
          </w:tcPr>
          <w:p w14:paraId="3CBB3886" w14:textId="77777777" w:rsidR="00BE5A5C" w:rsidRPr="00BE5A5C" w:rsidRDefault="00BE5A5C" w:rsidP="00BE5A5C">
            <w:pPr>
              <w:jc w:val="center"/>
              <w:rPr>
                <w:lang w:val="en-IN"/>
              </w:rPr>
            </w:pPr>
            <w:r w:rsidRPr="00BE5A5C">
              <w:rPr>
                <w:lang w:val="en-IN"/>
              </w:rPr>
              <w:t>○</w:t>
            </w:r>
          </w:p>
        </w:tc>
        <w:tc>
          <w:tcPr>
            <w:tcW w:w="0" w:type="auto"/>
            <w:hideMark/>
          </w:tcPr>
          <w:p w14:paraId="75744F48" w14:textId="77777777" w:rsidR="00BE5A5C" w:rsidRPr="00BE5A5C" w:rsidRDefault="00BE5A5C" w:rsidP="00BE5A5C">
            <w:pPr>
              <w:jc w:val="center"/>
              <w:rPr>
                <w:lang w:val="en-IN"/>
              </w:rPr>
            </w:pPr>
            <w:r w:rsidRPr="00BE5A5C">
              <w:rPr>
                <w:lang w:val="en-IN"/>
              </w:rPr>
              <w:t>○</w:t>
            </w:r>
          </w:p>
        </w:tc>
        <w:tc>
          <w:tcPr>
            <w:tcW w:w="0" w:type="auto"/>
            <w:hideMark/>
          </w:tcPr>
          <w:p w14:paraId="0A127EDC" w14:textId="77777777" w:rsidR="00BE5A5C" w:rsidRPr="00BE5A5C" w:rsidRDefault="00BE5A5C" w:rsidP="00BE5A5C">
            <w:pPr>
              <w:jc w:val="center"/>
              <w:rPr>
                <w:lang w:val="en-IN"/>
              </w:rPr>
            </w:pPr>
            <w:r w:rsidRPr="00BE5A5C">
              <w:rPr>
                <w:lang w:val="en-IN"/>
              </w:rPr>
              <w:t>○</w:t>
            </w:r>
          </w:p>
        </w:tc>
        <w:tc>
          <w:tcPr>
            <w:tcW w:w="0" w:type="auto"/>
            <w:hideMark/>
          </w:tcPr>
          <w:p w14:paraId="02998196" w14:textId="77777777" w:rsidR="00BE5A5C" w:rsidRPr="00BE5A5C" w:rsidRDefault="00BE5A5C" w:rsidP="00BE5A5C">
            <w:pPr>
              <w:jc w:val="center"/>
              <w:rPr>
                <w:lang w:val="en-IN"/>
              </w:rPr>
            </w:pPr>
            <w:r w:rsidRPr="00BE5A5C">
              <w:rPr>
                <w:lang w:val="en-IN"/>
              </w:rPr>
              <w:t>○</w:t>
            </w:r>
          </w:p>
        </w:tc>
      </w:tr>
      <w:tr w:rsidR="00BE5A5C" w:rsidRPr="00BE5A5C" w14:paraId="2FB3462F" w14:textId="77777777" w:rsidTr="00BE5A5C">
        <w:tc>
          <w:tcPr>
            <w:tcW w:w="0" w:type="auto"/>
            <w:hideMark/>
          </w:tcPr>
          <w:p w14:paraId="4D8A3C58" w14:textId="77777777" w:rsidR="00BE5A5C" w:rsidRPr="00BE5A5C" w:rsidRDefault="00BE5A5C" w:rsidP="00BE5A5C">
            <w:pPr>
              <w:jc w:val="left"/>
              <w:rPr>
                <w:lang w:val="en-IN"/>
              </w:rPr>
            </w:pPr>
            <w:r w:rsidRPr="00BE5A5C">
              <w:rPr>
                <w:lang w:val="en-IN"/>
              </w:rPr>
              <w:t>AI tools improve a healthcare provider’s ability to respond to changing consumer expectations.</w:t>
            </w:r>
          </w:p>
        </w:tc>
        <w:tc>
          <w:tcPr>
            <w:tcW w:w="0" w:type="auto"/>
            <w:hideMark/>
          </w:tcPr>
          <w:p w14:paraId="4B39E564" w14:textId="77777777" w:rsidR="00BE5A5C" w:rsidRPr="00BE5A5C" w:rsidRDefault="00BE5A5C" w:rsidP="00BE5A5C">
            <w:pPr>
              <w:jc w:val="center"/>
              <w:rPr>
                <w:lang w:val="en-IN"/>
              </w:rPr>
            </w:pPr>
            <w:r w:rsidRPr="00BE5A5C">
              <w:rPr>
                <w:lang w:val="en-IN"/>
              </w:rPr>
              <w:t>○</w:t>
            </w:r>
          </w:p>
        </w:tc>
        <w:tc>
          <w:tcPr>
            <w:tcW w:w="0" w:type="auto"/>
            <w:hideMark/>
          </w:tcPr>
          <w:p w14:paraId="07221CFA" w14:textId="77777777" w:rsidR="00BE5A5C" w:rsidRPr="00BE5A5C" w:rsidRDefault="00BE5A5C" w:rsidP="00BE5A5C">
            <w:pPr>
              <w:jc w:val="center"/>
              <w:rPr>
                <w:lang w:val="en-IN"/>
              </w:rPr>
            </w:pPr>
            <w:r w:rsidRPr="00BE5A5C">
              <w:rPr>
                <w:lang w:val="en-IN"/>
              </w:rPr>
              <w:t>○</w:t>
            </w:r>
          </w:p>
        </w:tc>
        <w:tc>
          <w:tcPr>
            <w:tcW w:w="0" w:type="auto"/>
            <w:hideMark/>
          </w:tcPr>
          <w:p w14:paraId="42BE48A9" w14:textId="77777777" w:rsidR="00BE5A5C" w:rsidRPr="00BE5A5C" w:rsidRDefault="00BE5A5C" w:rsidP="00BE5A5C">
            <w:pPr>
              <w:jc w:val="center"/>
              <w:rPr>
                <w:lang w:val="en-IN"/>
              </w:rPr>
            </w:pPr>
            <w:r w:rsidRPr="00BE5A5C">
              <w:rPr>
                <w:lang w:val="en-IN"/>
              </w:rPr>
              <w:t>○</w:t>
            </w:r>
          </w:p>
        </w:tc>
        <w:tc>
          <w:tcPr>
            <w:tcW w:w="0" w:type="auto"/>
            <w:hideMark/>
          </w:tcPr>
          <w:p w14:paraId="18F64AD2" w14:textId="77777777" w:rsidR="00BE5A5C" w:rsidRPr="00BE5A5C" w:rsidRDefault="00BE5A5C" w:rsidP="00BE5A5C">
            <w:pPr>
              <w:jc w:val="center"/>
              <w:rPr>
                <w:lang w:val="en-IN"/>
              </w:rPr>
            </w:pPr>
            <w:r w:rsidRPr="00BE5A5C">
              <w:rPr>
                <w:lang w:val="en-IN"/>
              </w:rPr>
              <w:t>○</w:t>
            </w:r>
          </w:p>
        </w:tc>
        <w:tc>
          <w:tcPr>
            <w:tcW w:w="0" w:type="auto"/>
            <w:hideMark/>
          </w:tcPr>
          <w:p w14:paraId="3BA12272" w14:textId="77777777" w:rsidR="00BE5A5C" w:rsidRPr="00BE5A5C" w:rsidRDefault="00BE5A5C" w:rsidP="00BE5A5C">
            <w:pPr>
              <w:jc w:val="center"/>
              <w:rPr>
                <w:lang w:val="en-IN"/>
              </w:rPr>
            </w:pPr>
            <w:r w:rsidRPr="00BE5A5C">
              <w:rPr>
                <w:lang w:val="en-IN"/>
              </w:rPr>
              <w:t>○</w:t>
            </w:r>
          </w:p>
        </w:tc>
      </w:tr>
      <w:tr w:rsidR="00BE5A5C" w:rsidRPr="00BE5A5C" w14:paraId="1B3D8CE5" w14:textId="77777777" w:rsidTr="00BE5A5C">
        <w:tc>
          <w:tcPr>
            <w:tcW w:w="0" w:type="auto"/>
            <w:hideMark/>
          </w:tcPr>
          <w:p w14:paraId="0B983997" w14:textId="77777777" w:rsidR="00BE5A5C" w:rsidRPr="00BE5A5C" w:rsidRDefault="00BE5A5C" w:rsidP="00BE5A5C">
            <w:pPr>
              <w:jc w:val="left"/>
              <w:rPr>
                <w:lang w:val="en-IN"/>
              </w:rPr>
            </w:pPr>
            <w:r w:rsidRPr="00BE5A5C">
              <w:rPr>
                <w:lang w:val="en-IN"/>
              </w:rPr>
              <w:t xml:space="preserve">Responsible AI innovation provides healthcare </w:t>
            </w:r>
            <w:r w:rsidRPr="00BE5A5C">
              <w:rPr>
                <w:lang w:val="en-IN"/>
              </w:rPr>
              <w:lastRenderedPageBreak/>
              <w:t>organisations with a competitive advantage.</w:t>
            </w:r>
          </w:p>
        </w:tc>
        <w:tc>
          <w:tcPr>
            <w:tcW w:w="0" w:type="auto"/>
            <w:hideMark/>
          </w:tcPr>
          <w:p w14:paraId="69E61864" w14:textId="77777777" w:rsidR="00BE5A5C" w:rsidRPr="00BE5A5C" w:rsidRDefault="00BE5A5C" w:rsidP="00BE5A5C">
            <w:pPr>
              <w:jc w:val="center"/>
              <w:rPr>
                <w:lang w:val="en-IN"/>
              </w:rPr>
            </w:pPr>
            <w:r w:rsidRPr="00BE5A5C">
              <w:rPr>
                <w:lang w:val="en-IN"/>
              </w:rPr>
              <w:lastRenderedPageBreak/>
              <w:t>○</w:t>
            </w:r>
          </w:p>
        </w:tc>
        <w:tc>
          <w:tcPr>
            <w:tcW w:w="0" w:type="auto"/>
            <w:hideMark/>
          </w:tcPr>
          <w:p w14:paraId="3B42998F" w14:textId="77777777" w:rsidR="00BE5A5C" w:rsidRPr="00BE5A5C" w:rsidRDefault="00BE5A5C" w:rsidP="00BE5A5C">
            <w:pPr>
              <w:jc w:val="center"/>
              <w:rPr>
                <w:lang w:val="en-IN"/>
              </w:rPr>
            </w:pPr>
            <w:r w:rsidRPr="00BE5A5C">
              <w:rPr>
                <w:lang w:val="en-IN"/>
              </w:rPr>
              <w:t>○</w:t>
            </w:r>
          </w:p>
        </w:tc>
        <w:tc>
          <w:tcPr>
            <w:tcW w:w="0" w:type="auto"/>
            <w:hideMark/>
          </w:tcPr>
          <w:p w14:paraId="0509C5A4" w14:textId="77777777" w:rsidR="00BE5A5C" w:rsidRPr="00BE5A5C" w:rsidRDefault="00BE5A5C" w:rsidP="00BE5A5C">
            <w:pPr>
              <w:jc w:val="center"/>
              <w:rPr>
                <w:lang w:val="en-IN"/>
              </w:rPr>
            </w:pPr>
            <w:r w:rsidRPr="00BE5A5C">
              <w:rPr>
                <w:lang w:val="en-IN"/>
              </w:rPr>
              <w:t>○</w:t>
            </w:r>
          </w:p>
        </w:tc>
        <w:tc>
          <w:tcPr>
            <w:tcW w:w="0" w:type="auto"/>
            <w:hideMark/>
          </w:tcPr>
          <w:p w14:paraId="62EFCB04" w14:textId="77777777" w:rsidR="00BE5A5C" w:rsidRPr="00BE5A5C" w:rsidRDefault="00BE5A5C" w:rsidP="00BE5A5C">
            <w:pPr>
              <w:jc w:val="center"/>
              <w:rPr>
                <w:lang w:val="en-IN"/>
              </w:rPr>
            </w:pPr>
            <w:r w:rsidRPr="00BE5A5C">
              <w:rPr>
                <w:lang w:val="en-IN"/>
              </w:rPr>
              <w:t>○</w:t>
            </w:r>
          </w:p>
        </w:tc>
        <w:tc>
          <w:tcPr>
            <w:tcW w:w="0" w:type="auto"/>
            <w:hideMark/>
          </w:tcPr>
          <w:p w14:paraId="244C3943" w14:textId="77777777" w:rsidR="00BE5A5C" w:rsidRPr="00BE5A5C" w:rsidRDefault="00BE5A5C" w:rsidP="00BE5A5C">
            <w:pPr>
              <w:jc w:val="center"/>
              <w:rPr>
                <w:lang w:val="en-IN"/>
              </w:rPr>
            </w:pPr>
            <w:r w:rsidRPr="00BE5A5C">
              <w:rPr>
                <w:lang w:val="en-IN"/>
              </w:rPr>
              <w:t>○</w:t>
            </w:r>
          </w:p>
        </w:tc>
      </w:tr>
    </w:tbl>
    <w:p w14:paraId="2352E098" w14:textId="77777777" w:rsidR="00BE5A5C" w:rsidRPr="009312E1" w:rsidRDefault="00BE5A5C" w:rsidP="00231115">
      <w:pPr>
        <w:rPr>
          <w:lang w:val="en-US"/>
        </w:rPr>
      </w:pPr>
    </w:p>
    <w:sectPr w:rsidR="00BE5A5C" w:rsidRPr="009312E1" w:rsidSect="00C95B9A">
      <w:headerReference w:type="default" r:id="rId148"/>
      <w:footerReference w:type="default" r:id="rId149"/>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66A1A" w14:textId="77777777" w:rsidR="001C7B57" w:rsidRDefault="001C7B57">
      <w:pPr>
        <w:spacing w:line="240" w:lineRule="auto"/>
      </w:pPr>
      <w:r>
        <w:separator/>
      </w:r>
    </w:p>
  </w:endnote>
  <w:endnote w:type="continuationSeparator" w:id="0">
    <w:p w14:paraId="1A913AED" w14:textId="77777777" w:rsidR="001C7B57" w:rsidRDefault="001C7B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4CD7C31-CCC3-4C92-BF39-9AE289138E58}"/>
  </w:font>
  <w:font w:name="Cambria">
    <w:panose1 w:val="02040503050406030204"/>
    <w:charset w:val="00"/>
    <w:family w:val="roman"/>
    <w:pitch w:val="variable"/>
    <w:sig w:usb0="E00006FF" w:usb1="420024FF" w:usb2="02000000" w:usb3="00000000" w:csb0="0000019F" w:csb1="00000000"/>
    <w:embedRegular r:id="rId2" w:fontKey="{4B7D3A7D-32CF-4981-BC47-5268616B29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D92C3" w14:textId="77777777" w:rsidR="009C08C4" w:rsidRDefault="009C08C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C4E59" w14:textId="77777777" w:rsidR="001C7B57" w:rsidRDefault="001C7B57">
      <w:pPr>
        <w:spacing w:line="240" w:lineRule="auto"/>
      </w:pPr>
      <w:r>
        <w:separator/>
      </w:r>
    </w:p>
  </w:footnote>
  <w:footnote w:type="continuationSeparator" w:id="0">
    <w:p w14:paraId="48E2EB3E" w14:textId="77777777" w:rsidR="001C7B57" w:rsidRDefault="001C7B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DBCF9" w14:textId="77777777" w:rsidR="009C08C4" w:rsidRDefault="009C08C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032B2"/>
    <w:multiLevelType w:val="hybridMultilevel"/>
    <w:tmpl w:val="0AA84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67F8F"/>
    <w:multiLevelType w:val="hybridMultilevel"/>
    <w:tmpl w:val="A5CE64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2C4F2A"/>
    <w:multiLevelType w:val="multilevel"/>
    <w:tmpl w:val="759A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7F4F5F"/>
    <w:multiLevelType w:val="multilevel"/>
    <w:tmpl w:val="52F87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6C0DEB"/>
    <w:multiLevelType w:val="multilevel"/>
    <w:tmpl w:val="47CCE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7E46B6"/>
    <w:multiLevelType w:val="hybridMultilevel"/>
    <w:tmpl w:val="E4645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98383D"/>
    <w:multiLevelType w:val="hybridMultilevel"/>
    <w:tmpl w:val="89005C9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3F542E7"/>
    <w:multiLevelType w:val="hybridMultilevel"/>
    <w:tmpl w:val="D460F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4641813">
    <w:abstractNumId w:val="3"/>
  </w:num>
  <w:num w:numId="2" w16cid:durableId="13774150">
    <w:abstractNumId w:val="1"/>
  </w:num>
  <w:num w:numId="3" w16cid:durableId="1148937934">
    <w:abstractNumId w:val="6"/>
  </w:num>
  <w:num w:numId="4" w16cid:durableId="1740203674">
    <w:abstractNumId w:val="2"/>
  </w:num>
  <w:num w:numId="5" w16cid:durableId="452939055">
    <w:abstractNumId w:val="4"/>
  </w:num>
  <w:num w:numId="6" w16cid:durableId="695084707">
    <w:abstractNumId w:val="7"/>
  </w:num>
  <w:num w:numId="7" w16cid:durableId="1028799726">
    <w:abstractNumId w:val="5"/>
  </w:num>
  <w:num w:numId="8" w16cid:durableId="35400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505"/>
    <w:rsid w:val="00026077"/>
    <w:rsid w:val="0006542D"/>
    <w:rsid w:val="00083633"/>
    <w:rsid w:val="000A5D99"/>
    <w:rsid w:val="000E10DC"/>
    <w:rsid w:val="001279B1"/>
    <w:rsid w:val="001622E8"/>
    <w:rsid w:val="00182F9F"/>
    <w:rsid w:val="001960E7"/>
    <w:rsid w:val="001C7B57"/>
    <w:rsid w:val="001D3507"/>
    <w:rsid w:val="00231115"/>
    <w:rsid w:val="0024372E"/>
    <w:rsid w:val="00255B82"/>
    <w:rsid w:val="00257866"/>
    <w:rsid w:val="00270EAA"/>
    <w:rsid w:val="002833A8"/>
    <w:rsid w:val="002B1F7F"/>
    <w:rsid w:val="002B66C7"/>
    <w:rsid w:val="002C75DD"/>
    <w:rsid w:val="00306454"/>
    <w:rsid w:val="00336A3F"/>
    <w:rsid w:val="0037270F"/>
    <w:rsid w:val="003D2B72"/>
    <w:rsid w:val="003D6261"/>
    <w:rsid w:val="003D698F"/>
    <w:rsid w:val="003E10E4"/>
    <w:rsid w:val="003F4E9C"/>
    <w:rsid w:val="00405B39"/>
    <w:rsid w:val="00417762"/>
    <w:rsid w:val="004401B4"/>
    <w:rsid w:val="00443037"/>
    <w:rsid w:val="004879C2"/>
    <w:rsid w:val="004A7282"/>
    <w:rsid w:val="004A7AEA"/>
    <w:rsid w:val="004B1505"/>
    <w:rsid w:val="004D1A19"/>
    <w:rsid w:val="005030A0"/>
    <w:rsid w:val="005531EA"/>
    <w:rsid w:val="005535AA"/>
    <w:rsid w:val="005551D7"/>
    <w:rsid w:val="005A286F"/>
    <w:rsid w:val="005D5E52"/>
    <w:rsid w:val="005F4DE6"/>
    <w:rsid w:val="00606754"/>
    <w:rsid w:val="006215DB"/>
    <w:rsid w:val="0063452C"/>
    <w:rsid w:val="00653042"/>
    <w:rsid w:val="006A21BA"/>
    <w:rsid w:val="006A2EFB"/>
    <w:rsid w:val="007036B2"/>
    <w:rsid w:val="00721C18"/>
    <w:rsid w:val="0075330A"/>
    <w:rsid w:val="007566B7"/>
    <w:rsid w:val="007736A8"/>
    <w:rsid w:val="00790E6F"/>
    <w:rsid w:val="0079108B"/>
    <w:rsid w:val="007F72DA"/>
    <w:rsid w:val="00805244"/>
    <w:rsid w:val="00815DBC"/>
    <w:rsid w:val="00844A89"/>
    <w:rsid w:val="00870DB9"/>
    <w:rsid w:val="008B33E1"/>
    <w:rsid w:val="008B6DDA"/>
    <w:rsid w:val="009312E1"/>
    <w:rsid w:val="00931867"/>
    <w:rsid w:val="00935B65"/>
    <w:rsid w:val="00972729"/>
    <w:rsid w:val="009C0565"/>
    <w:rsid w:val="009C08C4"/>
    <w:rsid w:val="00A467BB"/>
    <w:rsid w:val="00A56755"/>
    <w:rsid w:val="00AA2E03"/>
    <w:rsid w:val="00AA3AFB"/>
    <w:rsid w:val="00AC497F"/>
    <w:rsid w:val="00AE5C66"/>
    <w:rsid w:val="00AE6F0D"/>
    <w:rsid w:val="00B142CF"/>
    <w:rsid w:val="00B332FB"/>
    <w:rsid w:val="00B33F42"/>
    <w:rsid w:val="00B512BB"/>
    <w:rsid w:val="00B6307F"/>
    <w:rsid w:val="00BA4099"/>
    <w:rsid w:val="00BE5A5C"/>
    <w:rsid w:val="00C00E5D"/>
    <w:rsid w:val="00C022FD"/>
    <w:rsid w:val="00C028FD"/>
    <w:rsid w:val="00C610CC"/>
    <w:rsid w:val="00C71781"/>
    <w:rsid w:val="00C95B9A"/>
    <w:rsid w:val="00CD374A"/>
    <w:rsid w:val="00CE30BA"/>
    <w:rsid w:val="00D0420B"/>
    <w:rsid w:val="00DA3853"/>
    <w:rsid w:val="00E14006"/>
    <w:rsid w:val="00E21D95"/>
    <w:rsid w:val="00E2643F"/>
    <w:rsid w:val="00E54390"/>
    <w:rsid w:val="00E7598B"/>
    <w:rsid w:val="00E9426B"/>
    <w:rsid w:val="00EE256F"/>
    <w:rsid w:val="00F137ED"/>
    <w:rsid w:val="00F439CA"/>
    <w:rsid w:val="00F52DB7"/>
    <w:rsid w:val="00F57B83"/>
    <w:rsid w:val="00F844B6"/>
    <w:rsid w:val="00FB12AC"/>
    <w:rsid w:val="00FD40AC"/>
    <w:rsid w:val="00FD4F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554FE"/>
  <w15:docId w15:val="{AFF0EF81-DB28-45AE-950C-A9306807E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B72"/>
    <w:pPr>
      <w:spacing w:line="480" w:lineRule="auto"/>
    </w:pPr>
    <w:rPr>
      <w:color w:val="000000" w:themeColor="text1"/>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rsid w:val="003F4E9C"/>
    <w:pPr>
      <w:keepNext/>
      <w:keepLines/>
      <w:spacing w:before="280" w:after="80"/>
      <w:jc w:val="center"/>
      <w:outlineLvl w:val="3"/>
    </w:pPr>
    <w:rPr>
      <w:b/>
    </w:rPr>
  </w:style>
  <w:style w:type="paragraph" w:styleId="Heading5">
    <w:name w:val="heading 5"/>
    <w:basedOn w:val="Normal"/>
    <w:next w:val="Normal"/>
    <w:uiPriority w:val="9"/>
    <w:unhideWhenUsed/>
    <w:qFormat/>
    <w:rsid w:val="007036B2"/>
    <w:pPr>
      <w:keepNext/>
      <w:keepLines/>
      <w:spacing w:before="240" w:after="80"/>
      <w:jc w:val="center"/>
      <w:outlineLvl w:val="4"/>
    </w:pPr>
    <w:rPr>
      <w:b/>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C95B9A"/>
    <w:rPr>
      <w:color w:val="0000FF" w:themeColor="hyperlink"/>
      <w:u w:val="single"/>
    </w:rPr>
  </w:style>
  <w:style w:type="character" w:styleId="UnresolvedMention">
    <w:name w:val="Unresolved Mention"/>
    <w:basedOn w:val="DefaultParagraphFont"/>
    <w:uiPriority w:val="99"/>
    <w:semiHidden/>
    <w:unhideWhenUsed/>
    <w:rsid w:val="00C95B9A"/>
    <w:rPr>
      <w:color w:val="605E5C"/>
      <w:shd w:val="clear" w:color="auto" w:fill="E1DFDD"/>
    </w:rPr>
  </w:style>
  <w:style w:type="paragraph" w:styleId="ListParagraph">
    <w:name w:val="List Paragraph"/>
    <w:basedOn w:val="Normal"/>
    <w:uiPriority w:val="34"/>
    <w:qFormat/>
    <w:rsid w:val="00C95B9A"/>
    <w:pPr>
      <w:ind w:left="720"/>
      <w:contextualSpacing/>
    </w:pPr>
  </w:style>
  <w:style w:type="paragraph" w:styleId="TOCHeading">
    <w:name w:val="TOC Heading"/>
    <w:basedOn w:val="Heading1"/>
    <w:next w:val="Normal"/>
    <w:uiPriority w:val="39"/>
    <w:unhideWhenUsed/>
    <w:qFormat/>
    <w:rsid w:val="005531E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531EA"/>
    <w:pPr>
      <w:spacing w:after="100"/>
    </w:pPr>
  </w:style>
  <w:style w:type="paragraph" w:styleId="TOC2">
    <w:name w:val="toc 2"/>
    <w:basedOn w:val="Normal"/>
    <w:next w:val="Normal"/>
    <w:autoRedefine/>
    <w:uiPriority w:val="39"/>
    <w:unhideWhenUsed/>
    <w:rsid w:val="005531EA"/>
    <w:pPr>
      <w:spacing w:after="100"/>
      <w:ind w:left="240"/>
    </w:pPr>
  </w:style>
  <w:style w:type="paragraph" w:styleId="TOC3">
    <w:name w:val="toc 3"/>
    <w:basedOn w:val="Normal"/>
    <w:next w:val="Normal"/>
    <w:autoRedefine/>
    <w:uiPriority w:val="39"/>
    <w:unhideWhenUsed/>
    <w:rsid w:val="005531EA"/>
    <w:pPr>
      <w:spacing w:after="100"/>
      <w:ind w:left="480"/>
    </w:pPr>
  </w:style>
  <w:style w:type="table" w:styleId="TableGrid">
    <w:name w:val="Table Grid"/>
    <w:basedOn w:val="TableNormal"/>
    <w:uiPriority w:val="39"/>
    <w:rsid w:val="0079108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03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57347">
      <w:bodyDiv w:val="1"/>
      <w:marLeft w:val="0"/>
      <w:marRight w:val="0"/>
      <w:marTop w:val="0"/>
      <w:marBottom w:val="0"/>
      <w:divBdr>
        <w:top w:val="none" w:sz="0" w:space="0" w:color="auto"/>
        <w:left w:val="none" w:sz="0" w:space="0" w:color="auto"/>
        <w:bottom w:val="none" w:sz="0" w:space="0" w:color="auto"/>
        <w:right w:val="none" w:sz="0" w:space="0" w:color="auto"/>
      </w:divBdr>
    </w:div>
    <w:div w:id="39088184">
      <w:bodyDiv w:val="1"/>
      <w:marLeft w:val="0"/>
      <w:marRight w:val="0"/>
      <w:marTop w:val="0"/>
      <w:marBottom w:val="0"/>
      <w:divBdr>
        <w:top w:val="none" w:sz="0" w:space="0" w:color="auto"/>
        <w:left w:val="none" w:sz="0" w:space="0" w:color="auto"/>
        <w:bottom w:val="none" w:sz="0" w:space="0" w:color="auto"/>
        <w:right w:val="none" w:sz="0" w:space="0" w:color="auto"/>
      </w:divBdr>
    </w:div>
    <w:div w:id="50420461">
      <w:bodyDiv w:val="1"/>
      <w:marLeft w:val="0"/>
      <w:marRight w:val="0"/>
      <w:marTop w:val="0"/>
      <w:marBottom w:val="0"/>
      <w:divBdr>
        <w:top w:val="none" w:sz="0" w:space="0" w:color="auto"/>
        <w:left w:val="none" w:sz="0" w:space="0" w:color="auto"/>
        <w:bottom w:val="none" w:sz="0" w:space="0" w:color="auto"/>
        <w:right w:val="none" w:sz="0" w:space="0" w:color="auto"/>
      </w:divBdr>
    </w:div>
    <w:div w:id="61753763">
      <w:bodyDiv w:val="1"/>
      <w:marLeft w:val="0"/>
      <w:marRight w:val="0"/>
      <w:marTop w:val="0"/>
      <w:marBottom w:val="0"/>
      <w:divBdr>
        <w:top w:val="none" w:sz="0" w:space="0" w:color="auto"/>
        <w:left w:val="none" w:sz="0" w:space="0" w:color="auto"/>
        <w:bottom w:val="none" w:sz="0" w:space="0" w:color="auto"/>
        <w:right w:val="none" w:sz="0" w:space="0" w:color="auto"/>
      </w:divBdr>
    </w:div>
    <w:div w:id="193662115">
      <w:bodyDiv w:val="1"/>
      <w:marLeft w:val="0"/>
      <w:marRight w:val="0"/>
      <w:marTop w:val="0"/>
      <w:marBottom w:val="0"/>
      <w:divBdr>
        <w:top w:val="none" w:sz="0" w:space="0" w:color="auto"/>
        <w:left w:val="none" w:sz="0" w:space="0" w:color="auto"/>
        <w:bottom w:val="none" w:sz="0" w:space="0" w:color="auto"/>
        <w:right w:val="none" w:sz="0" w:space="0" w:color="auto"/>
      </w:divBdr>
    </w:div>
    <w:div w:id="229312218">
      <w:bodyDiv w:val="1"/>
      <w:marLeft w:val="0"/>
      <w:marRight w:val="0"/>
      <w:marTop w:val="0"/>
      <w:marBottom w:val="0"/>
      <w:divBdr>
        <w:top w:val="none" w:sz="0" w:space="0" w:color="auto"/>
        <w:left w:val="none" w:sz="0" w:space="0" w:color="auto"/>
        <w:bottom w:val="none" w:sz="0" w:space="0" w:color="auto"/>
        <w:right w:val="none" w:sz="0" w:space="0" w:color="auto"/>
      </w:divBdr>
    </w:div>
    <w:div w:id="231162279">
      <w:bodyDiv w:val="1"/>
      <w:marLeft w:val="0"/>
      <w:marRight w:val="0"/>
      <w:marTop w:val="0"/>
      <w:marBottom w:val="0"/>
      <w:divBdr>
        <w:top w:val="none" w:sz="0" w:space="0" w:color="auto"/>
        <w:left w:val="none" w:sz="0" w:space="0" w:color="auto"/>
        <w:bottom w:val="none" w:sz="0" w:space="0" w:color="auto"/>
        <w:right w:val="none" w:sz="0" w:space="0" w:color="auto"/>
      </w:divBdr>
    </w:div>
    <w:div w:id="254437383">
      <w:bodyDiv w:val="1"/>
      <w:marLeft w:val="0"/>
      <w:marRight w:val="0"/>
      <w:marTop w:val="0"/>
      <w:marBottom w:val="0"/>
      <w:divBdr>
        <w:top w:val="none" w:sz="0" w:space="0" w:color="auto"/>
        <w:left w:val="none" w:sz="0" w:space="0" w:color="auto"/>
        <w:bottom w:val="none" w:sz="0" w:space="0" w:color="auto"/>
        <w:right w:val="none" w:sz="0" w:space="0" w:color="auto"/>
      </w:divBdr>
    </w:div>
    <w:div w:id="280769457">
      <w:bodyDiv w:val="1"/>
      <w:marLeft w:val="0"/>
      <w:marRight w:val="0"/>
      <w:marTop w:val="0"/>
      <w:marBottom w:val="0"/>
      <w:divBdr>
        <w:top w:val="none" w:sz="0" w:space="0" w:color="auto"/>
        <w:left w:val="none" w:sz="0" w:space="0" w:color="auto"/>
        <w:bottom w:val="none" w:sz="0" w:space="0" w:color="auto"/>
        <w:right w:val="none" w:sz="0" w:space="0" w:color="auto"/>
      </w:divBdr>
    </w:div>
    <w:div w:id="325208363">
      <w:bodyDiv w:val="1"/>
      <w:marLeft w:val="0"/>
      <w:marRight w:val="0"/>
      <w:marTop w:val="0"/>
      <w:marBottom w:val="0"/>
      <w:divBdr>
        <w:top w:val="none" w:sz="0" w:space="0" w:color="auto"/>
        <w:left w:val="none" w:sz="0" w:space="0" w:color="auto"/>
        <w:bottom w:val="none" w:sz="0" w:space="0" w:color="auto"/>
        <w:right w:val="none" w:sz="0" w:space="0" w:color="auto"/>
      </w:divBdr>
      <w:divsChild>
        <w:div w:id="1355883303">
          <w:marLeft w:val="0"/>
          <w:marRight w:val="0"/>
          <w:marTop w:val="0"/>
          <w:marBottom w:val="0"/>
          <w:divBdr>
            <w:top w:val="none" w:sz="0" w:space="0" w:color="auto"/>
            <w:left w:val="none" w:sz="0" w:space="0" w:color="auto"/>
            <w:bottom w:val="none" w:sz="0" w:space="0" w:color="auto"/>
            <w:right w:val="none" w:sz="0" w:space="0" w:color="auto"/>
          </w:divBdr>
          <w:divsChild>
            <w:div w:id="1928148167">
              <w:marLeft w:val="0"/>
              <w:marRight w:val="0"/>
              <w:marTop w:val="0"/>
              <w:marBottom w:val="0"/>
              <w:divBdr>
                <w:top w:val="none" w:sz="0" w:space="0" w:color="auto"/>
                <w:left w:val="none" w:sz="0" w:space="0" w:color="auto"/>
                <w:bottom w:val="none" w:sz="0" w:space="0" w:color="auto"/>
                <w:right w:val="none" w:sz="0" w:space="0" w:color="auto"/>
              </w:divBdr>
              <w:divsChild>
                <w:div w:id="486869462">
                  <w:marLeft w:val="0"/>
                  <w:marRight w:val="0"/>
                  <w:marTop w:val="0"/>
                  <w:marBottom w:val="0"/>
                  <w:divBdr>
                    <w:top w:val="none" w:sz="0" w:space="0" w:color="auto"/>
                    <w:left w:val="none" w:sz="0" w:space="0" w:color="auto"/>
                    <w:bottom w:val="none" w:sz="0" w:space="0" w:color="auto"/>
                    <w:right w:val="none" w:sz="0" w:space="0" w:color="auto"/>
                  </w:divBdr>
                  <w:divsChild>
                    <w:div w:id="520511108">
                      <w:marLeft w:val="0"/>
                      <w:marRight w:val="0"/>
                      <w:marTop w:val="0"/>
                      <w:marBottom w:val="0"/>
                      <w:divBdr>
                        <w:top w:val="none" w:sz="0" w:space="0" w:color="auto"/>
                        <w:left w:val="none" w:sz="0" w:space="0" w:color="auto"/>
                        <w:bottom w:val="none" w:sz="0" w:space="0" w:color="auto"/>
                        <w:right w:val="none" w:sz="0" w:space="0" w:color="auto"/>
                      </w:divBdr>
                      <w:divsChild>
                        <w:div w:id="630751185">
                          <w:marLeft w:val="0"/>
                          <w:marRight w:val="0"/>
                          <w:marTop w:val="0"/>
                          <w:marBottom w:val="0"/>
                          <w:divBdr>
                            <w:top w:val="none" w:sz="0" w:space="0" w:color="auto"/>
                            <w:left w:val="none" w:sz="0" w:space="0" w:color="auto"/>
                            <w:bottom w:val="none" w:sz="0" w:space="0" w:color="auto"/>
                            <w:right w:val="none" w:sz="0" w:space="0" w:color="auto"/>
                          </w:divBdr>
                          <w:divsChild>
                            <w:div w:id="1556773867">
                              <w:marLeft w:val="0"/>
                              <w:marRight w:val="0"/>
                              <w:marTop w:val="0"/>
                              <w:marBottom w:val="0"/>
                              <w:divBdr>
                                <w:top w:val="none" w:sz="0" w:space="0" w:color="auto"/>
                                <w:left w:val="none" w:sz="0" w:space="0" w:color="auto"/>
                                <w:bottom w:val="none" w:sz="0" w:space="0" w:color="auto"/>
                                <w:right w:val="none" w:sz="0" w:space="0" w:color="auto"/>
                              </w:divBdr>
                              <w:divsChild>
                                <w:div w:id="1951468440">
                                  <w:marLeft w:val="0"/>
                                  <w:marRight w:val="0"/>
                                  <w:marTop w:val="0"/>
                                  <w:marBottom w:val="0"/>
                                  <w:divBdr>
                                    <w:top w:val="none" w:sz="0" w:space="0" w:color="auto"/>
                                    <w:left w:val="none" w:sz="0" w:space="0" w:color="auto"/>
                                    <w:bottom w:val="none" w:sz="0" w:space="0" w:color="auto"/>
                                    <w:right w:val="none" w:sz="0" w:space="0" w:color="auto"/>
                                  </w:divBdr>
                                  <w:divsChild>
                                    <w:div w:id="108075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2442146">
      <w:bodyDiv w:val="1"/>
      <w:marLeft w:val="0"/>
      <w:marRight w:val="0"/>
      <w:marTop w:val="0"/>
      <w:marBottom w:val="0"/>
      <w:divBdr>
        <w:top w:val="none" w:sz="0" w:space="0" w:color="auto"/>
        <w:left w:val="none" w:sz="0" w:space="0" w:color="auto"/>
        <w:bottom w:val="none" w:sz="0" w:space="0" w:color="auto"/>
        <w:right w:val="none" w:sz="0" w:space="0" w:color="auto"/>
      </w:divBdr>
    </w:div>
    <w:div w:id="350569840">
      <w:bodyDiv w:val="1"/>
      <w:marLeft w:val="0"/>
      <w:marRight w:val="0"/>
      <w:marTop w:val="0"/>
      <w:marBottom w:val="0"/>
      <w:divBdr>
        <w:top w:val="none" w:sz="0" w:space="0" w:color="auto"/>
        <w:left w:val="none" w:sz="0" w:space="0" w:color="auto"/>
        <w:bottom w:val="none" w:sz="0" w:space="0" w:color="auto"/>
        <w:right w:val="none" w:sz="0" w:space="0" w:color="auto"/>
      </w:divBdr>
    </w:div>
    <w:div w:id="353503831">
      <w:bodyDiv w:val="1"/>
      <w:marLeft w:val="0"/>
      <w:marRight w:val="0"/>
      <w:marTop w:val="0"/>
      <w:marBottom w:val="0"/>
      <w:divBdr>
        <w:top w:val="none" w:sz="0" w:space="0" w:color="auto"/>
        <w:left w:val="none" w:sz="0" w:space="0" w:color="auto"/>
        <w:bottom w:val="none" w:sz="0" w:space="0" w:color="auto"/>
        <w:right w:val="none" w:sz="0" w:space="0" w:color="auto"/>
      </w:divBdr>
    </w:div>
    <w:div w:id="355926937">
      <w:bodyDiv w:val="1"/>
      <w:marLeft w:val="0"/>
      <w:marRight w:val="0"/>
      <w:marTop w:val="0"/>
      <w:marBottom w:val="0"/>
      <w:divBdr>
        <w:top w:val="none" w:sz="0" w:space="0" w:color="auto"/>
        <w:left w:val="none" w:sz="0" w:space="0" w:color="auto"/>
        <w:bottom w:val="none" w:sz="0" w:space="0" w:color="auto"/>
        <w:right w:val="none" w:sz="0" w:space="0" w:color="auto"/>
      </w:divBdr>
    </w:div>
    <w:div w:id="399640910">
      <w:bodyDiv w:val="1"/>
      <w:marLeft w:val="0"/>
      <w:marRight w:val="0"/>
      <w:marTop w:val="0"/>
      <w:marBottom w:val="0"/>
      <w:divBdr>
        <w:top w:val="none" w:sz="0" w:space="0" w:color="auto"/>
        <w:left w:val="none" w:sz="0" w:space="0" w:color="auto"/>
        <w:bottom w:val="none" w:sz="0" w:space="0" w:color="auto"/>
        <w:right w:val="none" w:sz="0" w:space="0" w:color="auto"/>
      </w:divBdr>
    </w:div>
    <w:div w:id="404767811">
      <w:bodyDiv w:val="1"/>
      <w:marLeft w:val="0"/>
      <w:marRight w:val="0"/>
      <w:marTop w:val="0"/>
      <w:marBottom w:val="0"/>
      <w:divBdr>
        <w:top w:val="none" w:sz="0" w:space="0" w:color="auto"/>
        <w:left w:val="none" w:sz="0" w:space="0" w:color="auto"/>
        <w:bottom w:val="none" w:sz="0" w:space="0" w:color="auto"/>
        <w:right w:val="none" w:sz="0" w:space="0" w:color="auto"/>
      </w:divBdr>
    </w:div>
    <w:div w:id="420295234">
      <w:bodyDiv w:val="1"/>
      <w:marLeft w:val="0"/>
      <w:marRight w:val="0"/>
      <w:marTop w:val="0"/>
      <w:marBottom w:val="0"/>
      <w:divBdr>
        <w:top w:val="none" w:sz="0" w:space="0" w:color="auto"/>
        <w:left w:val="none" w:sz="0" w:space="0" w:color="auto"/>
        <w:bottom w:val="none" w:sz="0" w:space="0" w:color="auto"/>
        <w:right w:val="none" w:sz="0" w:space="0" w:color="auto"/>
      </w:divBdr>
    </w:div>
    <w:div w:id="457265064">
      <w:bodyDiv w:val="1"/>
      <w:marLeft w:val="0"/>
      <w:marRight w:val="0"/>
      <w:marTop w:val="0"/>
      <w:marBottom w:val="0"/>
      <w:divBdr>
        <w:top w:val="none" w:sz="0" w:space="0" w:color="auto"/>
        <w:left w:val="none" w:sz="0" w:space="0" w:color="auto"/>
        <w:bottom w:val="none" w:sz="0" w:space="0" w:color="auto"/>
        <w:right w:val="none" w:sz="0" w:space="0" w:color="auto"/>
      </w:divBdr>
    </w:div>
    <w:div w:id="478810281">
      <w:bodyDiv w:val="1"/>
      <w:marLeft w:val="0"/>
      <w:marRight w:val="0"/>
      <w:marTop w:val="0"/>
      <w:marBottom w:val="0"/>
      <w:divBdr>
        <w:top w:val="none" w:sz="0" w:space="0" w:color="auto"/>
        <w:left w:val="none" w:sz="0" w:space="0" w:color="auto"/>
        <w:bottom w:val="none" w:sz="0" w:space="0" w:color="auto"/>
        <w:right w:val="none" w:sz="0" w:space="0" w:color="auto"/>
      </w:divBdr>
    </w:div>
    <w:div w:id="517158137">
      <w:bodyDiv w:val="1"/>
      <w:marLeft w:val="0"/>
      <w:marRight w:val="0"/>
      <w:marTop w:val="0"/>
      <w:marBottom w:val="0"/>
      <w:divBdr>
        <w:top w:val="none" w:sz="0" w:space="0" w:color="auto"/>
        <w:left w:val="none" w:sz="0" w:space="0" w:color="auto"/>
        <w:bottom w:val="none" w:sz="0" w:space="0" w:color="auto"/>
        <w:right w:val="none" w:sz="0" w:space="0" w:color="auto"/>
      </w:divBdr>
    </w:div>
    <w:div w:id="588656210">
      <w:bodyDiv w:val="1"/>
      <w:marLeft w:val="0"/>
      <w:marRight w:val="0"/>
      <w:marTop w:val="0"/>
      <w:marBottom w:val="0"/>
      <w:divBdr>
        <w:top w:val="none" w:sz="0" w:space="0" w:color="auto"/>
        <w:left w:val="none" w:sz="0" w:space="0" w:color="auto"/>
        <w:bottom w:val="none" w:sz="0" w:space="0" w:color="auto"/>
        <w:right w:val="none" w:sz="0" w:space="0" w:color="auto"/>
      </w:divBdr>
    </w:div>
    <w:div w:id="660087994">
      <w:bodyDiv w:val="1"/>
      <w:marLeft w:val="0"/>
      <w:marRight w:val="0"/>
      <w:marTop w:val="0"/>
      <w:marBottom w:val="0"/>
      <w:divBdr>
        <w:top w:val="none" w:sz="0" w:space="0" w:color="auto"/>
        <w:left w:val="none" w:sz="0" w:space="0" w:color="auto"/>
        <w:bottom w:val="none" w:sz="0" w:space="0" w:color="auto"/>
        <w:right w:val="none" w:sz="0" w:space="0" w:color="auto"/>
      </w:divBdr>
    </w:div>
    <w:div w:id="704064122">
      <w:bodyDiv w:val="1"/>
      <w:marLeft w:val="0"/>
      <w:marRight w:val="0"/>
      <w:marTop w:val="0"/>
      <w:marBottom w:val="0"/>
      <w:divBdr>
        <w:top w:val="none" w:sz="0" w:space="0" w:color="auto"/>
        <w:left w:val="none" w:sz="0" w:space="0" w:color="auto"/>
        <w:bottom w:val="none" w:sz="0" w:space="0" w:color="auto"/>
        <w:right w:val="none" w:sz="0" w:space="0" w:color="auto"/>
      </w:divBdr>
    </w:div>
    <w:div w:id="753866855">
      <w:bodyDiv w:val="1"/>
      <w:marLeft w:val="0"/>
      <w:marRight w:val="0"/>
      <w:marTop w:val="0"/>
      <w:marBottom w:val="0"/>
      <w:divBdr>
        <w:top w:val="none" w:sz="0" w:space="0" w:color="auto"/>
        <w:left w:val="none" w:sz="0" w:space="0" w:color="auto"/>
        <w:bottom w:val="none" w:sz="0" w:space="0" w:color="auto"/>
        <w:right w:val="none" w:sz="0" w:space="0" w:color="auto"/>
      </w:divBdr>
    </w:div>
    <w:div w:id="806507792">
      <w:bodyDiv w:val="1"/>
      <w:marLeft w:val="0"/>
      <w:marRight w:val="0"/>
      <w:marTop w:val="0"/>
      <w:marBottom w:val="0"/>
      <w:divBdr>
        <w:top w:val="none" w:sz="0" w:space="0" w:color="auto"/>
        <w:left w:val="none" w:sz="0" w:space="0" w:color="auto"/>
        <w:bottom w:val="none" w:sz="0" w:space="0" w:color="auto"/>
        <w:right w:val="none" w:sz="0" w:space="0" w:color="auto"/>
      </w:divBdr>
    </w:div>
    <w:div w:id="868759361">
      <w:bodyDiv w:val="1"/>
      <w:marLeft w:val="0"/>
      <w:marRight w:val="0"/>
      <w:marTop w:val="0"/>
      <w:marBottom w:val="0"/>
      <w:divBdr>
        <w:top w:val="none" w:sz="0" w:space="0" w:color="auto"/>
        <w:left w:val="none" w:sz="0" w:space="0" w:color="auto"/>
        <w:bottom w:val="none" w:sz="0" w:space="0" w:color="auto"/>
        <w:right w:val="none" w:sz="0" w:space="0" w:color="auto"/>
      </w:divBdr>
      <w:divsChild>
        <w:div w:id="117648468">
          <w:marLeft w:val="0"/>
          <w:marRight w:val="0"/>
          <w:marTop w:val="0"/>
          <w:marBottom w:val="0"/>
          <w:divBdr>
            <w:top w:val="none" w:sz="0" w:space="0" w:color="auto"/>
            <w:left w:val="none" w:sz="0" w:space="0" w:color="auto"/>
            <w:bottom w:val="none" w:sz="0" w:space="0" w:color="auto"/>
            <w:right w:val="none" w:sz="0" w:space="0" w:color="auto"/>
          </w:divBdr>
          <w:divsChild>
            <w:div w:id="1664550959">
              <w:marLeft w:val="0"/>
              <w:marRight w:val="0"/>
              <w:marTop w:val="0"/>
              <w:marBottom w:val="0"/>
              <w:divBdr>
                <w:top w:val="none" w:sz="0" w:space="0" w:color="auto"/>
                <w:left w:val="none" w:sz="0" w:space="0" w:color="auto"/>
                <w:bottom w:val="none" w:sz="0" w:space="0" w:color="auto"/>
                <w:right w:val="none" w:sz="0" w:space="0" w:color="auto"/>
              </w:divBdr>
              <w:divsChild>
                <w:div w:id="304357564">
                  <w:marLeft w:val="0"/>
                  <w:marRight w:val="0"/>
                  <w:marTop w:val="0"/>
                  <w:marBottom w:val="0"/>
                  <w:divBdr>
                    <w:top w:val="none" w:sz="0" w:space="0" w:color="auto"/>
                    <w:left w:val="none" w:sz="0" w:space="0" w:color="auto"/>
                    <w:bottom w:val="none" w:sz="0" w:space="0" w:color="auto"/>
                    <w:right w:val="none" w:sz="0" w:space="0" w:color="auto"/>
                  </w:divBdr>
                  <w:divsChild>
                    <w:div w:id="168328842">
                      <w:marLeft w:val="0"/>
                      <w:marRight w:val="0"/>
                      <w:marTop w:val="0"/>
                      <w:marBottom w:val="0"/>
                      <w:divBdr>
                        <w:top w:val="none" w:sz="0" w:space="0" w:color="auto"/>
                        <w:left w:val="none" w:sz="0" w:space="0" w:color="auto"/>
                        <w:bottom w:val="none" w:sz="0" w:space="0" w:color="auto"/>
                        <w:right w:val="none" w:sz="0" w:space="0" w:color="auto"/>
                      </w:divBdr>
                      <w:divsChild>
                        <w:div w:id="724916621">
                          <w:marLeft w:val="0"/>
                          <w:marRight w:val="0"/>
                          <w:marTop w:val="0"/>
                          <w:marBottom w:val="0"/>
                          <w:divBdr>
                            <w:top w:val="none" w:sz="0" w:space="0" w:color="auto"/>
                            <w:left w:val="none" w:sz="0" w:space="0" w:color="auto"/>
                            <w:bottom w:val="none" w:sz="0" w:space="0" w:color="auto"/>
                            <w:right w:val="none" w:sz="0" w:space="0" w:color="auto"/>
                          </w:divBdr>
                          <w:divsChild>
                            <w:div w:id="437143958">
                              <w:marLeft w:val="0"/>
                              <w:marRight w:val="0"/>
                              <w:marTop w:val="0"/>
                              <w:marBottom w:val="0"/>
                              <w:divBdr>
                                <w:top w:val="none" w:sz="0" w:space="0" w:color="auto"/>
                                <w:left w:val="none" w:sz="0" w:space="0" w:color="auto"/>
                                <w:bottom w:val="none" w:sz="0" w:space="0" w:color="auto"/>
                                <w:right w:val="none" w:sz="0" w:space="0" w:color="auto"/>
                              </w:divBdr>
                              <w:divsChild>
                                <w:div w:id="847209640">
                                  <w:marLeft w:val="0"/>
                                  <w:marRight w:val="0"/>
                                  <w:marTop w:val="0"/>
                                  <w:marBottom w:val="0"/>
                                  <w:divBdr>
                                    <w:top w:val="none" w:sz="0" w:space="0" w:color="auto"/>
                                    <w:left w:val="none" w:sz="0" w:space="0" w:color="auto"/>
                                    <w:bottom w:val="none" w:sz="0" w:space="0" w:color="auto"/>
                                    <w:right w:val="none" w:sz="0" w:space="0" w:color="auto"/>
                                  </w:divBdr>
                                  <w:divsChild>
                                    <w:div w:id="105604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4561968">
      <w:bodyDiv w:val="1"/>
      <w:marLeft w:val="0"/>
      <w:marRight w:val="0"/>
      <w:marTop w:val="0"/>
      <w:marBottom w:val="0"/>
      <w:divBdr>
        <w:top w:val="none" w:sz="0" w:space="0" w:color="auto"/>
        <w:left w:val="none" w:sz="0" w:space="0" w:color="auto"/>
        <w:bottom w:val="none" w:sz="0" w:space="0" w:color="auto"/>
        <w:right w:val="none" w:sz="0" w:space="0" w:color="auto"/>
      </w:divBdr>
    </w:div>
    <w:div w:id="885411475">
      <w:bodyDiv w:val="1"/>
      <w:marLeft w:val="0"/>
      <w:marRight w:val="0"/>
      <w:marTop w:val="0"/>
      <w:marBottom w:val="0"/>
      <w:divBdr>
        <w:top w:val="none" w:sz="0" w:space="0" w:color="auto"/>
        <w:left w:val="none" w:sz="0" w:space="0" w:color="auto"/>
        <w:bottom w:val="none" w:sz="0" w:space="0" w:color="auto"/>
        <w:right w:val="none" w:sz="0" w:space="0" w:color="auto"/>
      </w:divBdr>
    </w:div>
    <w:div w:id="944382827">
      <w:bodyDiv w:val="1"/>
      <w:marLeft w:val="0"/>
      <w:marRight w:val="0"/>
      <w:marTop w:val="0"/>
      <w:marBottom w:val="0"/>
      <w:divBdr>
        <w:top w:val="none" w:sz="0" w:space="0" w:color="auto"/>
        <w:left w:val="none" w:sz="0" w:space="0" w:color="auto"/>
        <w:bottom w:val="none" w:sz="0" w:space="0" w:color="auto"/>
        <w:right w:val="none" w:sz="0" w:space="0" w:color="auto"/>
      </w:divBdr>
    </w:div>
    <w:div w:id="949240239">
      <w:bodyDiv w:val="1"/>
      <w:marLeft w:val="0"/>
      <w:marRight w:val="0"/>
      <w:marTop w:val="0"/>
      <w:marBottom w:val="0"/>
      <w:divBdr>
        <w:top w:val="none" w:sz="0" w:space="0" w:color="auto"/>
        <w:left w:val="none" w:sz="0" w:space="0" w:color="auto"/>
        <w:bottom w:val="none" w:sz="0" w:space="0" w:color="auto"/>
        <w:right w:val="none" w:sz="0" w:space="0" w:color="auto"/>
      </w:divBdr>
    </w:div>
    <w:div w:id="952128510">
      <w:bodyDiv w:val="1"/>
      <w:marLeft w:val="0"/>
      <w:marRight w:val="0"/>
      <w:marTop w:val="0"/>
      <w:marBottom w:val="0"/>
      <w:divBdr>
        <w:top w:val="none" w:sz="0" w:space="0" w:color="auto"/>
        <w:left w:val="none" w:sz="0" w:space="0" w:color="auto"/>
        <w:bottom w:val="none" w:sz="0" w:space="0" w:color="auto"/>
        <w:right w:val="none" w:sz="0" w:space="0" w:color="auto"/>
      </w:divBdr>
    </w:div>
    <w:div w:id="957568926">
      <w:bodyDiv w:val="1"/>
      <w:marLeft w:val="0"/>
      <w:marRight w:val="0"/>
      <w:marTop w:val="0"/>
      <w:marBottom w:val="0"/>
      <w:divBdr>
        <w:top w:val="none" w:sz="0" w:space="0" w:color="auto"/>
        <w:left w:val="none" w:sz="0" w:space="0" w:color="auto"/>
        <w:bottom w:val="none" w:sz="0" w:space="0" w:color="auto"/>
        <w:right w:val="none" w:sz="0" w:space="0" w:color="auto"/>
      </w:divBdr>
    </w:div>
    <w:div w:id="1017585567">
      <w:bodyDiv w:val="1"/>
      <w:marLeft w:val="0"/>
      <w:marRight w:val="0"/>
      <w:marTop w:val="0"/>
      <w:marBottom w:val="0"/>
      <w:divBdr>
        <w:top w:val="none" w:sz="0" w:space="0" w:color="auto"/>
        <w:left w:val="none" w:sz="0" w:space="0" w:color="auto"/>
        <w:bottom w:val="none" w:sz="0" w:space="0" w:color="auto"/>
        <w:right w:val="none" w:sz="0" w:space="0" w:color="auto"/>
      </w:divBdr>
    </w:div>
    <w:div w:id="1023629526">
      <w:bodyDiv w:val="1"/>
      <w:marLeft w:val="0"/>
      <w:marRight w:val="0"/>
      <w:marTop w:val="0"/>
      <w:marBottom w:val="0"/>
      <w:divBdr>
        <w:top w:val="none" w:sz="0" w:space="0" w:color="auto"/>
        <w:left w:val="none" w:sz="0" w:space="0" w:color="auto"/>
        <w:bottom w:val="none" w:sz="0" w:space="0" w:color="auto"/>
        <w:right w:val="none" w:sz="0" w:space="0" w:color="auto"/>
      </w:divBdr>
    </w:div>
    <w:div w:id="1072504388">
      <w:bodyDiv w:val="1"/>
      <w:marLeft w:val="0"/>
      <w:marRight w:val="0"/>
      <w:marTop w:val="0"/>
      <w:marBottom w:val="0"/>
      <w:divBdr>
        <w:top w:val="none" w:sz="0" w:space="0" w:color="auto"/>
        <w:left w:val="none" w:sz="0" w:space="0" w:color="auto"/>
        <w:bottom w:val="none" w:sz="0" w:space="0" w:color="auto"/>
        <w:right w:val="none" w:sz="0" w:space="0" w:color="auto"/>
      </w:divBdr>
    </w:div>
    <w:div w:id="1073046259">
      <w:bodyDiv w:val="1"/>
      <w:marLeft w:val="0"/>
      <w:marRight w:val="0"/>
      <w:marTop w:val="0"/>
      <w:marBottom w:val="0"/>
      <w:divBdr>
        <w:top w:val="none" w:sz="0" w:space="0" w:color="auto"/>
        <w:left w:val="none" w:sz="0" w:space="0" w:color="auto"/>
        <w:bottom w:val="none" w:sz="0" w:space="0" w:color="auto"/>
        <w:right w:val="none" w:sz="0" w:space="0" w:color="auto"/>
      </w:divBdr>
    </w:div>
    <w:div w:id="1107969011">
      <w:bodyDiv w:val="1"/>
      <w:marLeft w:val="0"/>
      <w:marRight w:val="0"/>
      <w:marTop w:val="0"/>
      <w:marBottom w:val="0"/>
      <w:divBdr>
        <w:top w:val="none" w:sz="0" w:space="0" w:color="auto"/>
        <w:left w:val="none" w:sz="0" w:space="0" w:color="auto"/>
        <w:bottom w:val="none" w:sz="0" w:space="0" w:color="auto"/>
        <w:right w:val="none" w:sz="0" w:space="0" w:color="auto"/>
      </w:divBdr>
    </w:div>
    <w:div w:id="1128209720">
      <w:bodyDiv w:val="1"/>
      <w:marLeft w:val="0"/>
      <w:marRight w:val="0"/>
      <w:marTop w:val="0"/>
      <w:marBottom w:val="0"/>
      <w:divBdr>
        <w:top w:val="none" w:sz="0" w:space="0" w:color="auto"/>
        <w:left w:val="none" w:sz="0" w:space="0" w:color="auto"/>
        <w:bottom w:val="none" w:sz="0" w:space="0" w:color="auto"/>
        <w:right w:val="none" w:sz="0" w:space="0" w:color="auto"/>
      </w:divBdr>
    </w:div>
    <w:div w:id="1160468408">
      <w:bodyDiv w:val="1"/>
      <w:marLeft w:val="0"/>
      <w:marRight w:val="0"/>
      <w:marTop w:val="0"/>
      <w:marBottom w:val="0"/>
      <w:divBdr>
        <w:top w:val="none" w:sz="0" w:space="0" w:color="auto"/>
        <w:left w:val="none" w:sz="0" w:space="0" w:color="auto"/>
        <w:bottom w:val="none" w:sz="0" w:space="0" w:color="auto"/>
        <w:right w:val="none" w:sz="0" w:space="0" w:color="auto"/>
      </w:divBdr>
    </w:div>
    <w:div w:id="1174223571">
      <w:bodyDiv w:val="1"/>
      <w:marLeft w:val="0"/>
      <w:marRight w:val="0"/>
      <w:marTop w:val="0"/>
      <w:marBottom w:val="0"/>
      <w:divBdr>
        <w:top w:val="none" w:sz="0" w:space="0" w:color="auto"/>
        <w:left w:val="none" w:sz="0" w:space="0" w:color="auto"/>
        <w:bottom w:val="none" w:sz="0" w:space="0" w:color="auto"/>
        <w:right w:val="none" w:sz="0" w:space="0" w:color="auto"/>
      </w:divBdr>
    </w:div>
    <w:div w:id="1192377151">
      <w:bodyDiv w:val="1"/>
      <w:marLeft w:val="0"/>
      <w:marRight w:val="0"/>
      <w:marTop w:val="0"/>
      <w:marBottom w:val="0"/>
      <w:divBdr>
        <w:top w:val="none" w:sz="0" w:space="0" w:color="auto"/>
        <w:left w:val="none" w:sz="0" w:space="0" w:color="auto"/>
        <w:bottom w:val="none" w:sz="0" w:space="0" w:color="auto"/>
        <w:right w:val="none" w:sz="0" w:space="0" w:color="auto"/>
      </w:divBdr>
    </w:div>
    <w:div w:id="1196041273">
      <w:bodyDiv w:val="1"/>
      <w:marLeft w:val="0"/>
      <w:marRight w:val="0"/>
      <w:marTop w:val="0"/>
      <w:marBottom w:val="0"/>
      <w:divBdr>
        <w:top w:val="none" w:sz="0" w:space="0" w:color="auto"/>
        <w:left w:val="none" w:sz="0" w:space="0" w:color="auto"/>
        <w:bottom w:val="none" w:sz="0" w:space="0" w:color="auto"/>
        <w:right w:val="none" w:sz="0" w:space="0" w:color="auto"/>
      </w:divBdr>
    </w:div>
    <w:div w:id="1240747803">
      <w:bodyDiv w:val="1"/>
      <w:marLeft w:val="0"/>
      <w:marRight w:val="0"/>
      <w:marTop w:val="0"/>
      <w:marBottom w:val="0"/>
      <w:divBdr>
        <w:top w:val="none" w:sz="0" w:space="0" w:color="auto"/>
        <w:left w:val="none" w:sz="0" w:space="0" w:color="auto"/>
        <w:bottom w:val="none" w:sz="0" w:space="0" w:color="auto"/>
        <w:right w:val="none" w:sz="0" w:space="0" w:color="auto"/>
      </w:divBdr>
    </w:div>
    <w:div w:id="1257322383">
      <w:bodyDiv w:val="1"/>
      <w:marLeft w:val="0"/>
      <w:marRight w:val="0"/>
      <w:marTop w:val="0"/>
      <w:marBottom w:val="0"/>
      <w:divBdr>
        <w:top w:val="none" w:sz="0" w:space="0" w:color="auto"/>
        <w:left w:val="none" w:sz="0" w:space="0" w:color="auto"/>
        <w:bottom w:val="none" w:sz="0" w:space="0" w:color="auto"/>
        <w:right w:val="none" w:sz="0" w:space="0" w:color="auto"/>
      </w:divBdr>
    </w:div>
    <w:div w:id="1267159193">
      <w:bodyDiv w:val="1"/>
      <w:marLeft w:val="0"/>
      <w:marRight w:val="0"/>
      <w:marTop w:val="0"/>
      <w:marBottom w:val="0"/>
      <w:divBdr>
        <w:top w:val="none" w:sz="0" w:space="0" w:color="auto"/>
        <w:left w:val="none" w:sz="0" w:space="0" w:color="auto"/>
        <w:bottom w:val="none" w:sz="0" w:space="0" w:color="auto"/>
        <w:right w:val="none" w:sz="0" w:space="0" w:color="auto"/>
      </w:divBdr>
    </w:div>
    <w:div w:id="1293902510">
      <w:bodyDiv w:val="1"/>
      <w:marLeft w:val="0"/>
      <w:marRight w:val="0"/>
      <w:marTop w:val="0"/>
      <w:marBottom w:val="0"/>
      <w:divBdr>
        <w:top w:val="none" w:sz="0" w:space="0" w:color="auto"/>
        <w:left w:val="none" w:sz="0" w:space="0" w:color="auto"/>
        <w:bottom w:val="none" w:sz="0" w:space="0" w:color="auto"/>
        <w:right w:val="none" w:sz="0" w:space="0" w:color="auto"/>
      </w:divBdr>
    </w:div>
    <w:div w:id="1328705451">
      <w:bodyDiv w:val="1"/>
      <w:marLeft w:val="0"/>
      <w:marRight w:val="0"/>
      <w:marTop w:val="0"/>
      <w:marBottom w:val="0"/>
      <w:divBdr>
        <w:top w:val="none" w:sz="0" w:space="0" w:color="auto"/>
        <w:left w:val="none" w:sz="0" w:space="0" w:color="auto"/>
        <w:bottom w:val="none" w:sz="0" w:space="0" w:color="auto"/>
        <w:right w:val="none" w:sz="0" w:space="0" w:color="auto"/>
      </w:divBdr>
    </w:div>
    <w:div w:id="1346129621">
      <w:bodyDiv w:val="1"/>
      <w:marLeft w:val="0"/>
      <w:marRight w:val="0"/>
      <w:marTop w:val="0"/>
      <w:marBottom w:val="0"/>
      <w:divBdr>
        <w:top w:val="none" w:sz="0" w:space="0" w:color="auto"/>
        <w:left w:val="none" w:sz="0" w:space="0" w:color="auto"/>
        <w:bottom w:val="none" w:sz="0" w:space="0" w:color="auto"/>
        <w:right w:val="none" w:sz="0" w:space="0" w:color="auto"/>
      </w:divBdr>
      <w:divsChild>
        <w:div w:id="523178541">
          <w:marLeft w:val="0"/>
          <w:marRight w:val="0"/>
          <w:marTop w:val="0"/>
          <w:marBottom w:val="0"/>
          <w:divBdr>
            <w:top w:val="none" w:sz="0" w:space="0" w:color="auto"/>
            <w:left w:val="none" w:sz="0" w:space="0" w:color="auto"/>
            <w:bottom w:val="none" w:sz="0" w:space="0" w:color="auto"/>
            <w:right w:val="none" w:sz="0" w:space="0" w:color="auto"/>
          </w:divBdr>
          <w:divsChild>
            <w:div w:id="897743801">
              <w:marLeft w:val="0"/>
              <w:marRight w:val="0"/>
              <w:marTop w:val="0"/>
              <w:marBottom w:val="0"/>
              <w:divBdr>
                <w:top w:val="none" w:sz="0" w:space="0" w:color="auto"/>
                <w:left w:val="none" w:sz="0" w:space="0" w:color="auto"/>
                <w:bottom w:val="none" w:sz="0" w:space="0" w:color="auto"/>
                <w:right w:val="none" w:sz="0" w:space="0" w:color="auto"/>
              </w:divBdr>
              <w:divsChild>
                <w:div w:id="890767198">
                  <w:marLeft w:val="0"/>
                  <w:marRight w:val="0"/>
                  <w:marTop w:val="0"/>
                  <w:marBottom w:val="0"/>
                  <w:divBdr>
                    <w:top w:val="none" w:sz="0" w:space="0" w:color="auto"/>
                    <w:left w:val="none" w:sz="0" w:space="0" w:color="auto"/>
                    <w:bottom w:val="none" w:sz="0" w:space="0" w:color="auto"/>
                    <w:right w:val="none" w:sz="0" w:space="0" w:color="auto"/>
                  </w:divBdr>
                  <w:divsChild>
                    <w:div w:id="399449255">
                      <w:marLeft w:val="0"/>
                      <w:marRight w:val="0"/>
                      <w:marTop w:val="0"/>
                      <w:marBottom w:val="0"/>
                      <w:divBdr>
                        <w:top w:val="none" w:sz="0" w:space="0" w:color="auto"/>
                        <w:left w:val="none" w:sz="0" w:space="0" w:color="auto"/>
                        <w:bottom w:val="none" w:sz="0" w:space="0" w:color="auto"/>
                        <w:right w:val="none" w:sz="0" w:space="0" w:color="auto"/>
                      </w:divBdr>
                      <w:divsChild>
                        <w:div w:id="707992475">
                          <w:marLeft w:val="0"/>
                          <w:marRight w:val="0"/>
                          <w:marTop w:val="0"/>
                          <w:marBottom w:val="0"/>
                          <w:divBdr>
                            <w:top w:val="none" w:sz="0" w:space="0" w:color="auto"/>
                            <w:left w:val="none" w:sz="0" w:space="0" w:color="auto"/>
                            <w:bottom w:val="none" w:sz="0" w:space="0" w:color="auto"/>
                            <w:right w:val="none" w:sz="0" w:space="0" w:color="auto"/>
                          </w:divBdr>
                          <w:divsChild>
                            <w:div w:id="144712320">
                              <w:marLeft w:val="0"/>
                              <w:marRight w:val="0"/>
                              <w:marTop w:val="0"/>
                              <w:marBottom w:val="0"/>
                              <w:divBdr>
                                <w:top w:val="none" w:sz="0" w:space="0" w:color="auto"/>
                                <w:left w:val="none" w:sz="0" w:space="0" w:color="auto"/>
                                <w:bottom w:val="none" w:sz="0" w:space="0" w:color="auto"/>
                                <w:right w:val="none" w:sz="0" w:space="0" w:color="auto"/>
                              </w:divBdr>
                              <w:divsChild>
                                <w:div w:id="1156457081">
                                  <w:marLeft w:val="0"/>
                                  <w:marRight w:val="0"/>
                                  <w:marTop w:val="0"/>
                                  <w:marBottom w:val="0"/>
                                  <w:divBdr>
                                    <w:top w:val="none" w:sz="0" w:space="0" w:color="auto"/>
                                    <w:left w:val="none" w:sz="0" w:space="0" w:color="auto"/>
                                    <w:bottom w:val="none" w:sz="0" w:space="0" w:color="auto"/>
                                    <w:right w:val="none" w:sz="0" w:space="0" w:color="auto"/>
                                  </w:divBdr>
                                  <w:divsChild>
                                    <w:div w:id="120278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8629251">
      <w:bodyDiv w:val="1"/>
      <w:marLeft w:val="0"/>
      <w:marRight w:val="0"/>
      <w:marTop w:val="0"/>
      <w:marBottom w:val="0"/>
      <w:divBdr>
        <w:top w:val="none" w:sz="0" w:space="0" w:color="auto"/>
        <w:left w:val="none" w:sz="0" w:space="0" w:color="auto"/>
        <w:bottom w:val="none" w:sz="0" w:space="0" w:color="auto"/>
        <w:right w:val="none" w:sz="0" w:space="0" w:color="auto"/>
      </w:divBdr>
    </w:div>
    <w:div w:id="1414357726">
      <w:bodyDiv w:val="1"/>
      <w:marLeft w:val="0"/>
      <w:marRight w:val="0"/>
      <w:marTop w:val="0"/>
      <w:marBottom w:val="0"/>
      <w:divBdr>
        <w:top w:val="none" w:sz="0" w:space="0" w:color="auto"/>
        <w:left w:val="none" w:sz="0" w:space="0" w:color="auto"/>
        <w:bottom w:val="none" w:sz="0" w:space="0" w:color="auto"/>
        <w:right w:val="none" w:sz="0" w:space="0" w:color="auto"/>
      </w:divBdr>
    </w:div>
    <w:div w:id="1434545209">
      <w:bodyDiv w:val="1"/>
      <w:marLeft w:val="0"/>
      <w:marRight w:val="0"/>
      <w:marTop w:val="0"/>
      <w:marBottom w:val="0"/>
      <w:divBdr>
        <w:top w:val="none" w:sz="0" w:space="0" w:color="auto"/>
        <w:left w:val="none" w:sz="0" w:space="0" w:color="auto"/>
        <w:bottom w:val="none" w:sz="0" w:space="0" w:color="auto"/>
        <w:right w:val="none" w:sz="0" w:space="0" w:color="auto"/>
      </w:divBdr>
    </w:div>
    <w:div w:id="1466509772">
      <w:bodyDiv w:val="1"/>
      <w:marLeft w:val="0"/>
      <w:marRight w:val="0"/>
      <w:marTop w:val="0"/>
      <w:marBottom w:val="0"/>
      <w:divBdr>
        <w:top w:val="none" w:sz="0" w:space="0" w:color="auto"/>
        <w:left w:val="none" w:sz="0" w:space="0" w:color="auto"/>
        <w:bottom w:val="none" w:sz="0" w:space="0" w:color="auto"/>
        <w:right w:val="none" w:sz="0" w:space="0" w:color="auto"/>
      </w:divBdr>
    </w:div>
    <w:div w:id="1474445524">
      <w:bodyDiv w:val="1"/>
      <w:marLeft w:val="0"/>
      <w:marRight w:val="0"/>
      <w:marTop w:val="0"/>
      <w:marBottom w:val="0"/>
      <w:divBdr>
        <w:top w:val="none" w:sz="0" w:space="0" w:color="auto"/>
        <w:left w:val="none" w:sz="0" w:space="0" w:color="auto"/>
        <w:bottom w:val="none" w:sz="0" w:space="0" w:color="auto"/>
        <w:right w:val="none" w:sz="0" w:space="0" w:color="auto"/>
      </w:divBdr>
    </w:div>
    <w:div w:id="1480071457">
      <w:bodyDiv w:val="1"/>
      <w:marLeft w:val="0"/>
      <w:marRight w:val="0"/>
      <w:marTop w:val="0"/>
      <w:marBottom w:val="0"/>
      <w:divBdr>
        <w:top w:val="none" w:sz="0" w:space="0" w:color="auto"/>
        <w:left w:val="none" w:sz="0" w:space="0" w:color="auto"/>
        <w:bottom w:val="none" w:sz="0" w:space="0" w:color="auto"/>
        <w:right w:val="none" w:sz="0" w:space="0" w:color="auto"/>
      </w:divBdr>
    </w:div>
    <w:div w:id="1545872629">
      <w:bodyDiv w:val="1"/>
      <w:marLeft w:val="0"/>
      <w:marRight w:val="0"/>
      <w:marTop w:val="0"/>
      <w:marBottom w:val="0"/>
      <w:divBdr>
        <w:top w:val="none" w:sz="0" w:space="0" w:color="auto"/>
        <w:left w:val="none" w:sz="0" w:space="0" w:color="auto"/>
        <w:bottom w:val="none" w:sz="0" w:space="0" w:color="auto"/>
        <w:right w:val="none" w:sz="0" w:space="0" w:color="auto"/>
      </w:divBdr>
    </w:div>
    <w:div w:id="1579316906">
      <w:bodyDiv w:val="1"/>
      <w:marLeft w:val="0"/>
      <w:marRight w:val="0"/>
      <w:marTop w:val="0"/>
      <w:marBottom w:val="0"/>
      <w:divBdr>
        <w:top w:val="none" w:sz="0" w:space="0" w:color="auto"/>
        <w:left w:val="none" w:sz="0" w:space="0" w:color="auto"/>
        <w:bottom w:val="none" w:sz="0" w:space="0" w:color="auto"/>
        <w:right w:val="none" w:sz="0" w:space="0" w:color="auto"/>
      </w:divBdr>
    </w:div>
    <w:div w:id="1580748229">
      <w:bodyDiv w:val="1"/>
      <w:marLeft w:val="0"/>
      <w:marRight w:val="0"/>
      <w:marTop w:val="0"/>
      <w:marBottom w:val="0"/>
      <w:divBdr>
        <w:top w:val="none" w:sz="0" w:space="0" w:color="auto"/>
        <w:left w:val="none" w:sz="0" w:space="0" w:color="auto"/>
        <w:bottom w:val="none" w:sz="0" w:space="0" w:color="auto"/>
        <w:right w:val="none" w:sz="0" w:space="0" w:color="auto"/>
      </w:divBdr>
      <w:divsChild>
        <w:div w:id="751855626">
          <w:marLeft w:val="0"/>
          <w:marRight w:val="0"/>
          <w:marTop w:val="0"/>
          <w:marBottom w:val="0"/>
          <w:divBdr>
            <w:top w:val="none" w:sz="0" w:space="0" w:color="auto"/>
            <w:left w:val="none" w:sz="0" w:space="0" w:color="auto"/>
            <w:bottom w:val="none" w:sz="0" w:space="0" w:color="auto"/>
            <w:right w:val="none" w:sz="0" w:space="0" w:color="auto"/>
          </w:divBdr>
          <w:divsChild>
            <w:div w:id="106326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015981">
      <w:bodyDiv w:val="1"/>
      <w:marLeft w:val="0"/>
      <w:marRight w:val="0"/>
      <w:marTop w:val="0"/>
      <w:marBottom w:val="0"/>
      <w:divBdr>
        <w:top w:val="none" w:sz="0" w:space="0" w:color="auto"/>
        <w:left w:val="none" w:sz="0" w:space="0" w:color="auto"/>
        <w:bottom w:val="none" w:sz="0" w:space="0" w:color="auto"/>
        <w:right w:val="none" w:sz="0" w:space="0" w:color="auto"/>
      </w:divBdr>
    </w:div>
    <w:div w:id="1678536566">
      <w:bodyDiv w:val="1"/>
      <w:marLeft w:val="0"/>
      <w:marRight w:val="0"/>
      <w:marTop w:val="0"/>
      <w:marBottom w:val="0"/>
      <w:divBdr>
        <w:top w:val="none" w:sz="0" w:space="0" w:color="auto"/>
        <w:left w:val="none" w:sz="0" w:space="0" w:color="auto"/>
        <w:bottom w:val="none" w:sz="0" w:space="0" w:color="auto"/>
        <w:right w:val="none" w:sz="0" w:space="0" w:color="auto"/>
      </w:divBdr>
    </w:div>
    <w:div w:id="1715303629">
      <w:bodyDiv w:val="1"/>
      <w:marLeft w:val="0"/>
      <w:marRight w:val="0"/>
      <w:marTop w:val="0"/>
      <w:marBottom w:val="0"/>
      <w:divBdr>
        <w:top w:val="none" w:sz="0" w:space="0" w:color="auto"/>
        <w:left w:val="none" w:sz="0" w:space="0" w:color="auto"/>
        <w:bottom w:val="none" w:sz="0" w:space="0" w:color="auto"/>
        <w:right w:val="none" w:sz="0" w:space="0" w:color="auto"/>
      </w:divBdr>
    </w:div>
    <w:div w:id="1755274099">
      <w:bodyDiv w:val="1"/>
      <w:marLeft w:val="0"/>
      <w:marRight w:val="0"/>
      <w:marTop w:val="0"/>
      <w:marBottom w:val="0"/>
      <w:divBdr>
        <w:top w:val="none" w:sz="0" w:space="0" w:color="auto"/>
        <w:left w:val="none" w:sz="0" w:space="0" w:color="auto"/>
        <w:bottom w:val="none" w:sz="0" w:space="0" w:color="auto"/>
        <w:right w:val="none" w:sz="0" w:space="0" w:color="auto"/>
      </w:divBdr>
    </w:div>
    <w:div w:id="1873033909">
      <w:bodyDiv w:val="1"/>
      <w:marLeft w:val="0"/>
      <w:marRight w:val="0"/>
      <w:marTop w:val="0"/>
      <w:marBottom w:val="0"/>
      <w:divBdr>
        <w:top w:val="none" w:sz="0" w:space="0" w:color="auto"/>
        <w:left w:val="none" w:sz="0" w:space="0" w:color="auto"/>
        <w:bottom w:val="none" w:sz="0" w:space="0" w:color="auto"/>
        <w:right w:val="none" w:sz="0" w:space="0" w:color="auto"/>
      </w:divBdr>
    </w:div>
    <w:div w:id="1877692063">
      <w:bodyDiv w:val="1"/>
      <w:marLeft w:val="0"/>
      <w:marRight w:val="0"/>
      <w:marTop w:val="0"/>
      <w:marBottom w:val="0"/>
      <w:divBdr>
        <w:top w:val="none" w:sz="0" w:space="0" w:color="auto"/>
        <w:left w:val="none" w:sz="0" w:space="0" w:color="auto"/>
        <w:bottom w:val="none" w:sz="0" w:space="0" w:color="auto"/>
        <w:right w:val="none" w:sz="0" w:space="0" w:color="auto"/>
      </w:divBdr>
      <w:divsChild>
        <w:div w:id="413012302">
          <w:marLeft w:val="0"/>
          <w:marRight w:val="0"/>
          <w:marTop w:val="0"/>
          <w:marBottom w:val="0"/>
          <w:divBdr>
            <w:top w:val="none" w:sz="0" w:space="0" w:color="auto"/>
            <w:left w:val="none" w:sz="0" w:space="0" w:color="auto"/>
            <w:bottom w:val="none" w:sz="0" w:space="0" w:color="auto"/>
            <w:right w:val="none" w:sz="0" w:space="0" w:color="auto"/>
          </w:divBdr>
          <w:divsChild>
            <w:div w:id="10726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19404">
      <w:bodyDiv w:val="1"/>
      <w:marLeft w:val="0"/>
      <w:marRight w:val="0"/>
      <w:marTop w:val="0"/>
      <w:marBottom w:val="0"/>
      <w:divBdr>
        <w:top w:val="none" w:sz="0" w:space="0" w:color="auto"/>
        <w:left w:val="none" w:sz="0" w:space="0" w:color="auto"/>
        <w:bottom w:val="none" w:sz="0" w:space="0" w:color="auto"/>
        <w:right w:val="none" w:sz="0" w:space="0" w:color="auto"/>
      </w:divBdr>
    </w:div>
    <w:div w:id="1920872117">
      <w:bodyDiv w:val="1"/>
      <w:marLeft w:val="0"/>
      <w:marRight w:val="0"/>
      <w:marTop w:val="0"/>
      <w:marBottom w:val="0"/>
      <w:divBdr>
        <w:top w:val="none" w:sz="0" w:space="0" w:color="auto"/>
        <w:left w:val="none" w:sz="0" w:space="0" w:color="auto"/>
        <w:bottom w:val="none" w:sz="0" w:space="0" w:color="auto"/>
        <w:right w:val="none" w:sz="0" w:space="0" w:color="auto"/>
      </w:divBdr>
    </w:div>
    <w:div w:id="1934631249">
      <w:bodyDiv w:val="1"/>
      <w:marLeft w:val="0"/>
      <w:marRight w:val="0"/>
      <w:marTop w:val="0"/>
      <w:marBottom w:val="0"/>
      <w:divBdr>
        <w:top w:val="none" w:sz="0" w:space="0" w:color="auto"/>
        <w:left w:val="none" w:sz="0" w:space="0" w:color="auto"/>
        <w:bottom w:val="none" w:sz="0" w:space="0" w:color="auto"/>
        <w:right w:val="none" w:sz="0" w:space="0" w:color="auto"/>
      </w:divBdr>
    </w:div>
    <w:div w:id="1939095554">
      <w:bodyDiv w:val="1"/>
      <w:marLeft w:val="0"/>
      <w:marRight w:val="0"/>
      <w:marTop w:val="0"/>
      <w:marBottom w:val="0"/>
      <w:divBdr>
        <w:top w:val="none" w:sz="0" w:space="0" w:color="auto"/>
        <w:left w:val="none" w:sz="0" w:space="0" w:color="auto"/>
        <w:bottom w:val="none" w:sz="0" w:space="0" w:color="auto"/>
        <w:right w:val="none" w:sz="0" w:space="0" w:color="auto"/>
      </w:divBdr>
    </w:div>
    <w:div w:id="1961379831">
      <w:bodyDiv w:val="1"/>
      <w:marLeft w:val="0"/>
      <w:marRight w:val="0"/>
      <w:marTop w:val="0"/>
      <w:marBottom w:val="0"/>
      <w:divBdr>
        <w:top w:val="none" w:sz="0" w:space="0" w:color="auto"/>
        <w:left w:val="none" w:sz="0" w:space="0" w:color="auto"/>
        <w:bottom w:val="none" w:sz="0" w:space="0" w:color="auto"/>
        <w:right w:val="none" w:sz="0" w:space="0" w:color="auto"/>
      </w:divBdr>
      <w:divsChild>
        <w:div w:id="490683202">
          <w:marLeft w:val="0"/>
          <w:marRight w:val="0"/>
          <w:marTop w:val="0"/>
          <w:marBottom w:val="0"/>
          <w:divBdr>
            <w:top w:val="none" w:sz="0" w:space="0" w:color="auto"/>
            <w:left w:val="none" w:sz="0" w:space="0" w:color="auto"/>
            <w:bottom w:val="none" w:sz="0" w:space="0" w:color="auto"/>
            <w:right w:val="none" w:sz="0" w:space="0" w:color="auto"/>
          </w:divBdr>
          <w:divsChild>
            <w:div w:id="586839923">
              <w:marLeft w:val="0"/>
              <w:marRight w:val="0"/>
              <w:marTop w:val="0"/>
              <w:marBottom w:val="0"/>
              <w:divBdr>
                <w:top w:val="none" w:sz="0" w:space="0" w:color="auto"/>
                <w:left w:val="none" w:sz="0" w:space="0" w:color="auto"/>
                <w:bottom w:val="none" w:sz="0" w:space="0" w:color="auto"/>
                <w:right w:val="none" w:sz="0" w:space="0" w:color="auto"/>
              </w:divBdr>
              <w:divsChild>
                <w:div w:id="527724366">
                  <w:marLeft w:val="0"/>
                  <w:marRight w:val="0"/>
                  <w:marTop w:val="0"/>
                  <w:marBottom w:val="0"/>
                  <w:divBdr>
                    <w:top w:val="none" w:sz="0" w:space="0" w:color="auto"/>
                    <w:left w:val="none" w:sz="0" w:space="0" w:color="auto"/>
                    <w:bottom w:val="none" w:sz="0" w:space="0" w:color="auto"/>
                    <w:right w:val="none" w:sz="0" w:space="0" w:color="auto"/>
                  </w:divBdr>
                  <w:divsChild>
                    <w:div w:id="793525026">
                      <w:marLeft w:val="0"/>
                      <w:marRight w:val="0"/>
                      <w:marTop w:val="0"/>
                      <w:marBottom w:val="0"/>
                      <w:divBdr>
                        <w:top w:val="none" w:sz="0" w:space="0" w:color="auto"/>
                        <w:left w:val="none" w:sz="0" w:space="0" w:color="auto"/>
                        <w:bottom w:val="none" w:sz="0" w:space="0" w:color="auto"/>
                        <w:right w:val="none" w:sz="0" w:space="0" w:color="auto"/>
                      </w:divBdr>
                      <w:divsChild>
                        <w:div w:id="967782691">
                          <w:marLeft w:val="0"/>
                          <w:marRight w:val="0"/>
                          <w:marTop w:val="0"/>
                          <w:marBottom w:val="0"/>
                          <w:divBdr>
                            <w:top w:val="none" w:sz="0" w:space="0" w:color="auto"/>
                            <w:left w:val="none" w:sz="0" w:space="0" w:color="auto"/>
                            <w:bottom w:val="none" w:sz="0" w:space="0" w:color="auto"/>
                            <w:right w:val="none" w:sz="0" w:space="0" w:color="auto"/>
                          </w:divBdr>
                          <w:divsChild>
                            <w:div w:id="800391326">
                              <w:marLeft w:val="0"/>
                              <w:marRight w:val="0"/>
                              <w:marTop w:val="0"/>
                              <w:marBottom w:val="0"/>
                              <w:divBdr>
                                <w:top w:val="none" w:sz="0" w:space="0" w:color="auto"/>
                                <w:left w:val="none" w:sz="0" w:space="0" w:color="auto"/>
                                <w:bottom w:val="none" w:sz="0" w:space="0" w:color="auto"/>
                                <w:right w:val="none" w:sz="0" w:space="0" w:color="auto"/>
                              </w:divBdr>
                              <w:divsChild>
                                <w:div w:id="272178873">
                                  <w:marLeft w:val="0"/>
                                  <w:marRight w:val="0"/>
                                  <w:marTop w:val="0"/>
                                  <w:marBottom w:val="0"/>
                                  <w:divBdr>
                                    <w:top w:val="none" w:sz="0" w:space="0" w:color="auto"/>
                                    <w:left w:val="none" w:sz="0" w:space="0" w:color="auto"/>
                                    <w:bottom w:val="none" w:sz="0" w:space="0" w:color="auto"/>
                                    <w:right w:val="none" w:sz="0" w:space="0" w:color="auto"/>
                                  </w:divBdr>
                                  <w:divsChild>
                                    <w:div w:id="12655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7141705">
      <w:bodyDiv w:val="1"/>
      <w:marLeft w:val="0"/>
      <w:marRight w:val="0"/>
      <w:marTop w:val="0"/>
      <w:marBottom w:val="0"/>
      <w:divBdr>
        <w:top w:val="none" w:sz="0" w:space="0" w:color="auto"/>
        <w:left w:val="none" w:sz="0" w:space="0" w:color="auto"/>
        <w:bottom w:val="none" w:sz="0" w:space="0" w:color="auto"/>
        <w:right w:val="none" w:sz="0" w:space="0" w:color="auto"/>
      </w:divBdr>
    </w:div>
    <w:div w:id="21397620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doi.org/10.47772/IJRISS.2024.8110068?utm_source=chatgpt.com" TargetMode="External"/><Relationship Id="rId21" Type="http://schemas.openxmlformats.org/officeDocument/2006/relationships/image" Target="media/image14.png"/><Relationship Id="rId42" Type="http://schemas.openxmlformats.org/officeDocument/2006/relationships/hyperlink" Target="https://doi.org/10.1002/cb.2214" TargetMode="External"/><Relationship Id="rId63" Type="http://schemas.openxmlformats.org/officeDocument/2006/relationships/hyperlink" Target="https://doi.org/10.36416/1806-3756/e20250047" TargetMode="External"/><Relationship Id="rId84" Type="http://schemas.openxmlformats.org/officeDocument/2006/relationships/hyperlink" Target="https://doi.org/10.1108/IJEBR-02-2023-0169" TargetMode="External"/><Relationship Id="rId138" Type="http://schemas.openxmlformats.org/officeDocument/2006/relationships/hyperlink" Target="https://doi.org/10.1080/07359683.2024.2422206" TargetMode="External"/><Relationship Id="rId107" Type="http://schemas.openxmlformats.org/officeDocument/2006/relationships/hyperlink" Target="https://doi.org/10.1038/s41598-025-07581-7" TargetMode="External"/><Relationship Id="rId11" Type="http://schemas.openxmlformats.org/officeDocument/2006/relationships/image" Target="media/image4.png"/><Relationship Id="rId32" Type="http://schemas.openxmlformats.org/officeDocument/2006/relationships/hyperlink" Target="https://doi.org/10.1057/s41599-024-04044-8" TargetMode="External"/><Relationship Id="rId53" Type="http://schemas.openxmlformats.org/officeDocument/2006/relationships/hyperlink" Target="https://doi.org/10.4236/etsn.2024.134004" TargetMode="External"/><Relationship Id="rId74" Type="http://schemas.openxmlformats.org/officeDocument/2006/relationships/hyperlink" Target="https://doi.org/10.1186/s12912-024-02648-8" TargetMode="External"/><Relationship Id="rId128" Type="http://schemas.openxmlformats.org/officeDocument/2006/relationships/hyperlink" Target="https://doi.org/10.1111/jpm.13135" TargetMode="External"/><Relationship Id="rId149" Type="http://schemas.openxmlformats.org/officeDocument/2006/relationships/footer" Target="footer1.xml"/><Relationship Id="rId5" Type="http://schemas.openxmlformats.org/officeDocument/2006/relationships/webSettings" Target="webSettings.xml"/><Relationship Id="rId95" Type="http://schemas.openxmlformats.org/officeDocument/2006/relationships/hyperlink" Target="https://doi.org/10.1007/s11846-024-00757-x"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doi.org/10.3390/su17020456" TargetMode="External"/><Relationship Id="rId48" Type="http://schemas.openxmlformats.org/officeDocument/2006/relationships/hyperlink" Target="https://doi.org/10.1097/01.NAJ.0000794280.73744.fe" TargetMode="External"/><Relationship Id="rId64" Type="http://schemas.openxmlformats.org/officeDocument/2006/relationships/hyperlink" Target="https://doi.org/10.1108/ITP-09-2022-0721" TargetMode="External"/><Relationship Id="rId69" Type="http://schemas.openxmlformats.org/officeDocument/2006/relationships/hyperlink" Target="https://doi.org/10.3389/fmed.2023.1230620" TargetMode="External"/><Relationship Id="rId113" Type="http://schemas.openxmlformats.org/officeDocument/2006/relationships/hyperlink" Target="https://doi.org/10.15549/jeecar.v10i4.1356" TargetMode="External"/><Relationship Id="rId118" Type="http://schemas.openxmlformats.org/officeDocument/2006/relationships/hyperlink" Target="https://doi.org/10.1186/s13012-024-01357-9" TargetMode="External"/><Relationship Id="rId134" Type="http://schemas.openxmlformats.org/officeDocument/2006/relationships/hyperlink" Target="https://doi.org/10.1108/cms-04-2014-0074" TargetMode="External"/><Relationship Id="rId139" Type="http://schemas.openxmlformats.org/officeDocument/2006/relationships/hyperlink" Target="https://doi.org/10.1186/s12910-024-01066-4" TargetMode="External"/><Relationship Id="rId80" Type="http://schemas.openxmlformats.org/officeDocument/2006/relationships/hyperlink" Target="https://doi.org/10.3390/ijerph18041417" TargetMode="External"/><Relationship Id="rId85" Type="http://schemas.openxmlformats.org/officeDocument/2006/relationships/hyperlink" Target="https://doi.org/10.1007/s10796-021-10136-6" TargetMode="External"/><Relationship Id="rId150" Type="http://schemas.openxmlformats.org/officeDocument/2006/relationships/fontTable" Target="fontTable.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3390/jpm13060951" TargetMode="External"/><Relationship Id="rId38" Type="http://schemas.openxmlformats.org/officeDocument/2006/relationships/hyperlink" Target="https://doi.org/10.3390/jcm14196752" TargetMode="External"/><Relationship Id="rId59" Type="http://schemas.openxmlformats.org/officeDocument/2006/relationships/hyperlink" Target="https://doi.org/10.3390/hospitals1020015" TargetMode="External"/><Relationship Id="rId103" Type="http://schemas.openxmlformats.org/officeDocument/2006/relationships/hyperlink" Target="https://doi.org/10.1093/jamia/ocaf031" TargetMode="External"/><Relationship Id="rId108" Type="http://schemas.openxmlformats.org/officeDocument/2006/relationships/hyperlink" Target="https://doi.org/10.1504/IJMCP.2023.131769" TargetMode="External"/><Relationship Id="rId124" Type="http://schemas.openxmlformats.org/officeDocument/2006/relationships/hyperlink" Target="https://doi.org/10.53555/kuey" TargetMode="External"/><Relationship Id="rId129" Type="http://schemas.openxmlformats.org/officeDocument/2006/relationships/hyperlink" Target="https://doi.org/10.1017/S1049023X21000649" TargetMode="External"/><Relationship Id="rId54" Type="http://schemas.openxmlformats.org/officeDocument/2006/relationships/hyperlink" Target="https://doi.org/10.46809/jpse.v2i2.20" TargetMode="External"/><Relationship Id="rId70" Type="http://schemas.openxmlformats.org/officeDocument/2006/relationships/hyperlink" Target="https://doi.org/10.30574/ijsra.2025.15.3.1937" TargetMode="External"/><Relationship Id="rId75" Type="http://schemas.openxmlformats.org/officeDocument/2006/relationships/hyperlink" Target="https://ico.org.uk/for-organisations/uk-gdpr-guidance-and-resources/data-sharing/anonymisation/how-do-we-ensure-anonymisation-is-effective/" TargetMode="External"/><Relationship Id="rId91" Type="http://schemas.openxmlformats.org/officeDocument/2006/relationships/hyperlink" Target="https://doi.org/10.1007/s40520-023-02501-z" TargetMode="External"/><Relationship Id="rId96" Type="http://schemas.openxmlformats.org/officeDocument/2006/relationships/hyperlink" Target="https://doi.org/10.1108/EJIM-07-2024-0770" TargetMode="External"/><Relationship Id="rId140" Type="http://schemas.openxmlformats.org/officeDocument/2006/relationships/hyperlink" Target="https://cronfa.swan.ac.uk/Record/cronfa62227/Download/62227__26154__52a927a78ac84be1abb82f6c4c12ebd2.pdf" TargetMode="External"/><Relationship Id="rId145" Type="http://schemas.openxmlformats.org/officeDocument/2006/relationships/hyperlink" Target="https://doi.org/10.1145/3637339"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doi.org/10.3389/fpsyg.2022.912339" TargetMode="External"/><Relationship Id="rId114" Type="http://schemas.openxmlformats.org/officeDocument/2006/relationships/hyperlink" Target="https://www.phin.org.uk/press-releases/private-hospital-admissions-at-record-levels-for-4th-consecutive-year" TargetMode="External"/><Relationship Id="rId119" Type="http://schemas.openxmlformats.org/officeDocument/2006/relationships/hyperlink" Target="https://doi.org/10.1080/08874417.2025.2452544" TargetMode="External"/><Relationship Id="rId44" Type="http://schemas.openxmlformats.org/officeDocument/2006/relationships/hyperlink" Target="https://doi.org/10.36347/sjet.2023.v11i12.001" TargetMode="External"/><Relationship Id="rId60" Type="http://schemas.openxmlformats.org/officeDocument/2006/relationships/hyperlink" Target="https://doi.org/10.3389/fcomp.2025.1565869" TargetMode="External"/><Relationship Id="rId65" Type="http://schemas.openxmlformats.org/officeDocument/2006/relationships/hyperlink" Target="https://doi.org/10.1016/j.infoh.2025.01.003" TargetMode="External"/><Relationship Id="rId81" Type="http://schemas.openxmlformats.org/officeDocument/2006/relationships/hyperlink" Target="https://doi.org/10.1038/s41746-025-01604-3" TargetMode="External"/><Relationship Id="rId86" Type="http://schemas.openxmlformats.org/officeDocument/2006/relationships/hyperlink" Target="https://doi.org/10.1525/collabra.33267" TargetMode="External"/><Relationship Id="rId130" Type="http://schemas.openxmlformats.org/officeDocument/2006/relationships/hyperlink" Target="https://doi.org/10.1111/ijcs.13027" TargetMode="External"/><Relationship Id="rId135" Type="http://schemas.openxmlformats.org/officeDocument/2006/relationships/hyperlink" Target="https://www.ukri.org/publications/generative-artificial-intelligence-in-application-preparation-and-assessment-policy/use-of-generative-artificial-intelligence-in-application-preparation-and-assessment/" TargetMode="External"/><Relationship Id="rId151"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3390/ijerph20021347" TargetMode="External"/><Relationship Id="rId109" Type="http://schemas.openxmlformats.org/officeDocument/2006/relationships/hyperlink" Target="https://www.ons.gov.uk/aboutus/usingpublicdatatoproducestatistics/peoplesattitudestodata/whatweknowfromengagingwiththepublicondatajune2023" TargetMode="External"/><Relationship Id="rId34" Type="http://schemas.openxmlformats.org/officeDocument/2006/relationships/hyperlink" Target="https://doi.org/10.1080/20479700.2023.2290351" TargetMode="External"/><Relationship Id="rId50" Type="http://schemas.openxmlformats.org/officeDocument/2006/relationships/hyperlink" Target="https://doi.org/10.1049/cit2.12133" TargetMode="External"/><Relationship Id="rId55" Type="http://schemas.openxmlformats.org/officeDocument/2006/relationships/hyperlink" Target="https://www.ipsos.com/en-uk/2025-gp-patient-survey-results-released" TargetMode="External"/><Relationship Id="rId76" Type="http://schemas.openxmlformats.org/officeDocument/2006/relationships/hyperlink" Target="https://doi.org/10.30919/esee1057" TargetMode="External"/><Relationship Id="rId97" Type="http://schemas.openxmlformats.org/officeDocument/2006/relationships/hyperlink" Target="https://www.england.nhs.uk/2024/03/nhs-ai-expansion-to-help-tackle-missed-appointments-and-improve-waiting-times/" TargetMode="External"/><Relationship Id="rId104" Type="http://schemas.openxmlformats.org/officeDocument/2006/relationships/hyperlink" Target="https://doi.org/10.1001/jamanetworkopen.2024.60628" TargetMode="External"/><Relationship Id="rId120" Type="http://schemas.openxmlformats.org/officeDocument/2006/relationships/hyperlink" Target="https://www.ijapt.org/index.php/journal/article/download/321/264" TargetMode="External"/><Relationship Id="rId125" Type="http://schemas.openxmlformats.org/officeDocument/2006/relationships/hyperlink" Target="https://doi.org/10.1111/jan.16908" TargetMode="External"/><Relationship Id="rId141" Type="http://schemas.openxmlformats.org/officeDocument/2006/relationships/hyperlink" Target="https://www.who.int/publications/i/item/9789240029200" TargetMode="External"/><Relationship Id="rId146" Type="http://schemas.openxmlformats.org/officeDocument/2006/relationships/hyperlink" Target="https://doi.org/10.1177/20552076251396560" TargetMode="External"/><Relationship Id="rId7" Type="http://schemas.openxmlformats.org/officeDocument/2006/relationships/endnotes" Target="endnotes.xml"/><Relationship Id="rId71" Type="http://schemas.openxmlformats.org/officeDocument/2006/relationships/hyperlink" Target="https://doi.org/10.3390/healthcare12242530" TargetMode="External"/><Relationship Id="rId92" Type="http://schemas.openxmlformats.org/officeDocument/2006/relationships/hyperlink" Target="https://www.marketdataforecast.com/market-reports/artificial-intelligence-in-healthcare-market"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1177/0253717620977000" TargetMode="External"/><Relationship Id="rId45" Type="http://schemas.openxmlformats.org/officeDocument/2006/relationships/hyperlink" Target="https://doi.org/10.1136/ebnurs-2023-103873" TargetMode="External"/><Relationship Id="rId66" Type="http://schemas.openxmlformats.org/officeDocument/2006/relationships/hyperlink" Target="https://doi.org/10.3389/fpsyg.2024.1437915" TargetMode="External"/><Relationship Id="rId87" Type="http://schemas.openxmlformats.org/officeDocument/2006/relationships/hyperlink" Target="https://doi.org/10.4018/IJCRMM.300834" TargetMode="External"/><Relationship Id="rId110" Type="http://schemas.openxmlformats.org/officeDocument/2006/relationships/hyperlink" Target="https://doi.org/10.3390/app10228299" TargetMode="External"/><Relationship Id="rId115" Type="http://schemas.openxmlformats.org/officeDocument/2006/relationships/hyperlink" Target="https://doi.org/10.1038/s41598-025-02842" TargetMode="External"/><Relationship Id="rId131" Type="http://schemas.openxmlformats.org/officeDocument/2006/relationships/hyperlink" Target="https://onlinelibrary.wiley.com/doi/pdf/10.1111/1468-0009.12598" TargetMode="External"/><Relationship Id="rId136" Type="http://schemas.openxmlformats.org/officeDocument/2006/relationships/hyperlink" Target="https://www.uwtsd.ac.uk/media/1675/download?attachment=" TargetMode="External"/><Relationship Id="rId61" Type="http://schemas.openxmlformats.org/officeDocument/2006/relationships/hyperlink" Target="https://us.sagepub.com/en-us/journals-permissions" TargetMode="External"/><Relationship Id="rId82" Type="http://schemas.openxmlformats.org/officeDocument/2006/relationships/hyperlink" Target="https://doi.org/10.4103/idoj.IDOJ_674_20"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doi.org/10.3390/healthcare13060614" TargetMode="External"/><Relationship Id="rId56" Type="http://schemas.openxmlformats.org/officeDocument/2006/relationships/hyperlink" Target="https://doi.org/10.1186/s12910-023-00917-w" TargetMode="External"/><Relationship Id="rId77" Type="http://schemas.openxmlformats.org/officeDocument/2006/relationships/hyperlink" Target="https://doi.org/10.3389/fpsyg.2021.637547" TargetMode="External"/><Relationship Id="rId100" Type="http://schemas.openxmlformats.org/officeDocument/2006/relationships/hyperlink" Target="https://www.england.nhs.uk/2025/05/futuristic-3d-heart-scans-speed-up-diagnosis-and-save-millions" TargetMode="External"/><Relationship Id="rId105" Type="http://schemas.openxmlformats.org/officeDocument/2006/relationships/hyperlink" Target="https://doi.org/10.1186/s12910-025-01243-z" TargetMode="External"/><Relationship Id="rId126" Type="http://schemas.openxmlformats.org/officeDocument/2006/relationships/hyperlink" Target="https://doi.org/10.1371/journal.pone.0252323" TargetMode="External"/><Relationship Id="rId147" Type="http://schemas.openxmlformats.org/officeDocument/2006/relationships/hyperlink" Target="https://doi.org/10.3346/jkms.2023.38.e403" TargetMode="External"/><Relationship Id="rId8" Type="http://schemas.openxmlformats.org/officeDocument/2006/relationships/image" Target="media/image1.png"/><Relationship Id="rId51" Type="http://schemas.openxmlformats.org/officeDocument/2006/relationships/hyperlink" Target="https://doi.org/10.7717/peerj-cs.623" TargetMode="External"/><Relationship Id="rId72" Type="http://schemas.openxmlformats.org/officeDocument/2006/relationships/hyperlink" Target="https://doi.org/10.30574/ijsra.2025.14.3.0731" TargetMode="External"/><Relationship Id="rId93" Type="http://schemas.openxmlformats.org/officeDocument/2006/relationships/hyperlink" Target="https://journals.sagepub.com/doi/pdf/10.1177/2327857925141001" TargetMode="External"/><Relationship Id="rId98" Type="http://schemas.openxmlformats.org/officeDocument/2006/relationships/hyperlink" Target="https://www.england.nhs.uk/2025/06/nhs-waiting-list-hits-two-year-low-as-staff-work-to-turn-the-tide/" TargetMode="External"/><Relationship Id="rId121" Type="http://schemas.openxmlformats.org/officeDocument/2006/relationships/hyperlink" Target="https://doi.org/10.1186/s12911-023-02162-y" TargetMode="External"/><Relationship Id="rId142" Type="http://schemas.openxmlformats.org/officeDocument/2006/relationships/hyperlink" Target="https://doi.org/10.1016/j.chbr.2022.100206"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3389/fdgth.2023.1242896" TargetMode="External"/><Relationship Id="rId67" Type="http://schemas.openxmlformats.org/officeDocument/2006/relationships/hyperlink" Target="https://doi.org/10.1111/1471-3802.12659" TargetMode="External"/><Relationship Id="rId116" Type="http://schemas.openxmlformats.org/officeDocument/2006/relationships/hyperlink" Target="https://doi.org/10.4103/picr.picr_318_23" TargetMode="External"/><Relationship Id="rId137" Type="http://schemas.openxmlformats.org/officeDocument/2006/relationships/hyperlink" Target="https://doi.org/10.3390/healthcare13121418" TargetMode="External"/><Relationship Id="rId20" Type="http://schemas.openxmlformats.org/officeDocument/2006/relationships/image" Target="media/image13.png"/><Relationship Id="rId41" Type="http://schemas.openxmlformats.org/officeDocument/2006/relationships/hyperlink" Target="https://doi.org/10.1007/s10916-025-02166-3" TargetMode="External"/><Relationship Id="rId62" Type="http://schemas.openxmlformats.org/officeDocument/2006/relationships/hyperlink" Target="http://dx.doi.org/10.1136/bmjopen-2023-076950" TargetMode="External"/><Relationship Id="rId83" Type="http://schemas.openxmlformats.org/officeDocument/2006/relationships/hyperlink" Target="https://doi.org/10.3389/fpubh.2025.1504318" TargetMode="External"/><Relationship Id="rId88" Type="http://schemas.openxmlformats.org/officeDocument/2006/relationships/hyperlink" Target="https://doi.org/10.3390/ijerph18010271" TargetMode="External"/><Relationship Id="rId111" Type="http://schemas.openxmlformats.org/officeDocument/2006/relationships/hyperlink" Target="https://doi.org/10.1371/journal.pone.0299005" TargetMode="External"/><Relationship Id="rId132" Type="http://schemas.openxmlformats.org/officeDocument/2006/relationships/hyperlink" Target="https://doi.org/10.1186/s12889-023-15309-3" TargetMode="External"/><Relationship Id="rId15" Type="http://schemas.openxmlformats.org/officeDocument/2006/relationships/image" Target="media/image8.png"/><Relationship Id="rId36" Type="http://schemas.openxmlformats.org/officeDocument/2006/relationships/hyperlink" Target="https://doi.org/10.1108/JOCM-03-2023-0057" TargetMode="External"/><Relationship Id="rId57" Type="http://schemas.openxmlformats.org/officeDocument/2006/relationships/hyperlink" Target="https://doi.org/10.1177/20552076241282900" TargetMode="External"/><Relationship Id="rId106" Type="http://schemas.openxmlformats.org/officeDocument/2006/relationships/hyperlink" Target="https://explore.bps.org.uk/content/report-guideline/bpsrep.2021.inf180" TargetMode="External"/><Relationship Id="rId127" Type="http://schemas.openxmlformats.org/officeDocument/2006/relationships/hyperlink" Target="https://www.researchgate.net/profile/Surendar-Rama-Sitaraman/publication/396894977_AI-DRIVEN_VALUE_FORMATION_IN_HEALTHCARE_LEVERAGING_THE_TURKISH_NATIONAL_AI_STRATEGY_AND_AI_COGNITIVE_EMPATHY_SCALE_TO_BOOST_MARKET_PERFORMANCE_AND_PATIENT_ENGAGEMENT/links/68fc76a7f3032e2b4bebdae9/AI-DRIVEN-VALUE-FORMATION-IN-HEALTHCARE-LEVERAGING-THE-TURKISH-NATIONAL-AI-STRATEGY-AND-AI-COGNITIVE-EMPATHY-SCALE-TO-BOOST-MARKET-PERFORMANCE-AND-PATIENT-ENGAGEMENT.pdf" TargetMode="External"/><Relationship Id="rId10" Type="http://schemas.openxmlformats.org/officeDocument/2006/relationships/image" Target="media/image3.png"/><Relationship Id="rId31" Type="http://schemas.openxmlformats.org/officeDocument/2006/relationships/hyperlink" Target="https://doi.org/10.47760/cognizance.2024.v04i11.006" TargetMode="External"/><Relationship Id="rId52" Type="http://schemas.openxmlformats.org/officeDocument/2006/relationships/hyperlink" Target="https://www.cqc.org.uk/publications/surveys/adult-inpatient-survey" TargetMode="External"/><Relationship Id="rId73" Type="http://schemas.openxmlformats.org/officeDocument/2006/relationships/hyperlink" Target="https://doi.org/10.17294/2330-0698.2064" TargetMode="External"/><Relationship Id="rId78" Type="http://schemas.openxmlformats.org/officeDocument/2006/relationships/hyperlink" Target="https://doi.org/10.3390/ai6060116" TargetMode="External"/><Relationship Id="rId94" Type="http://schemas.openxmlformats.org/officeDocument/2006/relationships/hyperlink" Target="https://doi.org/10.30935/ojcmt/14132" TargetMode="External"/><Relationship Id="rId99" Type="http://schemas.openxmlformats.org/officeDocument/2006/relationships/hyperlink" Target="https://www.england.nhs.uk/2025/03/nationwide-roll-out-of-artificial-intelligence-tool-that-predicts-falls-and-viruses" TargetMode="External"/><Relationship Id="rId101" Type="http://schemas.openxmlformats.org/officeDocument/2006/relationships/hyperlink" Target="https://www.england.nhs.uk/2026/07/nhs-accelerates-artificial-intelligence-rollout-to-cut-waiting-times-and-improve-care-for-millions/?utm_source=chatgpt.com" TargetMode="External"/><Relationship Id="rId122" Type="http://schemas.openxmlformats.org/officeDocument/2006/relationships/hyperlink" Target="https://doi.org/10.1213/ANE.0000000000005773" TargetMode="External"/><Relationship Id="rId143" Type="http://schemas.openxmlformats.org/officeDocument/2006/relationships/hyperlink" Target="https://doi.org/10.3390/su18020928" TargetMode="External"/><Relationship Id="rId148"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doi.org/10.5395/rde.2024.49.e3" TargetMode="External"/><Relationship Id="rId68" Type="http://schemas.openxmlformats.org/officeDocument/2006/relationships/hyperlink" Target="https://doi.org/10.1177/20552076251374121" TargetMode="External"/><Relationship Id="rId89" Type="http://schemas.openxmlformats.org/officeDocument/2006/relationships/hyperlink" Target="https://doi.org/10.1038/s41598-024-70073-7" TargetMode="External"/><Relationship Id="rId112" Type="http://schemas.openxmlformats.org/officeDocument/2006/relationships/hyperlink" Target="https://doi.org/10.3205/dgkh000470" TargetMode="External"/><Relationship Id="rId133" Type="http://schemas.openxmlformats.org/officeDocument/2006/relationships/hyperlink" Target="https://www.kingsfund.org.uk/insight-and-analysis/reports/public-satisfaction-nhs-social-care-in-2024-bsa" TargetMode="External"/><Relationship Id="rId16" Type="http://schemas.openxmlformats.org/officeDocument/2006/relationships/image" Target="media/image9.png"/><Relationship Id="rId37" Type="http://schemas.openxmlformats.org/officeDocument/2006/relationships/hyperlink" Target="https://doi.org/10.1016/j.jik.2023.100333" TargetMode="External"/><Relationship Id="rId58" Type="http://schemas.openxmlformats.org/officeDocument/2006/relationships/hyperlink" Target="https://sqmagazine.co.uk/ai-in-healthcare-statistics" TargetMode="External"/><Relationship Id="rId79" Type="http://schemas.openxmlformats.org/officeDocument/2006/relationships/hyperlink" Target="https://doi.org/10.1186/s12910-023-00922-z" TargetMode="External"/><Relationship Id="rId102" Type="http://schemas.openxmlformats.org/officeDocument/2006/relationships/hyperlink" Target="https://openreview.net/pdf?id=P6RafgsieH" TargetMode="External"/><Relationship Id="rId123" Type="http://schemas.openxmlformats.org/officeDocument/2006/relationships/hyperlink" Target="https://www.researchgate.net/profile/H-Nurguel-Durmus-Senyapar/publication/378858532_Healthcare_Branding_and_Reputation_Management_Strategies_for_Organizational_Success/links/65ee0f2e9ab2af0ef8aea469/Healthcare-Branding-and-Reputation-Management-Strategies-for-Organizational-Success.pdf" TargetMode="External"/><Relationship Id="rId144" Type="http://schemas.openxmlformats.org/officeDocument/2006/relationships/hyperlink" Target="https://doi.org/10.1186/s12913-025-12794-7" TargetMode="External"/><Relationship Id="rId90" Type="http://schemas.openxmlformats.org/officeDocument/2006/relationships/hyperlink" Target="https://doi.org/10.3390/s2216609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A7D12-CA3E-4EBA-BE77-D66363AB0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95</Pages>
  <Words>23477</Words>
  <Characters>133821</Characters>
  <Application>Microsoft Office Word</Application>
  <DocSecurity>0</DocSecurity>
  <Lines>1115</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dharma reddy madana</cp:lastModifiedBy>
  <cp:revision>24</cp:revision>
  <dcterms:created xsi:type="dcterms:W3CDTF">2026-09-23T10:36:00Z</dcterms:created>
  <dcterms:modified xsi:type="dcterms:W3CDTF">2026-09-23T22:48:00Z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9b4f28d8-8184-41fd-8365-f0b1cb44b7ed</vt:lpwstr>
  </property>
</Properties>
</file>