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D93F87" w14:textId="1E6CFE2B" w:rsidR="00C179E8" w:rsidRPr="00C70705" w:rsidRDefault="27C0BAA3" w:rsidP="00BF6CE2">
      <w:pPr>
        <w:pStyle w:val="Heading3"/>
        <w:shd w:val="clear" w:color="auto" w:fill="FFFFFF" w:themeFill="background1"/>
        <w:spacing w:before="0" w:after="120"/>
        <w:ind w:left="1440"/>
        <w:rPr>
          <w:rFonts w:ascii="Lucida Handwriting" w:eastAsia="system-ui" w:hAnsi="Lucida Handwriting" w:cs="Arial"/>
          <w:b/>
          <w:bCs/>
          <w:color w:val="0D0D0D" w:themeColor="text1" w:themeTint="F2"/>
          <w:sz w:val="32"/>
          <w:szCs w:val="32"/>
        </w:rPr>
      </w:pPr>
      <w:bookmarkStart w:id="0" w:name="_Hlk167376296"/>
      <w:bookmarkEnd w:id="0"/>
      <w:r w:rsidRPr="00C70705">
        <w:rPr>
          <w:rFonts w:ascii="Lucida Handwriting" w:eastAsia="system-ui" w:hAnsi="Lucida Handwriting" w:cs="Arial"/>
          <w:b/>
          <w:bCs/>
          <w:color w:val="0D0D0D" w:themeColor="text1" w:themeTint="F2"/>
          <w:sz w:val="32"/>
          <w:szCs w:val="32"/>
        </w:rPr>
        <w:t>Fundraising Strategy and Implementation</w:t>
      </w:r>
    </w:p>
    <w:p w14:paraId="64EFC59F" w14:textId="2BE26892" w:rsidR="00BF6CE2" w:rsidRPr="00BF6CE2" w:rsidRDefault="00BF6CE2" w:rsidP="00BF6CE2">
      <w:r>
        <w:rPr>
          <w:noProof/>
        </w:rPr>
        <w:drawing>
          <wp:inline distT="0" distB="0" distL="0" distR="0" wp14:anchorId="27D27E29" wp14:editId="4253F156">
            <wp:extent cx="5783580" cy="3035300"/>
            <wp:effectExtent l="0" t="0" r="7620" b="0"/>
            <wp:docPr id="971108986" name="Picture 1" descr="A red helicopter on a concre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08986" name="Picture 1" descr="A red helicopter on a concrete surfac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99982" cy="3043908"/>
                    </a:xfrm>
                    <a:prstGeom prst="rect">
                      <a:avLst/>
                    </a:prstGeom>
                  </pic:spPr>
                </pic:pic>
              </a:graphicData>
            </a:graphic>
          </wp:inline>
        </w:drawing>
      </w:r>
    </w:p>
    <w:p w14:paraId="66C7A10C" w14:textId="34CD5A01" w:rsidR="00C179E8" w:rsidRPr="006060B5" w:rsidRDefault="27C0BAA3" w:rsidP="287538AC">
      <w:pPr>
        <w:shd w:val="clear" w:color="auto" w:fill="FFFFFF" w:themeFill="background1"/>
        <w:spacing w:after="300"/>
        <w:rPr>
          <w:rFonts w:ascii="Arial" w:hAnsi="Arial" w:cs="Arial"/>
        </w:rPr>
      </w:pPr>
      <w:r w:rsidRPr="006060B5">
        <w:rPr>
          <w:rFonts w:ascii="Arial" w:eastAsia="system-ui" w:hAnsi="Arial" w:cs="Arial"/>
          <w:color w:val="0D0D0D" w:themeColor="text1" w:themeTint="F2"/>
        </w:rPr>
        <w:t xml:space="preserve">Our project management strategy was heavily influenced by the Iron Triangle framework. </w:t>
      </w:r>
      <w:r w:rsidR="00FD32AC" w:rsidRPr="00FD32AC">
        <w:rPr>
          <w:rFonts w:ascii="Arial" w:hAnsi="Arial" w:cs="Arial"/>
          <w:color w:val="0D0D0D"/>
          <w:shd w:val="clear" w:color="auto" w:fill="FFFFFF"/>
        </w:rPr>
        <w:t>According to Atkinson (1999), "The Iron Triangle is a simple way of demonstrating that the relationship between time, cost, and scope is a fundamental part of project management"</w:t>
      </w:r>
      <w:r w:rsidR="005A0533">
        <w:rPr>
          <w:rFonts w:ascii="Arial" w:hAnsi="Arial" w:cs="Arial"/>
          <w:color w:val="0D0D0D"/>
          <w:shd w:val="clear" w:color="auto" w:fill="FFFFFF"/>
        </w:rPr>
        <w:t>.</w:t>
      </w:r>
      <w:r w:rsidR="00FD32AC" w:rsidRPr="00FD32AC">
        <w:rPr>
          <w:rFonts w:ascii="Arial" w:hAnsi="Arial" w:cs="Arial"/>
          <w:color w:val="0D0D0D"/>
          <w:shd w:val="clear" w:color="auto" w:fill="FFFFFF"/>
        </w:rPr>
        <w:t xml:space="preserve"> </w:t>
      </w:r>
      <w:bookmarkStart w:id="1" w:name="_Int_h2sbEOwn"/>
      <w:r w:rsidR="000F2101" w:rsidRPr="000F2101">
        <w:rPr>
          <w:rFonts w:ascii="Arial" w:hAnsi="Arial" w:cs="Arial"/>
          <w:color w:val="0D0D0D"/>
          <w:shd w:val="clear" w:color="auto" w:fill="FFFFFF"/>
        </w:rPr>
        <w:t xml:space="preserve">Additionally, </w:t>
      </w:r>
      <w:r w:rsidR="00E50AA5">
        <w:rPr>
          <w:rFonts w:ascii="Arial" w:hAnsi="Arial" w:cs="Arial"/>
          <w:color w:val="0D0D0D"/>
          <w:shd w:val="clear" w:color="auto" w:fill="FFFFFF"/>
        </w:rPr>
        <w:t>“</w:t>
      </w:r>
      <w:r w:rsidR="000F2101" w:rsidRPr="000F2101">
        <w:rPr>
          <w:rFonts w:ascii="Arial" w:hAnsi="Arial" w:cs="Arial"/>
          <w:color w:val="0D0D0D"/>
          <w:shd w:val="clear" w:color="auto" w:fill="FFFFFF"/>
        </w:rPr>
        <w:t xml:space="preserve">the iron triangle criteria, </w:t>
      </w:r>
      <w:r w:rsidR="00F560C7">
        <w:rPr>
          <w:rFonts w:ascii="Arial" w:hAnsi="Arial" w:cs="Arial"/>
          <w:color w:val="0D0D0D"/>
          <w:shd w:val="clear" w:color="auto" w:fill="FFFFFF"/>
        </w:rPr>
        <w:t xml:space="preserve">which is </w:t>
      </w:r>
      <w:r w:rsidR="000F2101" w:rsidRPr="000F2101">
        <w:rPr>
          <w:rFonts w:ascii="Arial" w:hAnsi="Arial" w:cs="Arial"/>
          <w:color w:val="0D0D0D"/>
          <w:shd w:val="clear" w:color="auto" w:fill="FFFFFF"/>
        </w:rPr>
        <w:t>delivering on time, budget, and quality</w:t>
      </w:r>
      <w:r w:rsidR="00F560C7">
        <w:rPr>
          <w:rFonts w:ascii="Arial" w:hAnsi="Arial" w:cs="Arial"/>
          <w:color w:val="0D0D0D"/>
          <w:shd w:val="clear" w:color="auto" w:fill="FFFFFF"/>
        </w:rPr>
        <w:t xml:space="preserve">, </w:t>
      </w:r>
      <w:r w:rsidR="000F2101" w:rsidRPr="000F2101">
        <w:rPr>
          <w:rFonts w:ascii="Arial" w:hAnsi="Arial" w:cs="Arial"/>
          <w:color w:val="0D0D0D"/>
          <w:shd w:val="clear" w:color="auto" w:fill="FFFFFF"/>
        </w:rPr>
        <w:t>scope, is the traditional perspective to assess the success of infrastructure projects</w:t>
      </w:r>
      <w:r w:rsidR="00F560C7">
        <w:rPr>
          <w:rFonts w:ascii="Arial" w:hAnsi="Arial" w:cs="Arial"/>
          <w:color w:val="0D0D0D"/>
          <w:shd w:val="clear" w:color="auto" w:fill="FFFFFF"/>
        </w:rPr>
        <w:t>.</w:t>
      </w:r>
      <w:bookmarkEnd w:id="1"/>
      <w:r w:rsidR="000F2101" w:rsidRPr="000F2101">
        <w:rPr>
          <w:rFonts w:ascii="Arial" w:hAnsi="Arial" w:cs="Arial"/>
          <w:color w:val="0D0D0D"/>
          <w:shd w:val="clear" w:color="auto" w:fill="FFFFFF"/>
        </w:rPr>
        <w:t xml:space="preserve"> Delivering on cost and time is significant, but particularly for infrastructure, there are more relevant success </w:t>
      </w:r>
      <w:r w:rsidR="763044B8" w:rsidRPr="000F2101">
        <w:rPr>
          <w:rFonts w:ascii="Arial" w:hAnsi="Arial" w:cs="Arial"/>
          <w:color w:val="0D0D0D"/>
          <w:shd w:val="clear" w:color="auto" w:fill="FFFFFF"/>
        </w:rPr>
        <w:t>criteria” (Locatelli</w:t>
      </w:r>
      <w:r w:rsidR="00E50AA5">
        <w:rPr>
          <w:rFonts w:ascii="Arial" w:hAnsi="Arial" w:cs="Arial"/>
          <w:color w:val="0D0D0D"/>
          <w:shd w:val="clear" w:color="auto" w:fill="FFFFFF"/>
        </w:rPr>
        <w:t>, 2023).</w:t>
      </w:r>
    </w:p>
    <w:p w14:paraId="4D1C54F3" w14:textId="31690C94" w:rsidR="008B3C88" w:rsidRPr="008B3C88" w:rsidRDefault="008B3C88" w:rsidP="47E9C145">
      <w:pPr>
        <w:autoSpaceDE w:val="0"/>
        <w:autoSpaceDN w:val="0"/>
        <w:adjustRightInd w:val="0"/>
        <w:spacing w:after="200" w:line="276" w:lineRule="auto"/>
        <w:rPr>
          <w:rFonts w:ascii="Arial" w:hAnsi="Arial" w:cs="Arial"/>
        </w:rPr>
      </w:pPr>
      <w:r w:rsidRPr="47E9C145">
        <w:rPr>
          <w:rFonts w:ascii="Arial" w:hAnsi="Arial" w:cs="Arial"/>
        </w:rPr>
        <w:t>We established clear timelines for each fundraising activity, ensuring timely execution. Social media campaigns were scheduled in advance, and merchandise production was planned to align with our event dates.</w:t>
      </w:r>
    </w:p>
    <w:p w14:paraId="65B15C7E" w14:textId="07DF832F" w:rsidR="008B3C88" w:rsidRDefault="008B3C88" w:rsidP="47E9C145">
      <w:pPr>
        <w:autoSpaceDE w:val="0"/>
        <w:autoSpaceDN w:val="0"/>
        <w:adjustRightInd w:val="0"/>
        <w:spacing w:after="200" w:line="276" w:lineRule="auto"/>
        <w:rPr>
          <w:rFonts w:ascii="Arial" w:hAnsi="Arial" w:cs="Arial"/>
        </w:rPr>
      </w:pPr>
      <w:r w:rsidRPr="47E9C145">
        <w:rPr>
          <w:rFonts w:ascii="Arial" w:hAnsi="Arial" w:cs="Arial"/>
        </w:rPr>
        <w:t>Budget management was crucial. We kept a close eye on production costs for merchandise and allocated funds efficiently to maximize our reach. Our partnerships with local businesses helped offset costs through in-kind donations and sponsorships.</w:t>
      </w:r>
    </w:p>
    <w:p w14:paraId="10E2898A" w14:textId="543984D2" w:rsidR="00E865F7" w:rsidRPr="008B3C88" w:rsidRDefault="006D404F" w:rsidP="008B3C88">
      <w:pPr>
        <w:autoSpaceDE w:val="0"/>
        <w:autoSpaceDN w:val="0"/>
        <w:adjustRightInd w:val="0"/>
        <w:spacing w:after="200" w:line="276" w:lineRule="auto"/>
        <w:rPr>
          <w:rFonts w:ascii="Arial" w:hAnsi="Arial" w:cs="Arial"/>
          <w:lang w:val="en"/>
        </w:rPr>
      </w:pPr>
      <w:r>
        <w:rPr>
          <w:rFonts w:ascii="Arial" w:hAnsi="Arial" w:cs="Arial"/>
          <w:noProof/>
          <w:lang w:val="en"/>
        </w:rPr>
        <w:drawing>
          <wp:inline distT="0" distB="0" distL="0" distR="0" wp14:anchorId="3DA94F0C" wp14:editId="61D6CE55">
            <wp:extent cx="2796540" cy="2446973"/>
            <wp:effectExtent l="0" t="0" r="3810" b="0"/>
            <wp:docPr id="785427142" name="Picture 2" descr="A person looking at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27142" name="Picture 2" descr="A person looking at a magnifying glas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29556" cy="2475862"/>
                    </a:xfrm>
                    <a:prstGeom prst="rect">
                      <a:avLst/>
                    </a:prstGeom>
                  </pic:spPr>
                </pic:pic>
              </a:graphicData>
            </a:graphic>
          </wp:inline>
        </w:drawing>
      </w:r>
    </w:p>
    <w:p w14:paraId="1E8AF0CF" w14:textId="5F219CCB" w:rsidR="008B3C88" w:rsidRPr="008B3C88" w:rsidRDefault="008B3C88" w:rsidP="008B3C88">
      <w:pPr>
        <w:autoSpaceDE w:val="0"/>
        <w:autoSpaceDN w:val="0"/>
        <w:adjustRightInd w:val="0"/>
        <w:spacing w:after="200" w:line="276" w:lineRule="auto"/>
        <w:rPr>
          <w:rFonts w:ascii="Arial" w:hAnsi="Arial" w:cs="Arial"/>
          <w:lang w:val="en"/>
        </w:rPr>
      </w:pPr>
      <w:r w:rsidRPr="008B3C88">
        <w:rPr>
          <w:rFonts w:ascii="Arial" w:hAnsi="Arial" w:cs="Arial"/>
          <w:lang w:val="en"/>
        </w:rPr>
        <w:t>We defined the scope of our fundraising efforts to include a variety of activities, ensuring a broad reach while maintaining focus on our primary objectives. By clearly outlining what we aimed to achieve, we avoided scope creep and kept our project on track.</w:t>
      </w:r>
    </w:p>
    <w:p w14:paraId="5344F82F" w14:textId="47AC556B" w:rsidR="008B3C88" w:rsidRPr="008B3C88" w:rsidRDefault="008B3C88" w:rsidP="008B3C88">
      <w:pPr>
        <w:autoSpaceDE w:val="0"/>
        <w:autoSpaceDN w:val="0"/>
        <w:adjustRightInd w:val="0"/>
        <w:spacing w:after="200" w:line="276" w:lineRule="auto"/>
        <w:rPr>
          <w:rFonts w:ascii="Arial" w:hAnsi="Arial" w:cs="Arial"/>
          <w:lang w:val="en"/>
        </w:rPr>
      </w:pPr>
      <w:r w:rsidRPr="008B3C88">
        <w:rPr>
          <w:rFonts w:ascii="Arial" w:hAnsi="Arial" w:cs="Arial"/>
          <w:lang w:val="en"/>
        </w:rPr>
        <w:t>Ensuring the quality of our activities was also a priority. For example, during merchandise production, Allison and I worked closely with suppliers to review sample products and ensure they met our standards before production. This attention to detail helped maintain the high quality of the items, making them more attractive to potential donors.</w:t>
      </w:r>
    </w:p>
    <w:p w14:paraId="4AB60679" w14:textId="3266A7F8" w:rsidR="00C179E8" w:rsidRPr="005A67D2" w:rsidRDefault="27C0BAA3" w:rsidP="005A67D2">
      <w:pPr>
        <w:shd w:val="clear" w:color="auto" w:fill="FFFFFF" w:themeFill="background1"/>
        <w:spacing w:before="120" w:after="120"/>
        <w:rPr>
          <w:rFonts w:ascii="Arial" w:eastAsia="system-ui" w:hAnsi="Arial" w:cs="Arial"/>
          <w:color w:val="0D0D0D" w:themeColor="text1" w:themeTint="F2"/>
        </w:rPr>
      </w:pPr>
      <w:r w:rsidRPr="005A67D2">
        <w:rPr>
          <w:rFonts w:ascii="Arial" w:eastAsia="system-ui" w:hAnsi="Arial" w:cs="Arial"/>
          <w:color w:val="0D0D0D" w:themeColor="text1" w:themeTint="F2"/>
        </w:rPr>
        <w:t>.</w:t>
      </w:r>
    </w:p>
    <w:p w14:paraId="65FB64CF" w14:textId="31CCC110" w:rsidR="00C179E8" w:rsidRDefault="27C0BAA3" w:rsidP="287538AC">
      <w:pPr>
        <w:shd w:val="clear" w:color="auto" w:fill="FFFFFF" w:themeFill="background1"/>
        <w:spacing w:before="300" w:after="300"/>
        <w:rPr>
          <w:rFonts w:ascii="Arial" w:eastAsia="system-ui" w:hAnsi="Arial" w:cs="Arial"/>
          <w:color w:val="0D0D0D" w:themeColor="text1" w:themeTint="F2"/>
        </w:rPr>
      </w:pPr>
      <w:r w:rsidRPr="006060B5">
        <w:rPr>
          <w:rFonts w:ascii="Arial" w:eastAsia="system-ui" w:hAnsi="Arial" w:cs="Arial"/>
          <w:color w:val="0D0D0D" w:themeColor="text1" w:themeTint="F2"/>
        </w:rPr>
        <w:t>The Iron Triangle framework facilitated a balanced approach, ensuring that we met our fundraising goals without compromising on quality or exceeding our budget.</w:t>
      </w:r>
    </w:p>
    <w:p w14:paraId="2B9D4D67" w14:textId="773AD5ED" w:rsidR="004F71B2" w:rsidRDefault="004F71B2" w:rsidP="287538AC">
      <w:pPr>
        <w:shd w:val="clear" w:color="auto" w:fill="FFFFFF" w:themeFill="background1"/>
        <w:spacing w:before="300" w:after="300"/>
        <w:rPr>
          <w:rFonts w:ascii="Arial" w:hAnsi="Arial" w:cs="Arial"/>
        </w:rPr>
      </w:pPr>
      <w:r>
        <w:rPr>
          <w:rFonts w:ascii="Arial" w:hAnsi="Arial" w:cs="Arial"/>
          <w:noProof/>
        </w:rPr>
        <w:drawing>
          <wp:inline distT="0" distB="0" distL="0" distR="0" wp14:anchorId="272DDD0F" wp14:editId="2167B095">
            <wp:extent cx="2750820" cy="2135658"/>
            <wp:effectExtent l="0" t="0" r="0" b="0"/>
            <wp:docPr id="1122536323" name="Picture 2" descr="A diagram of a project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36323" name="Picture 2" descr="A diagram of a project managemen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65555" cy="2147098"/>
                    </a:xfrm>
                    <a:prstGeom prst="rect">
                      <a:avLst/>
                    </a:prstGeom>
                  </pic:spPr>
                </pic:pic>
              </a:graphicData>
            </a:graphic>
          </wp:inline>
        </w:drawing>
      </w:r>
    </w:p>
    <w:p w14:paraId="12D0EFA3" w14:textId="18299AA6" w:rsidR="008A3175" w:rsidRPr="008A3175" w:rsidRDefault="008A3175" w:rsidP="287538AC">
      <w:pPr>
        <w:shd w:val="clear" w:color="auto" w:fill="FFFFFF" w:themeFill="background1"/>
        <w:spacing w:before="300" w:after="300"/>
        <w:rPr>
          <w:rFonts w:ascii="Arial" w:hAnsi="Arial" w:cs="Arial"/>
        </w:rPr>
      </w:pPr>
      <w:r w:rsidRPr="008A3175">
        <w:rPr>
          <w:rFonts w:ascii="Arial" w:hAnsi="Arial" w:cs="Arial"/>
          <w:lang w:val="en"/>
        </w:rPr>
        <w:t>However, it</w:t>
      </w:r>
      <w:r w:rsidR="0050679A">
        <w:rPr>
          <w:rFonts w:ascii="Arial" w:hAnsi="Arial" w:cs="Arial"/>
          <w:lang w:val="en"/>
        </w:rPr>
        <w:t xml:space="preserve"> i</w:t>
      </w:r>
      <w:r w:rsidRPr="008A3175">
        <w:rPr>
          <w:rFonts w:ascii="Arial" w:hAnsi="Arial" w:cs="Arial"/>
          <w:lang w:val="en"/>
        </w:rPr>
        <w:t>s important to acknowledge the limitations of the Iron Triangle. As criticized by Shenhar and Dvir (2007), "focusing exclusively on the traditional time, cost, and scope constraints can lead to project management myopia, where the broader impact and long-term benefits of the project are overlooked."</w:t>
      </w:r>
    </w:p>
    <w:p w14:paraId="7A39A24C" w14:textId="0EFEEE5B" w:rsidR="000455D9" w:rsidRPr="006060B5" w:rsidRDefault="27C0BAA3" w:rsidP="000455D9">
      <w:pPr>
        <w:shd w:val="clear" w:color="auto" w:fill="FFFFFF" w:themeFill="background1"/>
        <w:spacing w:before="300" w:after="0"/>
        <w:rPr>
          <w:rFonts w:ascii="Arial" w:hAnsi="Arial" w:cs="Arial"/>
        </w:rPr>
      </w:pPr>
      <w:r w:rsidRPr="006060B5">
        <w:rPr>
          <w:rFonts w:ascii="Arial" w:eastAsia="system-ui" w:hAnsi="Arial" w:cs="Arial"/>
          <w:color w:val="0D0D0D" w:themeColor="text1" w:themeTint="F2"/>
        </w:rPr>
        <w:t xml:space="preserve">Our comprehensive fundraising strategy, supported by effective team dynamics and guided by the Iron Triangle framework, has positioned us to make a significant impact for the Welsh Air Ambulance. </w:t>
      </w:r>
      <w:r w:rsidR="000455D9" w:rsidRPr="006060B5">
        <w:rPr>
          <w:rFonts w:ascii="Arial" w:eastAsia="system-ui" w:hAnsi="Arial" w:cs="Arial"/>
          <w:color w:val="0D0D0D" w:themeColor="text1" w:themeTint="F2"/>
        </w:rPr>
        <w:t>This combination of strategic planning and dynamic teamwork ensures that our fundraising efforts will provide vital support to Welsh Air Ambulance, helping them continue their life-saving work.</w:t>
      </w:r>
    </w:p>
    <w:p w14:paraId="37A663FE" w14:textId="1C1DD13A" w:rsidR="00C179E8" w:rsidRPr="006060B5" w:rsidRDefault="00D44FC6" w:rsidP="287538AC">
      <w:pPr>
        <w:shd w:val="clear" w:color="auto" w:fill="FFFFFF" w:themeFill="background1"/>
        <w:spacing w:after="300"/>
        <w:rPr>
          <w:rFonts w:ascii="Arial" w:hAnsi="Arial" w:cs="Arial"/>
        </w:rPr>
      </w:pPr>
      <w:r>
        <w:rPr>
          <w:rFonts w:ascii="Arial" w:hAnsi="Arial" w:cs="Arial"/>
          <w:noProof/>
        </w:rPr>
        <w:drawing>
          <wp:inline distT="0" distB="0" distL="0" distR="0" wp14:anchorId="3EF05BD0" wp14:editId="4547D197">
            <wp:extent cx="2331720" cy="2270515"/>
            <wp:effectExtent l="0" t="0" r="0" b="0"/>
            <wp:docPr id="2136664899" name="Picture 1" descr="A yellow sign with red outline and a person holding a hear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664899" name="Picture 1" descr="A yellow sign with red outline and a person holding a heart">
                      <a:extLst>
                        <a:ext uri="{C183D7F6-B498-43B3-948B-1728B52AA6E4}">
                          <adec:decorative xmlns:adec="http://schemas.microsoft.com/office/drawing/2017/decorative" val="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7837" cy="2276471"/>
                    </a:xfrm>
                    <a:prstGeom prst="rect">
                      <a:avLst/>
                    </a:prstGeom>
                  </pic:spPr>
                </pic:pic>
              </a:graphicData>
            </a:graphic>
          </wp:inline>
        </w:drawing>
      </w:r>
    </w:p>
    <w:p w14:paraId="2C078E63" w14:textId="1105E068" w:rsidR="00C179E8" w:rsidRDefault="27C0BAA3" w:rsidP="000455D9">
      <w:pPr>
        <w:pStyle w:val="Heading4"/>
        <w:shd w:val="clear" w:color="auto" w:fill="FFFFFF" w:themeFill="background1"/>
        <w:spacing w:before="240" w:after="120"/>
        <w:rPr>
          <w:rFonts w:ascii="Arial" w:eastAsia="system-ui" w:hAnsi="Arial" w:cs="Arial"/>
          <w:b/>
          <w:bCs/>
          <w:i w:val="0"/>
          <w:iCs w:val="0"/>
          <w:color w:val="0D0D0D" w:themeColor="text1" w:themeTint="F2"/>
        </w:rPr>
      </w:pPr>
      <w:r w:rsidRPr="006060B5">
        <w:rPr>
          <w:rFonts w:ascii="Arial" w:eastAsia="system-ui" w:hAnsi="Arial" w:cs="Arial"/>
          <w:b/>
          <w:bCs/>
          <w:i w:val="0"/>
          <w:iCs w:val="0"/>
          <w:color w:val="0D0D0D" w:themeColor="text1" w:themeTint="F2"/>
        </w:rPr>
        <w:t>Reference List</w:t>
      </w:r>
    </w:p>
    <w:p w14:paraId="7EED4F94" w14:textId="5B1FADE1" w:rsidR="000455D9" w:rsidRPr="00DA4A0E" w:rsidRDefault="007A762A" w:rsidP="000455D9">
      <w:pPr>
        <w:rPr>
          <w:rFonts w:ascii="Arial" w:hAnsi="Arial" w:cs="Arial"/>
          <w:lang w:val="en"/>
        </w:rPr>
      </w:pPr>
      <w:r w:rsidRPr="47E9C145">
        <w:rPr>
          <w:rFonts w:ascii="Arial" w:hAnsi="Arial" w:cs="Arial"/>
          <w:lang w:val="en"/>
        </w:rPr>
        <w:t xml:space="preserve">Atkinson, R. (1999). </w:t>
      </w:r>
      <w:bookmarkStart w:id="2" w:name="_Int_57tmzEY3"/>
      <w:r w:rsidRPr="47E9C145">
        <w:rPr>
          <w:rFonts w:ascii="Arial" w:hAnsi="Arial" w:cs="Arial"/>
          <w:i/>
          <w:iCs/>
          <w:lang w:val="en"/>
        </w:rPr>
        <w:t>Project management: cost, time</w:t>
      </w:r>
      <w:r w:rsidR="00A11839" w:rsidRPr="47E9C145">
        <w:rPr>
          <w:rFonts w:ascii="Arial" w:hAnsi="Arial" w:cs="Arial"/>
          <w:i/>
          <w:iCs/>
          <w:lang w:val="en"/>
        </w:rPr>
        <w:t>,</w:t>
      </w:r>
      <w:r w:rsidRPr="47E9C145">
        <w:rPr>
          <w:rFonts w:ascii="Arial" w:hAnsi="Arial" w:cs="Arial"/>
          <w:i/>
          <w:iCs/>
          <w:lang w:val="en"/>
        </w:rPr>
        <w:t xml:space="preserve"> and quality, two best guesses and a phenomenon, </w:t>
      </w:r>
      <w:r w:rsidR="6CA2542A" w:rsidRPr="47E9C145">
        <w:rPr>
          <w:rFonts w:ascii="Arial" w:hAnsi="Arial" w:cs="Arial"/>
          <w:i/>
          <w:iCs/>
          <w:lang w:val="en"/>
        </w:rPr>
        <w:t>it is</w:t>
      </w:r>
      <w:r w:rsidRPr="47E9C145">
        <w:rPr>
          <w:rFonts w:ascii="Arial" w:hAnsi="Arial" w:cs="Arial"/>
          <w:i/>
          <w:iCs/>
          <w:lang w:val="en"/>
        </w:rPr>
        <w:t xml:space="preserve"> time to accept other success criteria</w:t>
      </w:r>
      <w:r w:rsidRPr="47E9C145">
        <w:rPr>
          <w:rFonts w:ascii="Arial" w:hAnsi="Arial" w:cs="Arial"/>
          <w:lang w:val="en"/>
        </w:rPr>
        <w:t>.</w:t>
      </w:r>
      <w:bookmarkEnd w:id="2"/>
      <w:r w:rsidRPr="47E9C145">
        <w:rPr>
          <w:rFonts w:ascii="Arial" w:hAnsi="Arial" w:cs="Arial"/>
          <w:lang w:val="en"/>
        </w:rPr>
        <w:t xml:space="preserve"> International Journal of Project Management, </w:t>
      </w:r>
      <w:r w:rsidR="00A11839" w:rsidRPr="47E9C145">
        <w:rPr>
          <w:rFonts w:ascii="Arial" w:hAnsi="Arial" w:cs="Arial"/>
          <w:lang w:val="en"/>
        </w:rPr>
        <w:t>p.</w:t>
      </w:r>
      <w:r w:rsidRPr="47E9C145">
        <w:rPr>
          <w:rFonts w:ascii="Arial" w:hAnsi="Arial" w:cs="Arial"/>
          <w:lang w:val="en"/>
        </w:rPr>
        <w:t>337-342.</w:t>
      </w:r>
    </w:p>
    <w:p w14:paraId="5AA5F85C" w14:textId="391C533B" w:rsidR="00B375E1" w:rsidRDefault="00B375E1" w:rsidP="000455D9">
      <w:pPr>
        <w:rPr>
          <w:rFonts w:ascii="Arial" w:hAnsi="Arial" w:cs="Arial"/>
          <w:shd w:val="clear" w:color="auto" w:fill="FFFFFF"/>
        </w:rPr>
      </w:pPr>
      <w:r w:rsidRPr="00DA4A0E">
        <w:rPr>
          <w:rFonts w:ascii="Arial" w:hAnsi="Arial" w:cs="Arial"/>
          <w:shd w:val="clear" w:color="auto" w:fill="FFFFFF"/>
        </w:rPr>
        <w:t xml:space="preserve">Locatelli, G., Paravano, A., Terenzi, M. and Trucco, P., 2023. </w:t>
      </w:r>
      <w:r w:rsidRPr="00D00428">
        <w:rPr>
          <w:rFonts w:ascii="Arial" w:hAnsi="Arial" w:cs="Arial"/>
          <w:i/>
          <w:iCs/>
          <w:shd w:val="clear" w:color="auto" w:fill="FFFFFF"/>
        </w:rPr>
        <w:t>Yes, construction cost, time</w:t>
      </w:r>
      <w:r w:rsidR="00DA4A0E" w:rsidRPr="00D00428">
        <w:rPr>
          <w:rFonts w:ascii="Arial" w:hAnsi="Arial" w:cs="Arial"/>
          <w:i/>
          <w:iCs/>
          <w:shd w:val="clear" w:color="auto" w:fill="FFFFFF"/>
        </w:rPr>
        <w:t>,</w:t>
      </w:r>
      <w:r w:rsidRPr="00D00428">
        <w:rPr>
          <w:rFonts w:ascii="Arial" w:hAnsi="Arial" w:cs="Arial"/>
          <w:i/>
          <w:iCs/>
          <w:shd w:val="clear" w:color="auto" w:fill="FFFFFF"/>
        </w:rPr>
        <w:t xml:space="preserve"> and scope are important, but there is more: a new action plan for infrastructure success</w:t>
      </w:r>
      <w:r w:rsidRPr="00DA4A0E">
        <w:rPr>
          <w:rFonts w:ascii="Arial" w:hAnsi="Arial" w:cs="Arial"/>
          <w:shd w:val="clear" w:color="auto" w:fill="FFFFFF"/>
        </w:rPr>
        <w:t>. </w:t>
      </w:r>
      <w:r w:rsidRPr="00DA4A0E">
        <w:rPr>
          <w:rFonts w:ascii="Arial" w:hAnsi="Arial" w:cs="Arial"/>
          <w:i/>
          <w:iCs/>
          <w:shd w:val="clear" w:color="auto" w:fill="FFFFFF"/>
        </w:rPr>
        <w:t>Management Decision</w:t>
      </w:r>
      <w:r w:rsidRPr="00DA4A0E">
        <w:rPr>
          <w:rFonts w:ascii="Arial" w:hAnsi="Arial" w:cs="Arial"/>
          <w:shd w:val="clear" w:color="auto" w:fill="FFFFFF"/>
        </w:rPr>
        <w:t>, </w:t>
      </w:r>
      <w:r w:rsidRPr="00DA4A0E">
        <w:rPr>
          <w:rFonts w:ascii="Arial" w:hAnsi="Arial" w:cs="Arial"/>
          <w:i/>
          <w:iCs/>
          <w:shd w:val="clear" w:color="auto" w:fill="FFFFFF"/>
        </w:rPr>
        <w:t>61</w:t>
      </w:r>
      <w:r w:rsidRPr="00DA4A0E">
        <w:rPr>
          <w:rFonts w:ascii="Arial" w:hAnsi="Arial" w:cs="Arial"/>
          <w:shd w:val="clear" w:color="auto" w:fill="FFFFFF"/>
        </w:rPr>
        <w:t>(13), pp.413-424.</w:t>
      </w:r>
    </w:p>
    <w:p w14:paraId="29A04C3C" w14:textId="76D0C518" w:rsidR="00604B29" w:rsidRPr="001054A9" w:rsidRDefault="001054A9" w:rsidP="000455D9">
      <w:pPr>
        <w:rPr>
          <w:rFonts w:ascii="Arial" w:hAnsi="Arial" w:cs="Arial"/>
        </w:rPr>
      </w:pPr>
      <w:r w:rsidRPr="001054A9">
        <w:rPr>
          <w:rFonts w:ascii="Arial" w:hAnsi="Arial" w:cs="Arial"/>
          <w:lang w:val="en"/>
        </w:rPr>
        <w:t xml:space="preserve">Shenhar, A. J., &amp; Dvir, D. (2007). </w:t>
      </w:r>
      <w:r w:rsidRPr="001054A9">
        <w:rPr>
          <w:rFonts w:ascii="Arial" w:hAnsi="Arial" w:cs="Arial"/>
          <w:i/>
          <w:iCs/>
          <w:lang w:val="en"/>
        </w:rPr>
        <w:t>Reinventing Project Management: The Diamond Approach to Successful Growth and Innovation.</w:t>
      </w:r>
      <w:r w:rsidRPr="001054A9">
        <w:rPr>
          <w:rFonts w:ascii="Arial" w:hAnsi="Arial" w:cs="Arial"/>
          <w:lang w:val="en"/>
        </w:rPr>
        <w:t xml:space="preserve"> Harvard Business Review Press.</w:t>
      </w:r>
    </w:p>
    <w:sectPr w:rsidR="00604B29" w:rsidRPr="001054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Lucida Handwriting">
    <w:charset w:val="00"/>
    <w:family w:val="script"/>
    <w:pitch w:val="variable"/>
    <w:sig w:usb0="00000003" w:usb1="00000000" w:usb2="00000000" w:usb3="00000000" w:csb0="00000001" w:csb1="00000000"/>
  </w:font>
  <w:font w:name="system-ui">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57tmzEY3" int2:invalidationBookmarkName="" int2:hashCode="LkZpLreBSM9WNN" int2:id="DMSwFtn4">
      <int2:extLst>
        <oel:ext uri="426473B9-03D8-482F-96C9-C2C85392BACA">
          <int2:similarityCritique int2:version="1" int2:context="Project management: cost, time, and quality, two best guesses and a phenomenon, it is time to accept other success criteria.">
            <int2:source int2:sourceType="Online" int2:sourceTitle="The challenge of introducing sustainability into project management ..." int2:sourceUrl="https://www.sciencedirect.com/science/article/abs/pii/S0959652615018636" int2:sourceSnippet="Companies are introducing sustainability into project management. ... Project management: cost, time and quality, two best guesses and a phenomenon, it is time to accept other success criteria. Int. J. Proj. Manag. (1999) A. Azapagic Developing a framework for sustainable development indicators for the mining and minerals industry.">
              <int2:suggestions int2:citationType="Inline">
                <int2:suggestion int2:citationStyle="Mla" int2:isIdentical="0">
                  <int2:citationText>(“The challenge of introducing sustainability into project management ...”)</int2:citationText>
                </int2:suggestion>
                <int2:suggestion int2:citationStyle="Apa" int2:isIdentical="0">
                  <int2:citationText>(“The challenge of introducing sustainability into project management ...”)</int2:citationText>
                </int2:suggestion>
                <int2:suggestion int2:citationStyle="Chicago" int2:isIdentical="0">
                  <int2:citationText>(“The challenge of introducing sustainability into project management ...”)</int2:citationText>
                </int2:suggestion>
              </int2:suggestions>
              <int2:suggestions int2:citationType="Full">
                <int2:suggestion int2:citationStyle="Mla" int2:isIdentical="0">
                  <int2:citationText>&lt;i&gt;The challenge of introducing sustainability into project management ...&lt;/i&gt;, https://www.sciencedirect.com/science/article/abs/pii/S0959652615018636.</int2:citationText>
                </int2:suggestion>
                <int2:suggestion int2:citationStyle="Apa" int2:isIdentical="0">
                  <int2:citationText>&lt;i&gt;The challenge of introducing sustainability into project management ...&lt;/i&gt;. (n.d.). Retrieved from https://www.sciencedirect.com/science/article/abs/pii/S0959652615018636</int2:citationText>
                </int2:suggestion>
                <int2:suggestion int2:citationStyle="Chicago" int2:isIdentical="0">
                  <int2:citationText>“The challenge of introducing sustainability into project management ...” n.d., https://www.sciencedirect.com/science/article/abs/pii/S0959652615018636.</int2:citationText>
                </int2:suggestion>
              </int2:suggestions>
            </int2:source>
          </int2:similarityCritique>
        </oel:ext>
      </int2:extLst>
    </int2:bookmark>
    <int2:bookmark int2:bookmarkName="_Int_h2sbEOwn" int2:invalidationBookmarkName="" int2:hashCode="eI2bskhO8ZnqUW" int2:id="ETfQbg7W">
      <int2:extLst>
        <oel:ext uri="426473B9-03D8-482F-96C9-C2C85392BACA">
          <int2:similarityCritique int2:version="1" int2:context="Additionally, “the iron triangle criteria, which is delivering on time, budget, and quality, scope, is the traditional perspective to assess the success of infrastructure projects.">
            <int2:source int2:sourceType="Online" int2:sourceTitle="Yes, construction cost, time and scope are important, but there is more ..." int2:sourceUrl="https://www.emerald.com/insight/content/doi/10.1108/MD-04-2022-0516/full/html" int2:sourceSnippet="The iron triangle criteria, i.e. delivering on time, budget and quality/scope, is the traditional perspective to assess the success of infrastructure projects. Delivering on cost and time is significant, but particularly for infrastructure, there are more relevant success criteria. The authors argue which criteria are important, and explain why.">
              <int2:suggestions int2:citationType="Inline">
                <int2:suggestion int2:citationStyle="Mla" int2:isIdentical="0">
                  <int2:citationText>(“Yes, construction cost, time and scope are important, but there is more ...”)</int2:citationText>
                </int2:suggestion>
                <int2:suggestion int2:citationStyle="Apa" int2:isIdentical="0">
                  <int2:citationText>(“Yes, construction cost, time and scope are important, but there is more ...”)</int2:citationText>
                </int2:suggestion>
                <int2:suggestion int2:citationStyle="Chicago" int2:isIdentical="0">
                  <int2:citationText>(“Yes, construction cost, time and scope are important, but there is more ...”)</int2:citationText>
                </int2:suggestion>
              </int2:suggestions>
              <int2:suggestions int2:citationType="Full">
                <int2:suggestion int2:citationStyle="Mla" int2:isIdentical="0">
                  <int2:citationText>&lt;i&gt;Yes, construction cost, time and scope are important, but there is more ...&lt;/i&gt;, https://www.emerald.com/insight/content/doi/10.1108/MD-04-2022-0516/full/html.</int2:citationText>
                </int2:suggestion>
                <int2:suggestion int2:citationStyle="Apa" int2:isIdentical="0">
                  <int2:citationText>&lt;i&gt;Yes, construction cost, time and scope are important, but there is more ...&lt;/i&gt;. (n.d.). Retrieved from https://www.emerald.com/insight/content/doi/10.1108/MD-04-2022-0516/full/html</int2:citationText>
                </int2:suggestion>
                <int2:suggestion int2:citationStyle="Chicago" int2:isIdentical="0">
                  <int2:citationText>“Yes, construction cost, time and scope are important, but there is more ...” n.d., https://www.emerald.com/insight/content/doi/10.1108/MD-04-2022-0516/full/html.</int2:citationText>
                </int2:suggestion>
              </int2:suggestions>
            </int2:source>
          </int2:similarityCritique>
        </oel:ext>
      </int2:extLst>
    </int2:bookmark>
    <int2:entireDocument int2:id="D8IfSOba">
      <int2:extLst>
        <oel:ext uri="E302BA01-7950-474C-9AD3-286E660C40A8">
          <int2:similaritySummary int2:version="1" int2:runId="1716480778608" int2:tilesCheckedInThisRun="0" int2:totalNumOfTiles="8" int2:similarityAnnotationCount="2" int2:numWords="262" int2:numFlaggedWords="45"/>
        </oel:ext>
      </int2:extLst>
    </int2:entireDocument>
  </int2:observations>
  <int2:intelligenceSettings/>
  <int2:onDemandWorkflows>
    <int2:onDemandWorkflow int2:type="SimilarityCheck" int2:paragraphVersions="00D93F87-1E6CFE2B 64EFC59F-2BE26892 66C7A10C-34CD5A01 4D1C54F3-31690C94 65B15C7E-07DF832F 10E2898A-543984D2 1E8AF0CF-5F219CCB 5344F82F-47AC556B 4AB60679-3266A7F8 65FB64CF-31CCC110 2B9D4D67-773AD5ED 12D0EFA3-18299AA6 7A39A24C-0EFEEE5B 37A663FE-1C1DD13A 2C078E63-1105E068 7EED4F94-5B1FADE1 5AA5F85C-391C533B 29A04C3C-76D0C51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315ECB"/>
    <w:multiLevelType w:val="hybridMultilevel"/>
    <w:tmpl w:val="25324FA8"/>
    <w:lvl w:ilvl="0" w:tplc="639CB3B2">
      <w:start w:val="1"/>
      <w:numFmt w:val="bullet"/>
      <w:lvlText w:val=""/>
      <w:lvlJc w:val="left"/>
      <w:pPr>
        <w:ind w:left="720" w:hanging="360"/>
      </w:pPr>
      <w:rPr>
        <w:rFonts w:ascii="Symbol" w:hAnsi="Symbol" w:hint="default"/>
      </w:rPr>
    </w:lvl>
    <w:lvl w:ilvl="1" w:tplc="3B685B1A">
      <w:start w:val="1"/>
      <w:numFmt w:val="bullet"/>
      <w:lvlText w:val="o"/>
      <w:lvlJc w:val="left"/>
      <w:pPr>
        <w:ind w:left="1440" w:hanging="360"/>
      </w:pPr>
      <w:rPr>
        <w:rFonts w:ascii="Courier New" w:hAnsi="Courier New" w:hint="default"/>
      </w:rPr>
    </w:lvl>
    <w:lvl w:ilvl="2" w:tplc="76425A44">
      <w:start w:val="1"/>
      <w:numFmt w:val="bullet"/>
      <w:lvlText w:val=""/>
      <w:lvlJc w:val="left"/>
      <w:pPr>
        <w:ind w:left="2160" w:hanging="360"/>
      </w:pPr>
      <w:rPr>
        <w:rFonts w:ascii="Wingdings" w:hAnsi="Wingdings" w:hint="default"/>
      </w:rPr>
    </w:lvl>
    <w:lvl w:ilvl="3" w:tplc="7B422634">
      <w:start w:val="1"/>
      <w:numFmt w:val="bullet"/>
      <w:lvlText w:val=""/>
      <w:lvlJc w:val="left"/>
      <w:pPr>
        <w:ind w:left="2880" w:hanging="360"/>
      </w:pPr>
      <w:rPr>
        <w:rFonts w:ascii="Symbol" w:hAnsi="Symbol" w:hint="default"/>
      </w:rPr>
    </w:lvl>
    <w:lvl w:ilvl="4" w:tplc="0A72037A">
      <w:start w:val="1"/>
      <w:numFmt w:val="bullet"/>
      <w:lvlText w:val="o"/>
      <w:lvlJc w:val="left"/>
      <w:pPr>
        <w:ind w:left="3600" w:hanging="360"/>
      </w:pPr>
      <w:rPr>
        <w:rFonts w:ascii="Courier New" w:hAnsi="Courier New" w:hint="default"/>
      </w:rPr>
    </w:lvl>
    <w:lvl w:ilvl="5" w:tplc="AC02483C">
      <w:start w:val="1"/>
      <w:numFmt w:val="bullet"/>
      <w:lvlText w:val=""/>
      <w:lvlJc w:val="left"/>
      <w:pPr>
        <w:ind w:left="4320" w:hanging="360"/>
      </w:pPr>
      <w:rPr>
        <w:rFonts w:ascii="Wingdings" w:hAnsi="Wingdings" w:hint="default"/>
      </w:rPr>
    </w:lvl>
    <w:lvl w:ilvl="6" w:tplc="9DCC28EA">
      <w:start w:val="1"/>
      <w:numFmt w:val="bullet"/>
      <w:lvlText w:val=""/>
      <w:lvlJc w:val="left"/>
      <w:pPr>
        <w:ind w:left="5040" w:hanging="360"/>
      </w:pPr>
      <w:rPr>
        <w:rFonts w:ascii="Symbol" w:hAnsi="Symbol" w:hint="default"/>
      </w:rPr>
    </w:lvl>
    <w:lvl w:ilvl="7" w:tplc="1B66579C">
      <w:start w:val="1"/>
      <w:numFmt w:val="bullet"/>
      <w:lvlText w:val="o"/>
      <w:lvlJc w:val="left"/>
      <w:pPr>
        <w:ind w:left="5760" w:hanging="360"/>
      </w:pPr>
      <w:rPr>
        <w:rFonts w:ascii="Courier New" w:hAnsi="Courier New" w:hint="default"/>
      </w:rPr>
    </w:lvl>
    <w:lvl w:ilvl="8" w:tplc="793086E2">
      <w:start w:val="1"/>
      <w:numFmt w:val="bullet"/>
      <w:lvlText w:val=""/>
      <w:lvlJc w:val="left"/>
      <w:pPr>
        <w:ind w:left="6480" w:hanging="360"/>
      </w:pPr>
      <w:rPr>
        <w:rFonts w:ascii="Wingdings" w:hAnsi="Wingdings" w:hint="default"/>
      </w:rPr>
    </w:lvl>
  </w:abstractNum>
  <w:num w:numId="1" w16cid:durableId="1262834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D8A4CE"/>
    <w:rsid w:val="000455D9"/>
    <w:rsid w:val="0004659F"/>
    <w:rsid w:val="000F2101"/>
    <w:rsid w:val="001054A9"/>
    <w:rsid w:val="002A1426"/>
    <w:rsid w:val="002C2729"/>
    <w:rsid w:val="00381545"/>
    <w:rsid w:val="00385513"/>
    <w:rsid w:val="003E2D1B"/>
    <w:rsid w:val="003F1674"/>
    <w:rsid w:val="00403775"/>
    <w:rsid w:val="004367F5"/>
    <w:rsid w:val="004E67C8"/>
    <w:rsid w:val="004F71B2"/>
    <w:rsid w:val="0050679A"/>
    <w:rsid w:val="005A0533"/>
    <w:rsid w:val="005A5A16"/>
    <w:rsid w:val="005A67D2"/>
    <w:rsid w:val="005B72E3"/>
    <w:rsid w:val="005B7724"/>
    <w:rsid w:val="00604B29"/>
    <w:rsid w:val="006060B5"/>
    <w:rsid w:val="0061298E"/>
    <w:rsid w:val="006A22BB"/>
    <w:rsid w:val="006D404F"/>
    <w:rsid w:val="006F0203"/>
    <w:rsid w:val="00783236"/>
    <w:rsid w:val="007A762A"/>
    <w:rsid w:val="007B2B4F"/>
    <w:rsid w:val="007C70FF"/>
    <w:rsid w:val="00846F7A"/>
    <w:rsid w:val="00897B6E"/>
    <w:rsid w:val="008A3175"/>
    <w:rsid w:val="008B3C88"/>
    <w:rsid w:val="008E5A91"/>
    <w:rsid w:val="00905196"/>
    <w:rsid w:val="009259EF"/>
    <w:rsid w:val="009E37A7"/>
    <w:rsid w:val="00A11839"/>
    <w:rsid w:val="00AC2A54"/>
    <w:rsid w:val="00AE1738"/>
    <w:rsid w:val="00B25809"/>
    <w:rsid w:val="00B375E1"/>
    <w:rsid w:val="00BF6CE2"/>
    <w:rsid w:val="00C179E8"/>
    <w:rsid w:val="00C30A22"/>
    <w:rsid w:val="00C70705"/>
    <w:rsid w:val="00C83D77"/>
    <w:rsid w:val="00CB0E95"/>
    <w:rsid w:val="00D00428"/>
    <w:rsid w:val="00D44FC6"/>
    <w:rsid w:val="00DA4A0E"/>
    <w:rsid w:val="00DC263A"/>
    <w:rsid w:val="00E50AA5"/>
    <w:rsid w:val="00E865F7"/>
    <w:rsid w:val="00F560C7"/>
    <w:rsid w:val="00F60306"/>
    <w:rsid w:val="00FD32AC"/>
    <w:rsid w:val="17D8A4CE"/>
    <w:rsid w:val="18CBDAE1"/>
    <w:rsid w:val="207CE291"/>
    <w:rsid w:val="27C0BAA3"/>
    <w:rsid w:val="287538AC"/>
    <w:rsid w:val="2AEFF64E"/>
    <w:rsid w:val="47E9C145"/>
    <w:rsid w:val="53958A28"/>
    <w:rsid w:val="583B224C"/>
    <w:rsid w:val="639E4D5C"/>
    <w:rsid w:val="6CA2542A"/>
    <w:rsid w:val="6D231ECD"/>
    <w:rsid w:val="763044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8A4CE"/>
  <w15:chartTrackingRefBased/>
  <w15:docId w15:val="{6019A4A9-44A3-4C25-B9BB-9BF7F0EA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942500">
      <w:bodyDiv w:val="1"/>
      <w:marLeft w:val="0"/>
      <w:marRight w:val="0"/>
      <w:marTop w:val="0"/>
      <w:marBottom w:val="0"/>
      <w:divBdr>
        <w:top w:val="none" w:sz="0" w:space="0" w:color="auto"/>
        <w:left w:val="none" w:sz="0" w:space="0" w:color="auto"/>
        <w:bottom w:val="none" w:sz="0" w:space="0" w:color="auto"/>
        <w:right w:val="none" w:sz="0" w:space="0" w:color="auto"/>
      </w:divBdr>
    </w:div>
    <w:div w:id="118096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20/10/relationships/intelligence" Target="intelligence2.xm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Words>
  <Characters>2691</Characters>
  <Application>Microsoft Office Word</Application>
  <DocSecurity>4</DocSecurity>
  <Lines>22</Lines>
  <Paragraphs>6</Paragraphs>
  <ScaleCrop>false</ScaleCrop>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Lesiczka (2130091)</dc:creator>
  <cp:keywords/>
  <dc:description/>
  <cp:lastModifiedBy>Marta Lesiczka (2130091)</cp:lastModifiedBy>
  <cp:revision>53</cp:revision>
  <dcterms:created xsi:type="dcterms:W3CDTF">2024-05-22T06:14:00Z</dcterms:created>
  <dcterms:modified xsi:type="dcterms:W3CDTF">2024-05-23T16:12:00Z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4ae82167f58896cb3e35050321ca721144535015490e709608b377788840ceb3</vt:lpwstr>
  </property>
</Properties>
</file>