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4BAC6" w14:textId="77777777" w:rsidR="0027602A" w:rsidRDefault="00000000">
      <w:pPr>
        <w:jc w:val="center"/>
        <w:rPr>
          <w:b/>
          <w:bCs/>
          <w:sz w:val="32"/>
          <w:szCs w:val="32"/>
        </w:rPr>
      </w:pPr>
      <w:r>
        <w:rPr>
          <w:noProof/>
        </w:rPr>
        <w:drawing>
          <wp:anchor distT="0" distB="0" distL="114300" distR="114300" simplePos="0" relativeHeight="251658240" behindDoc="0" locked="0" layoutInCell="1" hidden="0" allowOverlap="1" wp14:anchorId="50FB4AF2" wp14:editId="53771661">
            <wp:simplePos x="0" y="0"/>
            <wp:positionH relativeFrom="column">
              <wp:posOffset>2242268</wp:posOffset>
            </wp:positionH>
            <wp:positionV relativeFrom="paragraph">
              <wp:posOffset>579</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1EAE0DE1" w14:textId="77777777" w:rsidR="0027602A" w:rsidRDefault="0027602A">
      <w:pPr>
        <w:jc w:val="center"/>
        <w:rPr>
          <w:b/>
          <w:bCs/>
          <w:sz w:val="32"/>
          <w:szCs w:val="32"/>
        </w:rPr>
      </w:pPr>
    </w:p>
    <w:p w14:paraId="16574350" w14:textId="77777777" w:rsidR="0027602A" w:rsidRDefault="0027602A">
      <w:pPr>
        <w:jc w:val="center"/>
        <w:rPr>
          <w:b/>
          <w:bCs/>
          <w:sz w:val="32"/>
          <w:szCs w:val="32"/>
        </w:rPr>
      </w:pPr>
    </w:p>
    <w:p w14:paraId="2CBE0DFC" w14:textId="77777777" w:rsidR="0027602A" w:rsidRDefault="0027602A">
      <w:pPr>
        <w:jc w:val="center"/>
        <w:rPr>
          <w:b/>
          <w:bCs/>
          <w:sz w:val="32"/>
          <w:szCs w:val="32"/>
        </w:rPr>
      </w:pPr>
    </w:p>
    <w:p w14:paraId="122B3FB0" w14:textId="77777777" w:rsidR="0027602A" w:rsidRDefault="0027602A">
      <w:pPr>
        <w:jc w:val="center"/>
        <w:rPr>
          <w:b/>
          <w:bCs/>
          <w:sz w:val="32"/>
          <w:szCs w:val="32"/>
        </w:rPr>
      </w:pPr>
    </w:p>
    <w:p w14:paraId="2036ECD3" w14:textId="77777777" w:rsidR="0027602A" w:rsidRDefault="00000000">
      <w:pPr>
        <w:jc w:val="center"/>
        <w:rPr>
          <w:b/>
          <w:bCs/>
          <w:sz w:val="32"/>
          <w:szCs w:val="32"/>
        </w:rPr>
      </w:pPr>
      <w:r>
        <w:rPr>
          <w:b/>
          <w:bCs/>
          <w:sz w:val="32"/>
          <w:szCs w:val="32"/>
        </w:rPr>
        <w:t xml:space="preserve">Programme: </w:t>
      </w:r>
      <w:r>
        <w:rPr>
          <w:sz w:val="32"/>
          <w:szCs w:val="32"/>
        </w:rPr>
        <w:t>Certificate of Higher Education Skills for the Workplace (Health &amp; Social Care)</w:t>
      </w:r>
    </w:p>
    <w:p w14:paraId="762822BB" w14:textId="77777777" w:rsidR="0027602A" w:rsidRDefault="0027602A">
      <w:pPr>
        <w:jc w:val="center"/>
        <w:rPr>
          <w:b/>
          <w:bCs/>
          <w:sz w:val="32"/>
          <w:szCs w:val="32"/>
        </w:rPr>
      </w:pPr>
    </w:p>
    <w:p w14:paraId="7CC95618" w14:textId="77777777" w:rsidR="0027602A" w:rsidRDefault="0027602A">
      <w:pPr>
        <w:jc w:val="center"/>
        <w:rPr>
          <w:b/>
          <w:bCs/>
          <w:sz w:val="32"/>
          <w:szCs w:val="32"/>
        </w:rPr>
      </w:pPr>
    </w:p>
    <w:p w14:paraId="52F8C1CA" w14:textId="77777777" w:rsidR="0027602A" w:rsidRDefault="00000000">
      <w:pPr>
        <w:jc w:val="center"/>
        <w:rPr>
          <w:sz w:val="32"/>
          <w:szCs w:val="32"/>
        </w:rPr>
      </w:pPr>
      <w:r>
        <w:rPr>
          <w:b/>
          <w:bCs/>
          <w:sz w:val="32"/>
          <w:szCs w:val="32"/>
        </w:rPr>
        <w:t xml:space="preserve">Module: </w:t>
      </w:r>
      <w:r>
        <w:rPr>
          <w:sz w:val="32"/>
          <w:szCs w:val="32"/>
        </w:rPr>
        <w:t>Introduction to Health and Social Care</w:t>
      </w:r>
    </w:p>
    <w:p w14:paraId="2C2F51F4" w14:textId="77777777" w:rsidR="0027602A" w:rsidRDefault="00000000">
      <w:pPr>
        <w:jc w:val="center"/>
        <w:rPr>
          <w:b/>
          <w:bCs/>
          <w:sz w:val="32"/>
          <w:szCs w:val="32"/>
        </w:rPr>
      </w:pPr>
      <w:r>
        <w:rPr>
          <w:b/>
          <w:bCs/>
          <w:sz w:val="32"/>
          <w:szCs w:val="32"/>
        </w:rPr>
        <w:t xml:space="preserve">Module code: </w:t>
      </w:r>
      <w:r>
        <w:rPr>
          <w:sz w:val="32"/>
          <w:szCs w:val="32"/>
        </w:rPr>
        <w:t>LCHS4003</w:t>
      </w:r>
    </w:p>
    <w:p w14:paraId="2E67C2E0" w14:textId="77777777" w:rsidR="0027602A" w:rsidRDefault="0027602A">
      <w:pPr>
        <w:jc w:val="center"/>
        <w:rPr>
          <w:b/>
          <w:bCs/>
          <w:sz w:val="32"/>
          <w:szCs w:val="32"/>
        </w:rPr>
      </w:pPr>
    </w:p>
    <w:p w14:paraId="5DABDEEB" w14:textId="77777777" w:rsidR="0027602A" w:rsidRDefault="0027602A">
      <w:pPr>
        <w:jc w:val="center"/>
        <w:rPr>
          <w:b/>
          <w:bCs/>
          <w:sz w:val="32"/>
          <w:szCs w:val="32"/>
        </w:rPr>
      </w:pPr>
    </w:p>
    <w:p w14:paraId="2593CB85" w14:textId="77777777" w:rsidR="0027602A" w:rsidRDefault="00000000">
      <w:pPr>
        <w:jc w:val="center"/>
        <w:rPr>
          <w:b/>
          <w:bCs/>
          <w:sz w:val="32"/>
          <w:szCs w:val="32"/>
        </w:rPr>
      </w:pPr>
      <w:r>
        <w:rPr>
          <w:b/>
          <w:bCs/>
          <w:sz w:val="32"/>
          <w:szCs w:val="32"/>
        </w:rPr>
        <w:t xml:space="preserve">Lecturer: </w:t>
      </w:r>
      <w:r>
        <w:rPr>
          <w:sz w:val="32"/>
          <w:szCs w:val="32"/>
        </w:rPr>
        <w:t>Dr Azora Hurd – Module Lead</w:t>
      </w:r>
    </w:p>
    <w:p w14:paraId="31F3613E" w14:textId="77777777" w:rsidR="0027602A" w:rsidRDefault="00000000">
      <w:pPr>
        <w:jc w:val="center"/>
        <w:rPr>
          <w:b/>
          <w:bCs/>
          <w:sz w:val="32"/>
          <w:szCs w:val="32"/>
        </w:rPr>
      </w:pPr>
      <w:r>
        <w:rPr>
          <w:b/>
          <w:bCs/>
          <w:sz w:val="32"/>
          <w:szCs w:val="32"/>
        </w:rPr>
        <w:t xml:space="preserve">Internal Verifier: </w:t>
      </w:r>
      <w:r>
        <w:rPr>
          <w:sz w:val="32"/>
          <w:szCs w:val="32"/>
        </w:rPr>
        <w:t>Dr Besty Jose</w:t>
      </w:r>
    </w:p>
    <w:p w14:paraId="60E65CA4" w14:textId="77777777" w:rsidR="0027602A" w:rsidRDefault="0027602A">
      <w:pPr>
        <w:jc w:val="center"/>
        <w:rPr>
          <w:b/>
          <w:bCs/>
          <w:sz w:val="32"/>
          <w:szCs w:val="32"/>
        </w:rPr>
      </w:pPr>
    </w:p>
    <w:p w14:paraId="007CE69C" w14:textId="77777777" w:rsidR="0027602A" w:rsidRDefault="0027602A">
      <w:pPr>
        <w:jc w:val="center"/>
        <w:rPr>
          <w:b/>
          <w:bCs/>
          <w:sz w:val="32"/>
          <w:szCs w:val="32"/>
        </w:rPr>
      </w:pPr>
    </w:p>
    <w:p w14:paraId="52A798C8" w14:textId="77777777" w:rsidR="0027602A" w:rsidRDefault="00000000">
      <w:pPr>
        <w:jc w:val="center"/>
        <w:rPr>
          <w:b/>
          <w:bCs/>
          <w:sz w:val="32"/>
          <w:szCs w:val="32"/>
        </w:rPr>
      </w:pPr>
      <w:r>
        <w:rPr>
          <w:b/>
          <w:bCs/>
          <w:sz w:val="32"/>
          <w:szCs w:val="32"/>
        </w:rPr>
        <w:t>Assignment Title:portfolio-Two Tasks</w:t>
      </w:r>
    </w:p>
    <w:p w14:paraId="029D0DA6" w14:textId="77777777" w:rsidR="0027602A" w:rsidRDefault="00000000">
      <w:pPr>
        <w:jc w:val="center"/>
        <w:rPr>
          <w:b/>
          <w:bCs/>
          <w:color w:val="000000"/>
          <w:sz w:val="32"/>
          <w:szCs w:val="32"/>
        </w:rPr>
      </w:pPr>
      <w:r>
        <w:rPr>
          <w:b/>
          <w:bCs/>
          <w:sz w:val="32"/>
          <w:szCs w:val="32"/>
        </w:rPr>
        <w:t xml:space="preserve"> </w:t>
      </w:r>
      <w:r>
        <w:rPr>
          <w:color w:val="000000"/>
          <w:sz w:val="32"/>
          <w:szCs w:val="32"/>
        </w:rPr>
        <w:t xml:space="preserve">Submitted to Turnitin by </w:t>
      </w:r>
      <w:r>
        <w:rPr>
          <w:sz w:val="32"/>
          <w:szCs w:val="32"/>
        </w:rPr>
        <w:t>Friday-</w:t>
      </w:r>
      <w:r>
        <w:rPr>
          <w:color w:val="000000"/>
          <w:sz w:val="32"/>
          <w:szCs w:val="32"/>
        </w:rPr>
        <w:t xml:space="preserve"> </w:t>
      </w:r>
      <w:r>
        <w:rPr>
          <w:sz w:val="32"/>
          <w:szCs w:val="32"/>
        </w:rPr>
        <w:t xml:space="preserve">28 - 11- </w:t>
      </w:r>
      <w:r>
        <w:rPr>
          <w:color w:val="000000"/>
          <w:sz w:val="32"/>
          <w:szCs w:val="32"/>
        </w:rPr>
        <w:t>2025</w:t>
      </w:r>
    </w:p>
    <w:p w14:paraId="5E2141D7" w14:textId="77777777" w:rsidR="0027602A" w:rsidRDefault="0027602A">
      <w:pPr>
        <w:jc w:val="center"/>
        <w:rPr>
          <w:b/>
          <w:bCs/>
          <w:color w:val="000000"/>
          <w:sz w:val="32"/>
          <w:szCs w:val="32"/>
        </w:rPr>
      </w:pPr>
    </w:p>
    <w:p w14:paraId="3CE7B936" w14:textId="77777777" w:rsidR="0027602A" w:rsidRDefault="0027602A">
      <w:pPr>
        <w:jc w:val="center"/>
        <w:rPr>
          <w:b/>
          <w:bCs/>
          <w:color w:val="000000"/>
          <w:sz w:val="32"/>
          <w:szCs w:val="32"/>
        </w:rPr>
      </w:pPr>
    </w:p>
    <w:p w14:paraId="20B930E0" w14:textId="77777777" w:rsidR="0027602A" w:rsidRDefault="00000000">
      <w:pPr>
        <w:jc w:val="center"/>
        <w:rPr>
          <w:b/>
          <w:bCs/>
          <w:color w:val="000000"/>
          <w:sz w:val="32"/>
          <w:szCs w:val="32"/>
        </w:rPr>
      </w:pPr>
      <w:r>
        <w:rPr>
          <w:b/>
          <w:bCs/>
          <w:color w:val="000000"/>
          <w:sz w:val="32"/>
          <w:szCs w:val="32"/>
        </w:rPr>
        <w:t xml:space="preserve">Student Name: </w:t>
      </w:r>
      <w:r>
        <w:rPr>
          <w:color w:val="000000"/>
          <w:sz w:val="32"/>
          <w:szCs w:val="32"/>
        </w:rPr>
        <w:t>Zubeda – Sembagare - Umurerwa</w:t>
      </w:r>
    </w:p>
    <w:p w14:paraId="7B94B632" w14:textId="77777777" w:rsidR="0027602A" w:rsidRDefault="00000000">
      <w:pPr>
        <w:jc w:val="center"/>
        <w:rPr>
          <w:b/>
          <w:bCs/>
          <w:color w:val="000000"/>
          <w:sz w:val="32"/>
          <w:szCs w:val="32"/>
        </w:rPr>
      </w:pPr>
      <w:r>
        <w:rPr>
          <w:b/>
          <w:bCs/>
          <w:color w:val="000000"/>
          <w:sz w:val="32"/>
          <w:szCs w:val="32"/>
        </w:rPr>
        <w:t>Student ID:2423193</w:t>
      </w:r>
    </w:p>
    <w:p w14:paraId="131E9E8B" w14:textId="77777777" w:rsidR="0027602A" w:rsidRDefault="00000000">
      <w:pPr>
        <w:rPr>
          <w:b/>
          <w:bCs/>
          <w:color w:val="000000"/>
          <w:sz w:val="32"/>
          <w:szCs w:val="32"/>
        </w:rPr>
      </w:pPr>
      <w:r>
        <w:br w:type="page"/>
      </w:r>
    </w:p>
    <w:p w14:paraId="18B4F013" w14:textId="77777777" w:rsidR="0027602A" w:rsidRDefault="00000000">
      <w:pPr>
        <w:keepNext/>
        <w:keepLines/>
        <w:pBdr>
          <w:top w:val="nil"/>
          <w:left w:val="nil"/>
          <w:bottom w:val="nil"/>
          <w:right w:val="nil"/>
          <w:between w:val="nil"/>
        </w:pBdr>
        <w:spacing w:before="240" w:line="360" w:lineRule="auto"/>
        <w:jc w:val="center"/>
        <w:rPr>
          <w:b/>
          <w:bCs/>
          <w:color w:val="000000"/>
          <w:sz w:val="28"/>
          <w:szCs w:val="28"/>
          <w:u w:val="single"/>
        </w:rPr>
      </w:pPr>
      <w:r>
        <w:rPr>
          <w:b/>
          <w:bCs/>
          <w:color w:val="000000"/>
          <w:sz w:val="28"/>
          <w:szCs w:val="28"/>
          <w:u w:val="single"/>
        </w:rPr>
        <w:lastRenderedPageBreak/>
        <w:t>Table of Contents</w:t>
      </w:r>
    </w:p>
    <w:sdt>
      <w:sdtPr>
        <w:id w:val="-1078478275"/>
        <w:docPartObj>
          <w:docPartGallery w:val="Table of Contents"/>
          <w:docPartUnique/>
        </w:docPartObj>
      </w:sdtPr>
      <w:sdtContent>
        <w:p w14:paraId="706AB781" w14:textId="77777777" w:rsidR="0027602A" w:rsidRDefault="00000000">
          <w:pPr>
            <w:pBdr>
              <w:top w:val="nil"/>
              <w:left w:val="nil"/>
              <w:bottom w:val="nil"/>
              <w:right w:val="nil"/>
              <w:between w:val="nil"/>
            </w:pBdr>
            <w:tabs>
              <w:tab w:val="right" w:leader="dot" w:pos="9350"/>
            </w:tabs>
            <w:spacing w:after="100" w:line="360" w:lineRule="auto"/>
            <w:jc w:val="both"/>
            <w:rPr>
              <w:color w:val="000000"/>
            </w:rPr>
          </w:pPr>
          <w:r>
            <w:fldChar w:fldCharType="begin"/>
          </w:r>
          <w:r>
            <w:instrText xml:space="preserve"> TOC \h \u \z \t "Heading 1,1,Heading 2,2,Heading 3,3,"</w:instrText>
          </w:r>
          <w:r>
            <w:fldChar w:fldCharType="separate"/>
          </w:r>
          <w:hyperlink w:anchor="_heading=h.gx86jw6zaf70">
            <w:r>
              <w:rPr>
                <w:color w:val="000000"/>
              </w:rPr>
              <w:t>Task 1: Official Letter</w:t>
            </w:r>
            <w:r>
              <w:rPr>
                <w:color w:val="000000"/>
              </w:rPr>
              <w:tab/>
              <w:t>3</w:t>
            </w:r>
          </w:hyperlink>
        </w:p>
        <w:p w14:paraId="490ECF51" w14:textId="77777777" w:rsidR="0027602A" w:rsidRDefault="00000000">
          <w:pPr>
            <w:pBdr>
              <w:top w:val="nil"/>
              <w:left w:val="nil"/>
              <w:bottom w:val="nil"/>
              <w:right w:val="nil"/>
              <w:between w:val="nil"/>
            </w:pBdr>
            <w:tabs>
              <w:tab w:val="right" w:leader="dot" w:pos="9350"/>
            </w:tabs>
            <w:spacing w:after="100" w:line="360" w:lineRule="auto"/>
            <w:jc w:val="both"/>
            <w:rPr>
              <w:color w:val="000000"/>
            </w:rPr>
          </w:pPr>
          <w:hyperlink w:anchor="_heading=h.kdft4ntd3w1r">
            <w:r>
              <w:rPr>
                <w:color w:val="000000"/>
              </w:rPr>
              <w:t>Task 2: Essay</w:t>
            </w:r>
            <w:r>
              <w:rPr>
                <w:color w:val="000000"/>
              </w:rPr>
              <w:tab/>
              <w:t>5</w:t>
            </w:r>
          </w:hyperlink>
        </w:p>
        <w:p w14:paraId="58342F37" w14:textId="77777777" w:rsidR="0027602A" w:rsidRDefault="00000000">
          <w:pPr>
            <w:pBdr>
              <w:top w:val="nil"/>
              <w:left w:val="nil"/>
              <w:bottom w:val="nil"/>
              <w:right w:val="nil"/>
              <w:between w:val="nil"/>
            </w:pBdr>
            <w:tabs>
              <w:tab w:val="right" w:leader="dot" w:pos="9350"/>
            </w:tabs>
            <w:spacing w:after="100" w:line="360" w:lineRule="auto"/>
            <w:jc w:val="both"/>
            <w:rPr>
              <w:color w:val="000000"/>
            </w:rPr>
          </w:pPr>
          <w:hyperlink w:anchor="_heading=h.citwm4fpe37y">
            <w:r>
              <w:rPr>
                <w:color w:val="000000"/>
              </w:rPr>
              <w:t>Reference List</w:t>
            </w:r>
            <w:r>
              <w:rPr>
                <w:color w:val="000000"/>
              </w:rPr>
              <w:tab/>
              <w:t>8</w:t>
            </w:r>
          </w:hyperlink>
        </w:p>
        <w:p w14:paraId="6504342F" w14:textId="77777777" w:rsidR="0027602A" w:rsidRDefault="00000000">
          <w:pPr>
            <w:spacing w:line="360" w:lineRule="auto"/>
            <w:jc w:val="both"/>
          </w:pPr>
          <w:r>
            <w:fldChar w:fldCharType="end"/>
          </w:r>
        </w:p>
      </w:sdtContent>
    </w:sdt>
    <w:p w14:paraId="6D52DBCB" w14:textId="77777777" w:rsidR="0027602A" w:rsidRDefault="00000000">
      <w:pPr>
        <w:jc w:val="center"/>
        <w:rPr>
          <w:b/>
          <w:bCs/>
          <w:color w:val="000000"/>
        </w:rPr>
      </w:pPr>
      <w:r>
        <w:br w:type="page"/>
      </w:r>
    </w:p>
    <w:p w14:paraId="1EC6EA18" w14:textId="77777777" w:rsidR="0027602A" w:rsidRDefault="00000000">
      <w:pPr>
        <w:pStyle w:val="Heading1"/>
      </w:pPr>
      <w:bookmarkStart w:id="0" w:name="_heading=h.gx86jw6zaf70" w:colFirst="0" w:colLast="0"/>
      <w:bookmarkEnd w:id="0"/>
      <w:r>
        <w:lastRenderedPageBreak/>
        <w:t>Task 1: Official Letter</w:t>
      </w:r>
    </w:p>
    <w:p w14:paraId="500F4B32" w14:textId="77777777" w:rsidR="0027602A" w:rsidRDefault="00000000">
      <w:pPr>
        <w:spacing w:line="360" w:lineRule="auto"/>
        <w:jc w:val="both"/>
      </w:pPr>
      <w:r>
        <w:t>To</w:t>
      </w:r>
    </w:p>
    <w:p w14:paraId="75C4AB02" w14:textId="77777777" w:rsidR="0027602A" w:rsidRDefault="00000000">
      <w:pPr>
        <w:spacing w:line="360" w:lineRule="auto"/>
        <w:jc w:val="both"/>
      </w:pPr>
      <w:r>
        <w:t>Harrison Allman</w:t>
      </w:r>
    </w:p>
    <w:p w14:paraId="14E15082" w14:textId="77777777" w:rsidR="0027602A" w:rsidRDefault="00000000">
      <w:pPr>
        <w:spacing w:line="360" w:lineRule="auto"/>
        <w:jc w:val="both"/>
      </w:pPr>
      <w:r>
        <w:t>Martin Borough Council</w:t>
      </w:r>
    </w:p>
    <w:p w14:paraId="22DA4A8B" w14:textId="77777777" w:rsidR="0027602A" w:rsidRDefault="00000000">
      <w:pPr>
        <w:spacing w:line="360" w:lineRule="auto"/>
        <w:jc w:val="both"/>
      </w:pPr>
      <w:r>
        <w:t>City Centre, Futir Lane</w:t>
      </w:r>
    </w:p>
    <w:p w14:paraId="2B6A7CA1" w14:textId="77777777" w:rsidR="0027602A" w:rsidRDefault="00000000">
      <w:pPr>
        <w:spacing w:line="360" w:lineRule="auto"/>
        <w:jc w:val="both"/>
      </w:pPr>
      <w:r>
        <w:t>Martin, Kenthouse</w:t>
      </w:r>
    </w:p>
    <w:p w14:paraId="2F3C06EE" w14:textId="77777777" w:rsidR="0027602A" w:rsidRDefault="00000000">
      <w:pPr>
        <w:spacing w:line="360" w:lineRule="auto"/>
        <w:jc w:val="both"/>
      </w:pPr>
      <w:r>
        <w:t>B36 8UX</w:t>
      </w:r>
    </w:p>
    <w:p w14:paraId="2CE29528" w14:textId="77777777" w:rsidR="0027602A" w:rsidRDefault="00000000">
      <w:pPr>
        <w:spacing w:line="360" w:lineRule="auto"/>
        <w:jc w:val="both"/>
        <w:rPr>
          <w:i/>
          <w:iCs/>
        </w:rPr>
      </w:pPr>
      <w:r>
        <w:rPr>
          <w:b/>
          <w:bCs/>
          <w:i/>
          <w:iCs/>
        </w:rPr>
        <w:t>Email</w:t>
      </w:r>
      <w:r>
        <w:rPr>
          <w:i/>
          <w:iCs/>
        </w:rPr>
        <w:t>: info@millsmoticare.org.uk</w:t>
      </w:r>
    </w:p>
    <w:p w14:paraId="0B80D7F5" w14:textId="77777777" w:rsidR="0027602A" w:rsidRDefault="00000000">
      <w:pPr>
        <w:spacing w:line="360" w:lineRule="auto"/>
        <w:jc w:val="both"/>
        <w:rPr>
          <w:i/>
          <w:iCs/>
        </w:rPr>
      </w:pPr>
      <w:r>
        <w:rPr>
          <w:b/>
          <w:bCs/>
          <w:i/>
          <w:iCs/>
        </w:rPr>
        <w:t>Telephone</w:t>
      </w:r>
      <w:r>
        <w:rPr>
          <w:i/>
          <w:iCs/>
        </w:rPr>
        <w:t>: 01233 4782342</w:t>
      </w:r>
    </w:p>
    <w:p w14:paraId="68E97CDC" w14:textId="77777777" w:rsidR="0027602A" w:rsidRDefault="00000000">
      <w:pPr>
        <w:spacing w:line="360" w:lineRule="auto"/>
        <w:jc w:val="center"/>
        <w:rPr>
          <w:u w:val="single"/>
        </w:rPr>
      </w:pPr>
      <w:r>
        <w:rPr>
          <w:b/>
          <w:bCs/>
          <w:u w:val="single"/>
        </w:rPr>
        <w:t xml:space="preserve">Subject: </w:t>
      </w:r>
      <w:r>
        <w:rPr>
          <w:u w:val="single"/>
        </w:rPr>
        <w:t>An urgent need for increased residential care home provision in the Garfield area of Martin Borough</w:t>
      </w:r>
    </w:p>
    <w:p w14:paraId="6068003A" w14:textId="77777777" w:rsidR="0027602A" w:rsidRDefault="00000000">
      <w:pPr>
        <w:spacing w:line="360" w:lineRule="auto"/>
        <w:jc w:val="both"/>
      </w:pPr>
      <w:r>
        <w:t>Respected Councilor Sir/Madam,</w:t>
      </w:r>
    </w:p>
    <w:p w14:paraId="10DD9806" w14:textId="77777777" w:rsidR="0027602A" w:rsidRDefault="00000000">
      <w:pPr>
        <w:spacing w:line="360" w:lineRule="auto"/>
        <w:jc w:val="both"/>
      </w:pPr>
      <w:r>
        <w:t>As someone who cares about the community, I wish to mention the urgent need for more residential care homes in the Garfield area of Martin Borough. With our community’s population getting older and the need for care rising, our local authority has to act fast to ensure there is enough residential care available for older and vulnerable adults. The first part of the Care Act 2014 requires local authorities to look after adults and offer services that sustain their well-being. Section 1 of the Act clearly describes the necessity to support an individual’s dignity, wishes, control over daily life and inclusion in society. The shortage of accessible housing in Garfield is straight away breaking these promises made by law.</w:t>
      </w:r>
    </w:p>
    <w:p w14:paraId="201DE7B0" w14:textId="77777777" w:rsidR="0027602A" w:rsidRDefault="00000000">
      <w:pPr>
        <w:spacing w:line="360" w:lineRule="auto"/>
        <w:jc w:val="both"/>
      </w:pPr>
      <w:r>
        <w:t xml:space="preserve">In the past decade, statistics show that the population of those over 65 years in Martin Borough has gone up by more than 22%. Still, the number of residential care beds supported by local authorities has not increased which means a lot of residents are in facilities far from home. Not only does moving cause anxiety for the ones who have to leave their home, but it also makes it difficult for families to keep in constant contact. You may know that the </w:t>
      </w:r>
      <w:r>
        <w:rPr>
          <w:b/>
          <w:bCs/>
          <w:i/>
          <w:iCs/>
        </w:rPr>
        <w:t>Care Act 2014</w:t>
      </w:r>
      <w:r>
        <w:t xml:space="preserve"> also stresses the importance of preventing problems and treating them early. If there aren’t enough residential care homes, many elderly individuals cannot receive help on time which leads to some of them having to go to the hospital when they could have stayed at home. As a result of this gap, pressure on the NHS rises and goes against the ideas of integrated care supported by the Act and the national adult social care policy.</w:t>
      </w:r>
    </w:p>
    <w:p w14:paraId="364E05AF" w14:textId="77777777" w:rsidR="0027602A" w:rsidRDefault="00000000">
      <w:pPr>
        <w:spacing w:line="360" w:lineRule="auto"/>
        <w:jc w:val="both"/>
      </w:pPr>
      <w:r>
        <w:t xml:space="preserve">I strongly ask that you submit this subject before the Council with an idea to review the possibility of expanding available residential care in Garfield. It might require joining forces with housing associations, organisations from the voluntary sector and private firms to guarantee there are </w:t>
      </w:r>
      <w:r>
        <w:lastRenderedPageBreak/>
        <w:t xml:space="preserve">enough affordable and specialised care home places. Another step to look into is giving more local development funds to improve and add to care infrastructure. I am sure that your leadership will help us meet the requirements of the </w:t>
      </w:r>
      <w:r>
        <w:rPr>
          <w:b/>
          <w:bCs/>
          <w:i/>
          <w:iCs/>
        </w:rPr>
        <w:t>Care Act 2014</w:t>
      </w:r>
      <w:r>
        <w:t xml:space="preserve"> and make sure everyone in our community receives the right kind of care in their later years. I am open to further talks or offering you any documentation I have.</w:t>
      </w:r>
    </w:p>
    <w:p w14:paraId="6A3CCDA2" w14:textId="77777777" w:rsidR="0027602A" w:rsidRDefault="00000000">
      <w:pPr>
        <w:spacing w:line="360" w:lineRule="auto"/>
        <w:jc w:val="both"/>
      </w:pPr>
      <w:r>
        <w:t>Thanking You for your anticipation</w:t>
      </w:r>
    </w:p>
    <w:p w14:paraId="39A9AF7F" w14:textId="77777777" w:rsidR="0027602A" w:rsidRDefault="00000000">
      <w:pPr>
        <w:spacing w:line="360" w:lineRule="auto"/>
        <w:jc w:val="both"/>
        <w:rPr>
          <w:i/>
          <w:iCs/>
        </w:rPr>
      </w:pPr>
      <w:r>
        <w:rPr>
          <w:i/>
          <w:iCs/>
        </w:rPr>
        <w:t>Yours Sincerely,</w:t>
      </w:r>
    </w:p>
    <w:p w14:paraId="3DBE6757" w14:textId="77777777" w:rsidR="0027602A" w:rsidRDefault="00000000">
      <w:pPr>
        <w:spacing w:line="360" w:lineRule="auto"/>
        <w:jc w:val="both"/>
        <w:rPr>
          <w:i/>
          <w:iCs/>
        </w:rPr>
      </w:pPr>
      <w:r>
        <w:rPr>
          <w:i/>
          <w:iCs/>
          <w:color w:val="1F1F1F"/>
          <w:highlight w:val="white"/>
        </w:rPr>
        <w:t>Zubeda - Sembagare - Umurerwa</w:t>
      </w:r>
    </w:p>
    <w:p w14:paraId="4C8F4407" w14:textId="77777777" w:rsidR="0027602A" w:rsidRDefault="00000000">
      <w:pPr>
        <w:spacing w:line="360" w:lineRule="auto"/>
        <w:jc w:val="both"/>
        <w:rPr>
          <w:b/>
          <w:bCs/>
          <w:sz w:val="24"/>
          <w:szCs w:val="24"/>
        </w:rPr>
      </w:pPr>
      <w:r>
        <w:br w:type="page"/>
      </w:r>
    </w:p>
    <w:p w14:paraId="2F31AF10" w14:textId="77777777" w:rsidR="0027602A" w:rsidRDefault="00000000">
      <w:pPr>
        <w:pStyle w:val="Heading1"/>
      </w:pPr>
      <w:bookmarkStart w:id="1" w:name="_heading=h.kdft4ntd3w1r" w:colFirst="0" w:colLast="0"/>
      <w:bookmarkEnd w:id="1"/>
      <w:r>
        <w:lastRenderedPageBreak/>
        <w:t>Task 2: Essay</w:t>
      </w:r>
    </w:p>
    <w:p w14:paraId="2015CF95" w14:textId="77777777" w:rsidR="0027602A" w:rsidRDefault="00000000">
      <w:pPr>
        <w:spacing w:line="360" w:lineRule="auto"/>
        <w:jc w:val="center"/>
        <w:rPr>
          <w:b/>
          <w:bCs/>
          <w:sz w:val="24"/>
          <w:szCs w:val="24"/>
          <w:u w:val="single"/>
        </w:rPr>
      </w:pPr>
      <w:r>
        <w:rPr>
          <w:b/>
          <w:bCs/>
          <w:sz w:val="24"/>
          <w:szCs w:val="24"/>
          <w:u w:val="single"/>
        </w:rPr>
        <w:t>Title: The Evolution and Challenges of UK Ambulance Services in the Past Decade</w:t>
      </w:r>
    </w:p>
    <w:p w14:paraId="7FC947A3" w14:textId="77777777" w:rsidR="0027602A" w:rsidRDefault="0027602A">
      <w:pPr>
        <w:spacing w:line="360" w:lineRule="auto"/>
        <w:jc w:val="both"/>
        <w:rPr>
          <w:sz w:val="24"/>
          <w:szCs w:val="24"/>
        </w:rPr>
      </w:pPr>
    </w:p>
    <w:p w14:paraId="67CE477A" w14:textId="77777777" w:rsidR="0027602A" w:rsidRDefault="00000000">
      <w:pPr>
        <w:spacing w:line="360" w:lineRule="auto"/>
        <w:ind w:firstLine="720"/>
        <w:jc w:val="both"/>
        <w:rPr>
          <w:b/>
          <w:bCs/>
        </w:rPr>
      </w:pPr>
      <w:r>
        <w:rPr>
          <w:highlight w:val="white"/>
        </w:rPr>
        <w:t xml:space="preserve">The essay will discuss how UK ambulance services have developed and what issues they have faced during the last decade. The essay concerns the topic: </w:t>
      </w:r>
      <w:r>
        <w:rPr>
          <w:i/>
          <w:iCs/>
          <w:highlight w:val="white"/>
        </w:rPr>
        <w:t>“</w:t>
      </w:r>
      <w:r>
        <w:rPr>
          <w:i/>
          <w:iCs/>
        </w:rPr>
        <w:t>The Evolution and Challenges of UK Ambulance Services in the Past Decade”</w:t>
      </w:r>
      <w:r>
        <w:t xml:space="preserve">. </w:t>
      </w:r>
      <w:r>
        <w:rPr>
          <w:highlight w:val="white"/>
        </w:rPr>
        <w:t>This essay examines two important issues that influenced the efficiency of services and the health of people, not having enough staff and delayed emergency response. It seeks to find out how the issues have aged in the last ten years, using a little historical background about the service. In addition, the essay will suggest practical and backed-up suggestions to manage the continuing issues within the system.</w:t>
      </w:r>
    </w:p>
    <w:p w14:paraId="6F98F88C" w14:textId="77777777" w:rsidR="0027602A" w:rsidRDefault="00000000">
      <w:pPr>
        <w:spacing w:line="360" w:lineRule="auto"/>
        <w:jc w:val="both"/>
        <w:rPr>
          <w:b/>
          <w:bCs/>
        </w:rPr>
      </w:pPr>
      <w:r>
        <w:rPr>
          <w:highlight w:val="white"/>
        </w:rPr>
        <w:t>It was in 1897 when Liverpool introduced the very first municipal ambulance service in the UK. Since the NHS was started in 1948, ambulance services have been organised and paid for by local authorities. In 2006, services across England were unified into 10 regional ambulance trusts within the NHS to make them work more efficiently and serve more people. Since last year, each year, these services answered about 10 million 999 calls and ambulances are dispatched for nearly 8 million of them (</w:t>
      </w:r>
      <w:r>
        <w:rPr>
          <w:color w:val="222222"/>
          <w:highlight w:val="white"/>
        </w:rPr>
        <w:t xml:space="preserve">Brooks </w:t>
      </w:r>
      <w:r>
        <w:rPr>
          <w:i/>
          <w:iCs/>
          <w:color w:val="222222"/>
          <w:highlight w:val="white"/>
        </w:rPr>
        <w:t>et al</w:t>
      </w:r>
      <w:r>
        <w:rPr>
          <w:color w:val="222222"/>
          <w:highlight w:val="white"/>
        </w:rPr>
        <w:t>., 2022</w:t>
      </w:r>
      <w:r>
        <w:rPr>
          <w:highlight w:val="white"/>
        </w:rPr>
        <w:t>). Nowadays, ambulances have the latest equipment to save lives and are manned by highly skilled paramedics who provide key care before patients reach the hospital.</w:t>
      </w:r>
    </w:p>
    <w:p w14:paraId="5A83FBE8" w14:textId="77777777" w:rsidR="0027602A" w:rsidRDefault="00000000">
      <w:pPr>
        <w:spacing w:line="360" w:lineRule="auto"/>
        <w:ind w:firstLine="720"/>
        <w:jc w:val="both"/>
      </w:pPr>
      <w:r>
        <w:t xml:space="preserve">For about a decade, the UK ambulance services have struggled with </w:t>
      </w:r>
      <w:r>
        <w:rPr>
          <w:b/>
          <w:bCs/>
          <w:i/>
          <w:iCs/>
        </w:rPr>
        <w:t>staff shortages challenge</w:t>
      </w:r>
      <w:r>
        <w:t xml:space="preserve"> which has lowered their work efficiency and lowered the amount of care patients receive. From 2019–20 to 2022–23, more than 1,350 extra ambulance workers left their jobs, making the departure rate increase by over 50%. This problem goes to show that the recruitment and maintenance of workers in the sector is difficult. As people with experience leave, several spots are now unfilled in various parts of the country. According to Yorkshire Ambulance Service, they were short of nearly 1,157 workers which corresponds to a vacancy rate of more than 17%. In the same way, the South-Central Ambulance Service had 16% of its positions unfilled, amounting to 869 employees who were missing (</w:t>
      </w:r>
      <w:r>
        <w:rPr>
          <w:color w:val="222222"/>
          <w:highlight w:val="white"/>
        </w:rPr>
        <w:t xml:space="preserve">Alsammak </w:t>
      </w:r>
      <w:r>
        <w:rPr>
          <w:i/>
          <w:iCs/>
          <w:color w:val="222222"/>
          <w:highlight w:val="white"/>
        </w:rPr>
        <w:t>et al</w:t>
      </w:r>
      <w:r>
        <w:rPr>
          <w:color w:val="222222"/>
          <w:highlight w:val="white"/>
        </w:rPr>
        <w:t>., 2022</w:t>
      </w:r>
      <w:r>
        <w:t>). A lack of workers has not only piled more responsibilities on everyone but has also made it impossible for the service to maintain delivery of services on time, threatening patients’ lives.</w:t>
      </w:r>
    </w:p>
    <w:p w14:paraId="1463E699" w14:textId="77777777" w:rsidR="0027602A" w:rsidRDefault="00000000">
      <w:pPr>
        <w:spacing w:line="360" w:lineRule="auto"/>
        <w:ind w:firstLine="720"/>
        <w:jc w:val="both"/>
      </w:pPr>
      <w:r>
        <w:t>High stress and burnout at work are some of the reasons for these staffing challenges. The Health Foundation’s report points out that 61% of ambulance staff who work on operations were affected by work-related stress and 51% suffered burnout (</w:t>
      </w:r>
      <w:r>
        <w:rPr>
          <w:color w:val="222222"/>
          <w:highlight w:val="white"/>
        </w:rPr>
        <w:t>legislation.gov.uk, 2025</w:t>
      </w:r>
      <w:r>
        <w:t xml:space="preserve">). Also, </w:t>
      </w:r>
      <w:r>
        <w:lastRenderedPageBreak/>
        <w:t>46% of professionals reported being subjected to harassment, bullying or abuse by patients and members of the public. Because of this difficult work environment, it is hard to keep skilled people and others would hesitate to work in this profession. As a result of the COVID-19 pandemic, ambulance services were run down by higher emergency demand and more serious risks for those involved. Another key problem is that long-range and fully-funded plans for the workforce have been missing (</w:t>
      </w:r>
      <w:r>
        <w:rPr>
          <w:color w:val="222222"/>
          <w:highlight w:val="white"/>
        </w:rPr>
        <w:t xml:space="preserve">Chenais </w:t>
      </w:r>
      <w:r>
        <w:rPr>
          <w:i/>
          <w:iCs/>
          <w:color w:val="222222"/>
          <w:highlight w:val="white"/>
        </w:rPr>
        <w:t>et al</w:t>
      </w:r>
      <w:r>
        <w:rPr>
          <w:color w:val="222222"/>
          <w:highlight w:val="white"/>
        </w:rPr>
        <w:t>., 2023</w:t>
      </w:r>
      <w:r>
        <w:t>). Just before the pandemic, ambulance services tended to have around 2,000 vacancies and it was expected that they would need 2,500 more paramedics by 2023. Still, there was not enough money provided to fulfil these needs.</w:t>
      </w:r>
    </w:p>
    <w:p w14:paraId="579243F6" w14:textId="77777777" w:rsidR="0027602A" w:rsidRDefault="00000000">
      <w:pPr>
        <w:spacing w:line="360" w:lineRule="auto"/>
        <w:ind w:firstLine="720"/>
        <w:jc w:val="both"/>
        <w:rPr>
          <w:b/>
          <w:bCs/>
        </w:rPr>
      </w:pPr>
      <w:r>
        <w:t>Having staff shortages has a big effect on the nursing profession. People in need of emergency care face longer delays and could be treated less well since staff and crews are often too busy and understaffed. Sometimes, special teams set up for major fires are selected for basic alarms because the usual crews couldn’t be found (</w:t>
      </w:r>
      <w:r>
        <w:rPr>
          <w:color w:val="222222"/>
          <w:highlight w:val="white"/>
        </w:rPr>
        <w:t xml:space="preserve">Johnson </w:t>
      </w:r>
      <w:r>
        <w:rPr>
          <w:i/>
          <w:iCs/>
          <w:color w:val="222222"/>
          <w:highlight w:val="white"/>
        </w:rPr>
        <w:t>et al</w:t>
      </w:r>
      <w:r>
        <w:rPr>
          <w:color w:val="222222"/>
          <w:highlight w:val="white"/>
        </w:rPr>
        <w:t>., 2021</w:t>
      </w:r>
      <w:r>
        <w:t>). We must focus on many areas to overcome these challenges such as improving where people work, providing help for mental health issues, choosing effective recruiting methods and making sufficient funds available for training staff (</w:t>
      </w:r>
      <w:r>
        <w:rPr>
          <w:color w:val="222222"/>
          <w:highlight w:val="white"/>
        </w:rPr>
        <w:t>legislation.gov.uk, 2025</w:t>
      </w:r>
      <w:r>
        <w:t>). If these measures are not put in place, ambulance services may keep dealing with a lack of staff which could negatively affect the public’s health and safety.</w:t>
      </w:r>
    </w:p>
    <w:p w14:paraId="2146200B" w14:textId="77777777" w:rsidR="0027602A" w:rsidRDefault="00000000">
      <w:pPr>
        <w:spacing w:line="360" w:lineRule="auto"/>
        <w:ind w:firstLine="720"/>
        <w:jc w:val="both"/>
      </w:pPr>
      <w:r>
        <w:t xml:space="preserve">More recently, the UK’s ambulance networks have struggled to achieve their goals for reaching Category 2 patients which are cases such as strokes and heart attacks. Category 2 calls in England took an average of 48 minutes and 10 seconds in November 2023 which was far beyond the 18-minute target set by the NHS. Thus, the challenge of </w:t>
      </w:r>
      <w:r>
        <w:rPr>
          <w:b/>
          <w:bCs/>
          <w:i/>
          <w:iCs/>
        </w:rPr>
        <w:t>delayed response time</w:t>
      </w:r>
      <w:r>
        <w:t xml:space="preserve"> is a major worry since quick action is key to saving patients who have such emergencies.</w:t>
      </w:r>
    </w:p>
    <w:p w14:paraId="1A47FA26" w14:textId="77777777" w:rsidR="0027602A" w:rsidRDefault="00000000">
      <w:pPr>
        <w:spacing w:line="360" w:lineRule="auto"/>
        <w:jc w:val="both"/>
      </w:pPr>
      <w:r>
        <w:t>A major factor in these delays is more ambulances being delayed while transferring their patients to hospital emergency departments. In the year 2023/24, there were 242,034 cases of ambulance handover delays which was about 28% of all ambulance call-outs. The increase in this figure shows that the problem is getting worse (</w:t>
      </w:r>
      <w:r>
        <w:rPr>
          <w:color w:val="222222"/>
          <w:highlight w:val="white"/>
        </w:rPr>
        <w:t xml:space="preserve">Eaton </w:t>
      </w:r>
      <w:r>
        <w:rPr>
          <w:i/>
          <w:iCs/>
          <w:color w:val="222222"/>
          <w:highlight w:val="white"/>
        </w:rPr>
        <w:t>et al</w:t>
      </w:r>
      <w:r>
        <w:rPr>
          <w:color w:val="222222"/>
          <w:highlight w:val="white"/>
        </w:rPr>
        <w:t>., 2021</w:t>
      </w:r>
      <w:r>
        <w:t>). This results in delays for patient transfers and a lack of ambulances to arrive at new emergencies which makes all emergency services slower (</w:t>
      </w:r>
      <w:r>
        <w:rPr>
          <w:color w:val="222222"/>
          <w:highlight w:val="white"/>
        </w:rPr>
        <w:t>legislation.gov.uk, 2025</w:t>
      </w:r>
      <w:r>
        <w:t>). Delays in responding to natural disasters have very serious effects. Having to wait a long time for emergency treatments can weaken the condition of patients, increase death rates and harm people’s trust in such services (</w:t>
      </w:r>
      <w:r>
        <w:rPr>
          <w:color w:val="222222"/>
          <w:highlight w:val="white"/>
        </w:rPr>
        <w:t xml:space="preserve">Frank </w:t>
      </w:r>
      <w:r>
        <w:rPr>
          <w:i/>
          <w:iCs/>
          <w:color w:val="222222"/>
          <w:highlight w:val="white"/>
        </w:rPr>
        <w:t>et al</w:t>
      </w:r>
      <w:r>
        <w:rPr>
          <w:color w:val="222222"/>
          <w:highlight w:val="white"/>
        </w:rPr>
        <w:t>., 2023</w:t>
      </w:r>
      <w:r>
        <w:t>). Also, because ambulance crews are blocked by delays in the system, they find it hard to reach their set goals and this can result in low morale and more ambulance workers leaving their jobs.</w:t>
      </w:r>
    </w:p>
    <w:p w14:paraId="56544777" w14:textId="77777777" w:rsidR="0027602A" w:rsidRDefault="00000000">
      <w:pPr>
        <w:spacing w:line="360" w:lineRule="auto"/>
        <w:ind w:firstLine="720"/>
        <w:jc w:val="both"/>
        <w:rPr>
          <w:b/>
          <w:bCs/>
        </w:rPr>
      </w:pPr>
      <w:r>
        <w:t xml:space="preserve">To solve these problems, initiatives now direct more patients toward home care and try to decrease hospital admissions that are not needed. For instance, a £450 million program led by </w:t>
      </w:r>
      <w:r>
        <w:lastRenderedPageBreak/>
        <w:t>the UK Health Secretary plans to change the NHS emergency system by allowing paramedics who visit patients at home to address some minor health problems. But to achieve their goals such measures count on enough staff, comprehensive training and solid support which all need constant funding and good planning (</w:t>
      </w:r>
      <w:r>
        <w:rPr>
          <w:color w:val="222222"/>
          <w:highlight w:val="white"/>
        </w:rPr>
        <w:t xml:space="preserve">Rathore </w:t>
      </w:r>
      <w:r>
        <w:rPr>
          <w:i/>
          <w:iCs/>
          <w:color w:val="222222"/>
          <w:highlight w:val="white"/>
        </w:rPr>
        <w:t>et al</w:t>
      </w:r>
      <w:r>
        <w:rPr>
          <w:color w:val="222222"/>
          <w:highlight w:val="white"/>
        </w:rPr>
        <w:t>., 2022</w:t>
      </w:r>
      <w:r>
        <w:t>). Slow response times by UK ambulances occur because of issues related to organization, more demand and not having enough resources. To address this challenge, we should improve the infrastructure, grow the workforce and revise rules that help emergency medical services work better.</w:t>
      </w:r>
    </w:p>
    <w:p w14:paraId="7A467AE4" w14:textId="77777777" w:rsidR="0027602A" w:rsidRDefault="00000000">
      <w:pPr>
        <w:spacing w:line="360" w:lineRule="auto"/>
        <w:ind w:firstLine="720"/>
        <w:jc w:val="both"/>
        <w:rPr>
          <w:b/>
          <w:bCs/>
        </w:rPr>
      </w:pPr>
      <w:r>
        <w:t>To solve the continuous issues of staff gaps and late responses in ambulance services in the UK, a combined approach is necessary. It is especially necessary to begin with an effective workforce strategy (</w:t>
      </w:r>
      <w:r>
        <w:rPr>
          <w:color w:val="222222"/>
          <w:highlight w:val="white"/>
        </w:rPr>
        <w:t>legislation.gov.uk, 2025</w:t>
      </w:r>
      <w:r>
        <w:t>). The main aim of this strategy should be to recruit and retain good workers through high wages, better workplace settings and strong mental health services. As of right now, places at the NHS are being covered by approximately 121,000 staff members, since there are 8.4% of positions still unfilled. Next, making more care available in the community can help avoid traffic at emergency services. The Health Secretary in the UK is putting together a £450 million plan to enable paramedics to treat more patients in their homes, lessen unnecessary hospital visits and, as a result, shorten response times for ambulances (</w:t>
      </w:r>
      <w:r>
        <w:rPr>
          <w:color w:val="222222"/>
          <w:highlight w:val="white"/>
        </w:rPr>
        <w:t xml:space="preserve">Eskandari </w:t>
      </w:r>
      <w:r>
        <w:rPr>
          <w:i/>
          <w:iCs/>
          <w:color w:val="222222"/>
          <w:highlight w:val="white"/>
        </w:rPr>
        <w:t>et al</w:t>
      </w:r>
      <w:r>
        <w:rPr>
          <w:color w:val="222222"/>
          <w:highlight w:val="white"/>
        </w:rPr>
        <w:t>., 2021</w:t>
      </w:r>
      <w:r>
        <w:t>). Moreover, it is important to develop infrastructure that speeds up the process of handing patients over between shifts at the hospital. Handovers were delayed for a third of ambulance arrivals in 2023/24 which made ambulances less available for more patients. Improving staff numbers, better caring for the community and more efficient hospital processes will help the NHS win back efficiency and the trust of the public in ambulance services.</w:t>
      </w:r>
    </w:p>
    <w:p w14:paraId="7CE574C9" w14:textId="77777777" w:rsidR="0027602A" w:rsidRDefault="00000000">
      <w:pPr>
        <w:spacing w:line="360" w:lineRule="auto"/>
        <w:ind w:firstLine="720"/>
        <w:jc w:val="both"/>
      </w:pPr>
      <w:r>
        <w:rPr>
          <w:b/>
          <w:bCs/>
          <w:i/>
          <w:iCs/>
        </w:rPr>
        <w:t>It is to be concluded that, this essay reviewed both the background and challenges</w:t>
      </w:r>
      <w:r>
        <w:t xml:space="preserve"> found in the UK’s ambulance services, where there are not enough staff and there are delays in emergency responses. Due to high levels of stress, workers leaving their jobs and less money being invested, the sector has found it difficult to provide prompt emergency help. Heavy workload at transition points especially with releasing patients from the hospital, has also slowed down responses which might jeopardize people’s health. These issues reveal that there are deep-rooted problems within the NHS. Improving the staff, increasing treatment provided in the community and improving how hospitals operate with ambulance companies can assist them in resuming their main role of preserving public health.</w:t>
      </w:r>
    </w:p>
    <w:p w14:paraId="09BE3BE2" w14:textId="77777777" w:rsidR="0027602A" w:rsidRDefault="00000000">
      <w:pPr>
        <w:spacing w:line="360" w:lineRule="auto"/>
        <w:jc w:val="both"/>
        <w:rPr>
          <w:sz w:val="24"/>
          <w:szCs w:val="24"/>
        </w:rPr>
      </w:pPr>
      <w:r>
        <w:br w:type="page"/>
      </w:r>
    </w:p>
    <w:p w14:paraId="620C0020" w14:textId="77777777" w:rsidR="0027602A" w:rsidRDefault="00000000">
      <w:pPr>
        <w:pStyle w:val="Heading1"/>
      </w:pPr>
      <w:bookmarkStart w:id="2" w:name="_heading=h.citwm4fpe37y" w:colFirst="0" w:colLast="0"/>
      <w:bookmarkEnd w:id="2"/>
      <w:r>
        <w:lastRenderedPageBreak/>
        <w:t>Reference List</w:t>
      </w:r>
    </w:p>
    <w:p w14:paraId="016DC038" w14:textId="77777777" w:rsidR="0027602A" w:rsidRDefault="00000000">
      <w:pPr>
        <w:spacing w:line="360" w:lineRule="auto"/>
        <w:jc w:val="both"/>
        <w:rPr>
          <w:color w:val="222222"/>
          <w:highlight w:val="white"/>
        </w:rPr>
      </w:pPr>
      <w:r>
        <w:rPr>
          <w:color w:val="222222"/>
          <w:highlight w:val="white"/>
        </w:rPr>
        <w:t xml:space="preserve">Alsammak, I.L.H., Mahmoud, M.A., Aris, H., AlKilabi, M. and Mahdi, M.N., (2022). The use of swarms of unmanned aerial vehicles in mitigating area coverage challenges of forest-fire-extinguishing activities: A systematic literature review. </w:t>
      </w:r>
      <w:r>
        <w:rPr>
          <w:i/>
          <w:iCs/>
          <w:color w:val="222222"/>
          <w:highlight w:val="white"/>
        </w:rPr>
        <w:t>Forests</w:t>
      </w:r>
      <w:r>
        <w:rPr>
          <w:color w:val="222222"/>
          <w:highlight w:val="white"/>
        </w:rPr>
        <w:t xml:space="preserve">, </w:t>
      </w:r>
      <w:r>
        <w:rPr>
          <w:i/>
          <w:iCs/>
          <w:color w:val="222222"/>
          <w:highlight w:val="white"/>
        </w:rPr>
        <w:t>13</w:t>
      </w:r>
      <w:r>
        <w:rPr>
          <w:color w:val="222222"/>
          <w:highlight w:val="white"/>
        </w:rPr>
        <w:t>(5), p.811.</w:t>
      </w:r>
    </w:p>
    <w:p w14:paraId="6A73C9BB" w14:textId="77777777" w:rsidR="0027602A" w:rsidRDefault="00000000">
      <w:pPr>
        <w:spacing w:line="360" w:lineRule="auto"/>
        <w:jc w:val="both"/>
        <w:rPr>
          <w:color w:val="222222"/>
          <w:highlight w:val="white"/>
        </w:rPr>
      </w:pPr>
      <w:r>
        <w:rPr>
          <w:color w:val="222222"/>
          <w:highlight w:val="white"/>
        </w:rPr>
        <w:t xml:space="preserve">Brooks, S.C., Clegg, G.R., Bray, J., Deakin, C.D., Perkins, G.D., Ringh, M., Smith, C.M., Link, M.S., Merchant, R.M., Pezo-Morales, J. and Parr, M., (2022). Optimizing outcomes after out-of-hospital cardiac arrest with innovative approaches to public-access defibrillation: a scientific statement from the International Liaison Committee on Resuscitation. </w:t>
      </w:r>
      <w:r>
        <w:rPr>
          <w:i/>
          <w:iCs/>
          <w:color w:val="222222"/>
          <w:highlight w:val="white"/>
        </w:rPr>
        <w:t>Circulation</w:t>
      </w:r>
      <w:r>
        <w:rPr>
          <w:color w:val="222222"/>
          <w:highlight w:val="white"/>
        </w:rPr>
        <w:t xml:space="preserve">, </w:t>
      </w:r>
      <w:r>
        <w:rPr>
          <w:i/>
          <w:iCs/>
          <w:color w:val="222222"/>
          <w:highlight w:val="white"/>
        </w:rPr>
        <w:t>145</w:t>
      </w:r>
      <w:r>
        <w:rPr>
          <w:color w:val="222222"/>
          <w:highlight w:val="white"/>
        </w:rPr>
        <w:t>(13), pp.e776-e801.</w:t>
      </w:r>
    </w:p>
    <w:p w14:paraId="770EFD46" w14:textId="77777777" w:rsidR="0027602A" w:rsidRDefault="00000000">
      <w:pPr>
        <w:spacing w:line="360" w:lineRule="auto"/>
        <w:jc w:val="both"/>
        <w:rPr>
          <w:color w:val="222222"/>
          <w:highlight w:val="white"/>
        </w:rPr>
      </w:pPr>
      <w:r>
        <w:rPr>
          <w:color w:val="222222"/>
          <w:highlight w:val="white"/>
        </w:rPr>
        <w:t xml:space="preserve">Chenais, G., Lagarde, E. and Gil-Jardiné, C., (2023). Artificial intelligence in emergency medicine: viewpoint of current applications and foreseeable opportunities and challenges. </w:t>
      </w:r>
      <w:r>
        <w:rPr>
          <w:i/>
          <w:iCs/>
          <w:color w:val="222222"/>
          <w:highlight w:val="white"/>
        </w:rPr>
        <w:t>Journal of Medical Internet Research</w:t>
      </w:r>
      <w:r>
        <w:rPr>
          <w:color w:val="222222"/>
          <w:highlight w:val="white"/>
        </w:rPr>
        <w:t xml:space="preserve">, </w:t>
      </w:r>
      <w:r>
        <w:rPr>
          <w:i/>
          <w:iCs/>
          <w:color w:val="222222"/>
          <w:highlight w:val="white"/>
        </w:rPr>
        <w:t>25</w:t>
      </w:r>
      <w:r>
        <w:rPr>
          <w:color w:val="222222"/>
          <w:highlight w:val="white"/>
        </w:rPr>
        <w:t>, p.e40031.</w:t>
      </w:r>
    </w:p>
    <w:p w14:paraId="151752C7" w14:textId="77777777" w:rsidR="0027602A" w:rsidRDefault="00000000">
      <w:pPr>
        <w:spacing w:line="360" w:lineRule="auto"/>
        <w:jc w:val="both"/>
        <w:rPr>
          <w:color w:val="222222"/>
          <w:highlight w:val="white"/>
        </w:rPr>
      </w:pPr>
      <w:r>
        <w:rPr>
          <w:color w:val="222222"/>
          <w:highlight w:val="white"/>
        </w:rPr>
        <w:t xml:space="preserve">Eaton, G., Wong, G., Tierney, S., Roberts, N., Williams, V. and Mahtani, K.R., (2021). Understanding the role of the paramedic in primary care: a realist review. </w:t>
      </w:r>
      <w:r>
        <w:rPr>
          <w:i/>
          <w:iCs/>
          <w:color w:val="222222"/>
          <w:highlight w:val="white"/>
        </w:rPr>
        <w:t>BMC Medicine</w:t>
      </w:r>
      <w:r>
        <w:rPr>
          <w:color w:val="222222"/>
          <w:highlight w:val="white"/>
        </w:rPr>
        <w:t xml:space="preserve">, </w:t>
      </w:r>
      <w:r>
        <w:rPr>
          <w:i/>
          <w:iCs/>
          <w:color w:val="222222"/>
          <w:highlight w:val="white"/>
        </w:rPr>
        <w:t>19</w:t>
      </w:r>
      <w:r>
        <w:rPr>
          <w:color w:val="222222"/>
          <w:highlight w:val="white"/>
        </w:rPr>
        <w:t xml:space="preserve">, pp.1-14. </w:t>
      </w:r>
    </w:p>
    <w:p w14:paraId="3ACF68F2" w14:textId="77777777" w:rsidR="0027602A" w:rsidRDefault="00000000">
      <w:pPr>
        <w:spacing w:line="360" w:lineRule="auto"/>
        <w:jc w:val="both"/>
        <w:rPr>
          <w:color w:val="222222"/>
          <w:highlight w:val="white"/>
        </w:rPr>
      </w:pPr>
      <w:r>
        <w:rPr>
          <w:color w:val="222222"/>
          <w:highlight w:val="white"/>
        </w:rPr>
        <w:t xml:space="preserve">Eskandari, Z., Ghomian, Z., Sohrabizadeh, S., Alibabaei, A. and Ahmadinejad, H., (2021). Factors affecting development of air ambulance base: a systematic review and thematic analysis. </w:t>
      </w:r>
      <w:r>
        <w:rPr>
          <w:i/>
          <w:iCs/>
          <w:color w:val="222222"/>
          <w:highlight w:val="white"/>
        </w:rPr>
        <w:t>Journal of Education and Health Promotion</w:t>
      </w:r>
      <w:r>
        <w:rPr>
          <w:color w:val="222222"/>
          <w:highlight w:val="white"/>
        </w:rPr>
        <w:t xml:space="preserve">, </w:t>
      </w:r>
      <w:r>
        <w:rPr>
          <w:i/>
          <w:iCs/>
          <w:color w:val="222222"/>
          <w:highlight w:val="white"/>
        </w:rPr>
        <w:t>10</w:t>
      </w:r>
      <w:r>
        <w:rPr>
          <w:color w:val="222222"/>
          <w:highlight w:val="white"/>
        </w:rPr>
        <w:t>(1).</w:t>
      </w:r>
    </w:p>
    <w:p w14:paraId="41F9DEC9" w14:textId="77777777" w:rsidR="0027602A" w:rsidRDefault="00000000">
      <w:pPr>
        <w:spacing w:line="360" w:lineRule="auto"/>
        <w:jc w:val="both"/>
        <w:rPr>
          <w:color w:val="222222"/>
          <w:highlight w:val="white"/>
        </w:rPr>
      </w:pPr>
      <w:r>
        <w:rPr>
          <w:color w:val="222222"/>
          <w:highlight w:val="white"/>
        </w:rPr>
        <w:t xml:space="preserve">legislation.gov.uk, (2025). </w:t>
      </w:r>
      <w:r>
        <w:rPr>
          <w:i/>
          <w:iCs/>
          <w:color w:val="222222"/>
          <w:highlight w:val="white"/>
        </w:rPr>
        <w:t>Legislation.gov.uk</w:t>
      </w:r>
      <w:r>
        <w:rPr>
          <w:color w:val="222222"/>
          <w:highlight w:val="white"/>
        </w:rPr>
        <w:t>. [online] Legislation.gov.uk. Available at: https://www.legislation.gov.uk/. [Accessed on: 06/06/2025]</w:t>
      </w:r>
    </w:p>
    <w:p w14:paraId="29E49AD0" w14:textId="77777777" w:rsidR="0027602A" w:rsidRDefault="00000000">
      <w:pPr>
        <w:spacing w:line="360" w:lineRule="auto"/>
        <w:jc w:val="both"/>
        <w:rPr>
          <w:color w:val="222222"/>
          <w:highlight w:val="white"/>
        </w:rPr>
      </w:pPr>
      <w:r>
        <w:rPr>
          <w:color w:val="222222"/>
          <w:highlight w:val="white"/>
        </w:rPr>
        <w:t xml:space="preserve">Frank, J., Mustard, C., Smith, P., Siddiqi, A., Cheng, Y., Burdorf, A. and Rugulies, R., (2023). Work as a social determinant of health in high-income countries: past, present, and future. </w:t>
      </w:r>
      <w:r>
        <w:rPr>
          <w:i/>
          <w:iCs/>
          <w:color w:val="222222"/>
          <w:highlight w:val="white"/>
        </w:rPr>
        <w:t>The Lancet</w:t>
      </w:r>
      <w:r>
        <w:rPr>
          <w:color w:val="222222"/>
          <w:highlight w:val="white"/>
        </w:rPr>
        <w:t xml:space="preserve">, </w:t>
      </w:r>
      <w:r>
        <w:rPr>
          <w:i/>
          <w:iCs/>
          <w:color w:val="222222"/>
          <w:highlight w:val="white"/>
        </w:rPr>
        <w:t>402</w:t>
      </w:r>
      <w:r>
        <w:rPr>
          <w:color w:val="222222"/>
          <w:highlight w:val="white"/>
        </w:rPr>
        <w:t>(10410), pp.1357-1367.</w:t>
      </w:r>
    </w:p>
    <w:p w14:paraId="4213F694" w14:textId="77777777" w:rsidR="0027602A" w:rsidRDefault="00000000">
      <w:pPr>
        <w:spacing w:line="360" w:lineRule="auto"/>
        <w:jc w:val="both"/>
        <w:rPr>
          <w:color w:val="222222"/>
          <w:highlight w:val="white"/>
        </w:rPr>
      </w:pPr>
      <w:r>
        <w:rPr>
          <w:color w:val="222222"/>
          <w:highlight w:val="white"/>
        </w:rPr>
        <w:t xml:space="preserve">Johnson, A.M., Cunningham, C.J., Arnold, E., Rosamond, W.D. and Zègre-Hemsey, J.K., (2021). Impact of using drones in emergency medicine: What does the future hold?. </w:t>
      </w:r>
      <w:r>
        <w:rPr>
          <w:i/>
          <w:iCs/>
          <w:color w:val="222222"/>
          <w:highlight w:val="white"/>
        </w:rPr>
        <w:t>Open Access Emergency Medicine</w:t>
      </w:r>
      <w:r>
        <w:rPr>
          <w:color w:val="222222"/>
          <w:highlight w:val="white"/>
        </w:rPr>
        <w:t>, pp.487-498.</w:t>
      </w:r>
    </w:p>
    <w:p w14:paraId="12E75D84" w14:textId="77777777" w:rsidR="0027602A" w:rsidRDefault="00000000">
      <w:pPr>
        <w:spacing w:line="360" w:lineRule="auto"/>
        <w:jc w:val="both"/>
        <w:rPr>
          <w:color w:val="222222"/>
          <w:highlight w:val="white"/>
        </w:rPr>
      </w:pPr>
      <w:r>
        <w:rPr>
          <w:color w:val="222222"/>
          <w:highlight w:val="white"/>
        </w:rPr>
        <w:t xml:space="preserve">Rathore, N., Jain, P.K. and Parida, M., (2022). A sustainable model for emergency medical services in developing countries: a novel approach using partial outsourcing and machine learning. </w:t>
      </w:r>
      <w:r>
        <w:rPr>
          <w:i/>
          <w:iCs/>
          <w:color w:val="222222"/>
          <w:highlight w:val="white"/>
        </w:rPr>
        <w:t>Risk management and healthcare policy</w:t>
      </w:r>
      <w:r>
        <w:rPr>
          <w:color w:val="222222"/>
          <w:highlight w:val="white"/>
        </w:rPr>
        <w:t>, pp.193-218.</w:t>
      </w:r>
    </w:p>
    <w:sectPr w:rsidR="0027602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4D157" w14:textId="77777777" w:rsidR="00997922" w:rsidRDefault="00997922">
      <w:pPr>
        <w:spacing w:line="240" w:lineRule="auto"/>
      </w:pPr>
      <w:r>
        <w:separator/>
      </w:r>
    </w:p>
  </w:endnote>
  <w:endnote w:type="continuationSeparator" w:id="0">
    <w:p w14:paraId="312F5B5C" w14:textId="77777777" w:rsidR="00997922" w:rsidRDefault="009979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embedRegular r:id="rId1" w:fontKey="{A9F9AEF8-8E20-404D-BFCE-5846F7E999E8}"/>
    <w:embedBold r:id="rId2" w:fontKey="{DC113279-987D-E448-AF5B-528340E413C0}"/>
    <w:embedItalic r:id="rId3" w:fontKey="{0DE1E095-BC74-3048-B32F-11F09977EF22}"/>
    <w:embedBoldItalic r:id="rId4" w:fontKey="{DE01ECC8-67C4-B841-8462-09565C3D24AD}"/>
  </w:font>
  <w:font w:name="Times New Roman">
    <w:panose1 w:val="02020603050405020304"/>
    <w:charset w:val="00"/>
    <w:family w:val="roman"/>
    <w:pitch w:val="variable"/>
    <w:sig w:usb0="E0002EFF" w:usb1="C000785B" w:usb2="00000009" w:usb3="00000000" w:csb0="000001FF" w:csb1="00000000"/>
    <w:embedRegular r:id="rId5" w:fontKey="{F152C321-57CF-B241-A1DD-413DD5984AE8}"/>
    <w:embedBold r:id="rId6" w:fontKey="{E6A53879-5B55-1E49-B972-758E4B86C230}"/>
  </w:font>
  <w:font w:name="Calibri">
    <w:panose1 w:val="020F0502020204030204"/>
    <w:charset w:val="00"/>
    <w:family w:val="swiss"/>
    <w:pitch w:val="variable"/>
    <w:sig w:usb0="E0002AFF" w:usb1="C000ACFF" w:usb2="00000009" w:usb3="00000000" w:csb0="000001FF" w:csb1="00000000"/>
    <w:embedRegular r:id="rId7" w:fontKey="{BBDA55C5-8A89-FB42-87BF-30B740AD2AF4}"/>
  </w:font>
  <w:font w:name="Cambria">
    <w:panose1 w:val="02040503050406030204"/>
    <w:charset w:val="00"/>
    <w:family w:val="roman"/>
    <w:notTrueType/>
    <w:pitch w:val="default"/>
    <w:embedRegular r:id="rId8" w:fontKey="{FC0C72F3-8531-BF42-89AE-6D28C0ED95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19D23" w14:textId="77777777" w:rsidR="0027602A" w:rsidRDefault="0027602A">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1FF8D" w14:textId="0E9D6C05" w:rsidR="0027602A"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t xml:space="preserve">Page </w:t>
    </w:r>
    <w:r>
      <w:rPr>
        <w:b/>
        <w:bCs/>
        <w:color w:val="000000"/>
        <w:sz w:val="20"/>
        <w:szCs w:val="20"/>
      </w:rPr>
      <w:fldChar w:fldCharType="begin"/>
    </w:r>
    <w:r>
      <w:rPr>
        <w:b/>
        <w:bCs/>
        <w:color w:val="000000"/>
        <w:sz w:val="20"/>
        <w:szCs w:val="20"/>
      </w:rPr>
      <w:instrText>PAGE</w:instrText>
    </w:r>
    <w:r>
      <w:rPr>
        <w:b/>
        <w:bCs/>
        <w:color w:val="000000"/>
        <w:sz w:val="20"/>
        <w:szCs w:val="20"/>
      </w:rPr>
      <w:fldChar w:fldCharType="separate"/>
    </w:r>
    <w:r w:rsidR="00B94C61">
      <w:rPr>
        <w:b/>
        <w:bCs/>
        <w:noProof/>
        <w:color w:val="000000"/>
        <w:sz w:val="20"/>
        <w:szCs w:val="20"/>
      </w:rPr>
      <w:t>2</w:t>
    </w:r>
    <w:r>
      <w:rPr>
        <w:b/>
        <w:bCs/>
        <w:color w:val="000000"/>
        <w:sz w:val="20"/>
        <w:szCs w:val="20"/>
      </w:rPr>
      <w:fldChar w:fldCharType="end"/>
    </w:r>
    <w:r>
      <w:rPr>
        <w:color w:val="000000"/>
        <w:sz w:val="20"/>
        <w:szCs w:val="20"/>
      </w:rPr>
      <w:t xml:space="preserve"> of </w:t>
    </w:r>
    <w:r>
      <w:rPr>
        <w:b/>
        <w:bCs/>
        <w:color w:val="000000"/>
        <w:sz w:val="20"/>
        <w:szCs w:val="20"/>
      </w:rPr>
      <w:fldChar w:fldCharType="begin"/>
    </w:r>
    <w:r>
      <w:rPr>
        <w:b/>
        <w:bCs/>
        <w:color w:val="000000"/>
        <w:sz w:val="20"/>
        <w:szCs w:val="20"/>
      </w:rPr>
      <w:instrText>NUMPAGES</w:instrText>
    </w:r>
    <w:r>
      <w:rPr>
        <w:b/>
        <w:bCs/>
        <w:color w:val="000000"/>
        <w:sz w:val="20"/>
        <w:szCs w:val="20"/>
      </w:rPr>
      <w:fldChar w:fldCharType="separate"/>
    </w:r>
    <w:r w:rsidR="00B94C61">
      <w:rPr>
        <w:b/>
        <w:bCs/>
        <w:noProof/>
        <w:color w:val="000000"/>
        <w:sz w:val="20"/>
        <w:szCs w:val="20"/>
      </w:rPr>
      <w:t>3</w:t>
    </w:r>
    <w:r>
      <w:rPr>
        <w:b/>
        <w:bCs/>
        <w:color w:val="000000"/>
        <w:sz w:val="20"/>
        <w:szCs w:val="20"/>
      </w:rPr>
      <w:fldChar w:fldCharType="end"/>
    </w:r>
  </w:p>
  <w:p w14:paraId="4F85B31E" w14:textId="77777777" w:rsidR="0027602A" w:rsidRDefault="0027602A">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F3072" w14:textId="77777777" w:rsidR="0027602A" w:rsidRDefault="0027602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CE571" w14:textId="77777777" w:rsidR="00997922" w:rsidRDefault="00997922">
      <w:pPr>
        <w:spacing w:line="240" w:lineRule="auto"/>
      </w:pPr>
      <w:r>
        <w:separator/>
      </w:r>
    </w:p>
  </w:footnote>
  <w:footnote w:type="continuationSeparator" w:id="0">
    <w:p w14:paraId="7FB3ADCE" w14:textId="77777777" w:rsidR="00997922" w:rsidRDefault="009979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163DB" w14:textId="77777777" w:rsidR="0027602A" w:rsidRDefault="0027602A">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DD8A0" w14:textId="77777777" w:rsidR="0027602A" w:rsidRDefault="0027602A">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9B2B7" w14:textId="77777777" w:rsidR="0027602A" w:rsidRDefault="0027602A">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embedTrueTypeFonts/>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602A"/>
    <w:rsid w:val="0027602A"/>
    <w:rsid w:val="00997922"/>
    <w:rsid w:val="00B94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F8E9C0"/>
  <w15:docId w15:val="{7FDF9D82-641D-4249-A5EC-66ED0ECAD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center"/>
      <w:outlineLvl w:val="0"/>
    </w:pPr>
    <w:rPr>
      <w:b/>
      <w:bCs/>
      <w:color w:val="000000"/>
      <w:sz w:val="28"/>
      <w:szCs w:val="28"/>
      <w:u w:val="singl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Header">
    <w:name w:val="header"/>
    <w:basedOn w:val="Normal"/>
    <w:link w:val="HeaderChar"/>
    <w:uiPriority w:val="99"/>
    <w:unhideWhenUsed/>
    <w:rsid w:val="000D3186"/>
    <w:pPr>
      <w:tabs>
        <w:tab w:val="center" w:pos="4513"/>
        <w:tab w:val="right" w:pos="9026"/>
      </w:tabs>
      <w:spacing w:line="240" w:lineRule="auto"/>
    </w:pPr>
  </w:style>
  <w:style w:type="character" w:customStyle="1" w:styleId="HeaderChar">
    <w:name w:val="Header Char"/>
    <w:basedOn w:val="DefaultParagraphFont"/>
    <w:link w:val="Header"/>
    <w:uiPriority w:val="99"/>
    <w:rsid w:val="000D3186"/>
  </w:style>
  <w:style w:type="paragraph" w:styleId="Footer">
    <w:name w:val="footer"/>
    <w:basedOn w:val="Normal"/>
    <w:link w:val="FooterChar"/>
    <w:uiPriority w:val="99"/>
    <w:unhideWhenUsed/>
    <w:rsid w:val="000D3186"/>
    <w:pPr>
      <w:tabs>
        <w:tab w:val="center" w:pos="4513"/>
        <w:tab w:val="right" w:pos="9026"/>
      </w:tabs>
      <w:spacing w:line="240" w:lineRule="auto"/>
    </w:pPr>
  </w:style>
  <w:style w:type="character" w:customStyle="1" w:styleId="FooterChar">
    <w:name w:val="Footer Char"/>
    <w:basedOn w:val="DefaultParagraphFont"/>
    <w:link w:val="Footer"/>
    <w:uiPriority w:val="99"/>
    <w:rsid w:val="000D3186"/>
  </w:style>
  <w:style w:type="character" w:styleId="Hyperlink">
    <w:name w:val="Hyperlink"/>
    <w:basedOn w:val="DefaultParagraphFont"/>
    <w:uiPriority w:val="99"/>
    <w:unhideWhenUsed/>
    <w:rsid w:val="0011694B"/>
    <w:rPr>
      <w:color w:val="0000FF" w:themeColor="hyperlink"/>
      <w:u w:val="single"/>
    </w:rPr>
  </w:style>
  <w:style w:type="character" w:styleId="UnresolvedMention">
    <w:name w:val="Unresolved Mention"/>
    <w:basedOn w:val="DefaultParagraphFont"/>
    <w:uiPriority w:val="99"/>
    <w:semiHidden/>
    <w:unhideWhenUsed/>
    <w:rsid w:val="0011694B"/>
    <w:rPr>
      <w:color w:val="605E5C"/>
      <w:shd w:val="clear" w:color="auto" w:fill="E1DFDD"/>
    </w:rPr>
  </w:style>
  <w:style w:type="paragraph" w:styleId="TOCHeading">
    <w:name w:val="TOC Heading"/>
    <w:basedOn w:val="Heading1"/>
    <w:next w:val="Normal"/>
    <w:uiPriority w:val="39"/>
    <w:unhideWhenUsed/>
    <w:qFormat/>
    <w:rsid w:val="007C458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rPr>
  </w:style>
  <w:style w:type="paragraph" w:styleId="TOC1">
    <w:name w:val="toc 1"/>
    <w:basedOn w:val="Normal"/>
    <w:next w:val="Normal"/>
    <w:autoRedefine/>
    <w:uiPriority w:val="39"/>
    <w:unhideWhenUsed/>
    <w:rsid w:val="007C458B"/>
    <w:pPr>
      <w:spacing w:after="100"/>
    </w:p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vnccVb1yDYc22MKLVtay7Ygtlw==">CgMxLjAyDmguZ3g4Nmp3NnphZjcwMg5oLmtkZnQ0bnRkM3cxcjIOaC5jaXR3bTRmcGUzN3k4AHIhMXRRSHlSdmhjUFA1RUF0Y01lT0YwZGFSSkNOSFJBaTVq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2097</Words>
  <Characters>11954</Characters>
  <Application>Microsoft Office Word</Application>
  <DocSecurity>0</DocSecurity>
  <Lines>99</Lines>
  <Paragraphs>28</Paragraphs>
  <ScaleCrop>false</ScaleCrop>
  <Company/>
  <LinksUpToDate>false</LinksUpToDate>
  <CharactersWithSpaces>14023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Destiny Bishweka</cp:lastModifiedBy>
  <cp:revision>2</cp:revision>
  <dcterms:created xsi:type="dcterms:W3CDTF">2025-11-12T19:43:00Z</dcterms:created>
  <dcterms:modified xsi:type="dcterms:W3CDTF">2025-11-12T19:43:00Z</dcterms:modified>
</cp:coreProperties>
</file>