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92F" w:rsidRPr="00EB692E" w:rsidRDefault="001F392F" w:rsidP="009760FB">
      <w:pPr>
        <w:spacing w:line="360" w:lineRule="auto"/>
        <w:jc w:val="center"/>
        <w:rPr>
          <w:rFonts w:cs="Times New Roman"/>
          <w:b/>
          <w:bCs/>
          <w:sz w:val="28"/>
          <w:szCs w:val="28"/>
        </w:rPr>
      </w:pPr>
      <w:r w:rsidRPr="00EB692E">
        <w:rPr>
          <w:rFonts w:cs="Times New Roman"/>
          <w:b/>
          <w:bCs/>
          <w:sz w:val="28"/>
          <w:szCs w:val="28"/>
        </w:rPr>
        <w:t>UNIVERSITY OF WALES TRINITY SAINT DAVID</w:t>
      </w:r>
    </w:p>
    <w:p w:rsidR="004423F5" w:rsidRPr="008E0E80" w:rsidRDefault="001F392F" w:rsidP="009760FB">
      <w:pPr>
        <w:spacing w:line="360" w:lineRule="auto"/>
        <w:jc w:val="center"/>
        <w:rPr>
          <w:rFonts w:cs="Times New Roman"/>
        </w:rPr>
      </w:pPr>
      <w:proofErr w:type="spellStart"/>
      <w:r w:rsidRPr="008E0E80">
        <w:rPr>
          <w:rFonts w:cs="Times New Roman"/>
        </w:rPr>
        <w:t>MSc</w:t>
      </w:r>
      <w:proofErr w:type="spellEnd"/>
      <w:r w:rsidRPr="008E0E80">
        <w:rPr>
          <w:rFonts w:cs="Times New Roman"/>
        </w:rPr>
        <w:t xml:space="preserve"> Cybersecurity and Digital Forensics</w:t>
      </w:r>
    </w:p>
    <w:p w:rsidR="004423F5" w:rsidRPr="008E0E80" w:rsidRDefault="004423F5" w:rsidP="009760FB">
      <w:pPr>
        <w:spacing w:line="360" w:lineRule="auto"/>
        <w:jc w:val="center"/>
        <w:rPr>
          <w:rFonts w:cs="Times New Roman"/>
        </w:rPr>
      </w:pPr>
    </w:p>
    <w:p w:rsidR="004423F5" w:rsidRPr="009D0FC9" w:rsidRDefault="004423F5" w:rsidP="009760FB">
      <w:pPr>
        <w:spacing w:line="360" w:lineRule="auto"/>
        <w:jc w:val="center"/>
        <w:rPr>
          <w:rFonts w:cs="Times New Roman"/>
          <w:b/>
          <w:bCs/>
          <w:sz w:val="28"/>
          <w:szCs w:val="28"/>
        </w:rPr>
      </w:pPr>
      <w:r w:rsidRPr="009D0FC9">
        <w:rPr>
          <w:rFonts w:cs="Times New Roman"/>
          <w:b/>
          <w:bCs/>
          <w:sz w:val="28"/>
          <w:szCs w:val="28"/>
        </w:rPr>
        <w:t>ASSESSMENT REPORT</w:t>
      </w:r>
    </w:p>
    <w:p w:rsidR="0092115B" w:rsidRPr="008E0E80" w:rsidRDefault="0092115B" w:rsidP="009760FB">
      <w:pPr>
        <w:spacing w:line="360" w:lineRule="auto"/>
        <w:jc w:val="center"/>
        <w:rPr>
          <w:rFonts w:cs="Times New Roman"/>
          <w:b/>
          <w:bCs/>
        </w:rPr>
      </w:pPr>
    </w:p>
    <w:p w:rsidR="00E06197" w:rsidRPr="008E0E80" w:rsidRDefault="004423F5" w:rsidP="000A778F">
      <w:pPr>
        <w:spacing w:line="360" w:lineRule="auto"/>
        <w:jc w:val="center"/>
        <w:rPr>
          <w:rFonts w:cs="Times New Roman"/>
          <w:b/>
          <w:bCs/>
          <w:sz w:val="36"/>
          <w:szCs w:val="36"/>
        </w:rPr>
      </w:pPr>
      <w:r w:rsidRPr="008E0E80">
        <w:rPr>
          <w:rFonts w:cs="Times New Roman"/>
          <w:b/>
          <w:bCs/>
          <w:sz w:val="36"/>
          <w:szCs w:val="36"/>
        </w:rPr>
        <w:t>Developing an Integrated Data Security,</w:t>
      </w:r>
      <w:r w:rsidR="00E06197" w:rsidRPr="008E0E80">
        <w:rPr>
          <w:rFonts w:cs="Times New Roman"/>
          <w:b/>
          <w:bCs/>
          <w:sz w:val="36"/>
          <w:szCs w:val="36"/>
        </w:rPr>
        <w:t xml:space="preserve"> </w:t>
      </w:r>
      <w:r w:rsidRPr="008E0E80">
        <w:rPr>
          <w:rFonts w:cs="Times New Roman"/>
          <w:b/>
          <w:bCs/>
          <w:sz w:val="36"/>
          <w:szCs w:val="36"/>
        </w:rPr>
        <w:t>Governance and Compliance Approach for</w:t>
      </w:r>
      <w:r w:rsidR="00E06197" w:rsidRPr="008E0E80">
        <w:rPr>
          <w:rFonts w:cs="Times New Roman"/>
          <w:b/>
          <w:bCs/>
          <w:sz w:val="36"/>
          <w:szCs w:val="36"/>
        </w:rPr>
        <w:t xml:space="preserve"> </w:t>
      </w:r>
      <w:proofErr w:type="spellStart"/>
      <w:r w:rsidRPr="008E0E80">
        <w:rPr>
          <w:rFonts w:cs="Times New Roman"/>
          <w:b/>
          <w:bCs/>
          <w:sz w:val="36"/>
          <w:szCs w:val="36"/>
        </w:rPr>
        <w:t>AeroLink</w:t>
      </w:r>
      <w:proofErr w:type="spellEnd"/>
      <w:r w:rsidRPr="008E0E80">
        <w:rPr>
          <w:rFonts w:cs="Times New Roman"/>
          <w:b/>
          <w:bCs/>
          <w:sz w:val="36"/>
          <w:szCs w:val="36"/>
        </w:rPr>
        <w:t xml:space="preserve"> Logistics</w:t>
      </w:r>
    </w:p>
    <w:p w:rsidR="00903BDE" w:rsidRDefault="00376221" w:rsidP="00650DD1">
      <w:pPr>
        <w:spacing w:after="500" w:line="360" w:lineRule="auto"/>
        <w:jc w:val="center"/>
        <w:rPr>
          <w:rFonts w:eastAsia="Times New Roman" w:cs="Times New Roman"/>
          <w:i/>
          <w:szCs w:val="28"/>
        </w:rPr>
      </w:pPr>
      <w:r w:rsidRPr="00376221">
        <w:rPr>
          <w:rFonts w:eastAsia="Times New Roman" w:cs="Times New Roman"/>
          <w:i/>
          <w:szCs w:val="28"/>
        </w:rPr>
        <w:t xml:space="preserve">Applying data security, governance and compliance principles to the </w:t>
      </w:r>
      <w:proofErr w:type="spellStart"/>
      <w:r w:rsidRPr="00376221">
        <w:rPr>
          <w:rFonts w:eastAsia="Times New Roman" w:cs="Times New Roman"/>
          <w:i/>
          <w:szCs w:val="28"/>
        </w:rPr>
        <w:t>AeroLink</w:t>
      </w:r>
      <w:proofErr w:type="spellEnd"/>
      <w:r w:rsidRPr="00376221">
        <w:rPr>
          <w:rFonts w:eastAsia="Times New Roman" w:cs="Times New Roman"/>
          <w:i/>
          <w:szCs w:val="28"/>
        </w:rPr>
        <w:t xml:space="preserve"> Logistics scenario</w:t>
      </w:r>
    </w:p>
    <w:p w:rsidR="00650DD1" w:rsidRPr="008E0E80" w:rsidRDefault="00650DD1" w:rsidP="00650DD1">
      <w:pPr>
        <w:spacing w:after="500" w:line="360" w:lineRule="auto"/>
        <w:jc w:val="center"/>
        <w:rPr>
          <w:rFonts w:eastAsia="Times New Roman" w:cs="Times New Roman"/>
          <w:i/>
          <w:szCs w:val="28"/>
        </w:rPr>
      </w:pPr>
    </w:p>
    <w:tbl>
      <w:tblPr>
        <w:tblStyle w:val="GridTableLight"/>
        <w:tblW w:w="5000" w:type="pct"/>
        <w:tblLook w:val="04A0"/>
      </w:tblPr>
      <w:tblGrid>
        <w:gridCol w:w="2921"/>
        <w:gridCol w:w="6655"/>
      </w:tblGrid>
      <w:tr w:rsidR="008E0E80" w:rsidRPr="004B3A4C" w:rsidTr="00365D6C">
        <w:trPr>
          <w:trHeight w:val="576"/>
        </w:trPr>
        <w:tc>
          <w:tcPr>
            <w:tcW w:w="1525" w:type="pct"/>
            <w:shd w:val="clear" w:color="auto" w:fill="D9E2F3" w:themeFill="accent1" w:themeFillTint="33"/>
            <w:vAlign w:val="center"/>
          </w:tcPr>
          <w:p w:rsidR="00032A19" w:rsidRPr="004B3A4C" w:rsidRDefault="00032A19" w:rsidP="00365D6C">
            <w:pPr>
              <w:spacing w:before="40" w:after="40" w:line="360" w:lineRule="auto"/>
              <w:rPr>
                <w:rFonts w:cs="Times New Roman"/>
                <w:szCs w:val="32"/>
              </w:rPr>
            </w:pPr>
            <w:r w:rsidRPr="004B3A4C">
              <w:rPr>
                <w:rFonts w:eastAsia="Arial" w:cs="Times New Roman"/>
                <w:b/>
                <w:szCs w:val="32"/>
              </w:rPr>
              <w:t>Module</w:t>
            </w:r>
          </w:p>
        </w:tc>
        <w:tc>
          <w:tcPr>
            <w:tcW w:w="3475" w:type="pct"/>
            <w:shd w:val="clear" w:color="auto" w:fill="F2F2F2" w:themeFill="background1" w:themeFillShade="F2"/>
            <w:vAlign w:val="center"/>
          </w:tcPr>
          <w:p w:rsidR="00032A19" w:rsidRPr="004B3A4C" w:rsidRDefault="00032A19" w:rsidP="00365D6C">
            <w:pPr>
              <w:spacing w:before="40" w:after="40" w:line="360" w:lineRule="auto"/>
              <w:rPr>
                <w:rFonts w:cs="Times New Roman"/>
                <w:szCs w:val="32"/>
              </w:rPr>
            </w:pPr>
            <w:r w:rsidRPr="004B3A4C">
              <w:rPr>
                <w:rFonts w:eastAsia="Times New Roman" w:cs="Times New Roman"/>
                <w:szCs w:val="32"/>
              </w:rPr>
              <w:t>Data Security, Governance and Compliance</w:t>
            </w:r>
          </w:p>
        </w:tc>
      </w:tr>
      <w:tr w:rsidR="008E0E80" w:rsidRPr="004B3A4C" w:rsidTr="00365D6C">
        <w:trPr>
          <w:trHeight w:val="576"/>
        </w:trPr>
        <w:tc>
          <w:tcPr>
            <w:tcW w:w="1525" w:type="pct"/>
            <w:shd w:val="clear" w:color="auto" w:fill="D9E2F3" w:themeFill="accent1" w:themeFillTint="33"/>
            <w:vAlign w:val="center"/>
          </w:tcPr>
          <w:p w:rsidR="00032A19" w:rsidRPr="004B3A4C" w:rsidRDefault="00032A19" w:rsidP="00365D6C">
            <w:pPr>
              <w:spacing w:before="40" w:after="40" w:line="360" w:lineRule="auto"/>
              <w:rPr>
                <w:rFonts w:cs="Times New Roman"/>
                <w:szCs w:val="32"/>
              </w:rPr>
            </w:pPr>
            <w:r w:rsidRPr="004B3A4C">
              <w:rPr>
                <w:rFonts w:eastAsia="Arial" w:cs="Times New Roman"/>
                <w:b/>
                <w:szCs w:val="32"/>
              </w:rPr>
              <w:t>Module code</w:t>
            </w:r>
          </w:p>
        </w:tc>
        <w:tc>
          <w:tcPr>
            <w:tcW w:w="3475" w:type="pct"/>
            <w:shd w:val="clear" w:color="auto" w:fill="F2F2F2" w:themeFill="background1" w:themeFillShade="F2"/>
            <w:vAlign w:val="center"/>
          </w:tcPr>
          <w:p w:rsidR="00032A19" w:rsidRPr="004B3A4C" w:rsidRDefault="00032A19" w:rsidP="00365D6C">
            <w:pPr>
              <w:spacing w:before="40" w:after="40" w:line="360" w:lineRule="auto"/>
              <w:rPr>
                <w:rFonts w:cs="Times New Roman"/>
                <w:szCs w:val="32"/>
              </w:rPr>
            </w:pPr>
            <w:r w:rsidRPr="004B3A4C">
              <w:rPr>
                <w:rFonts w:eastAsia="Times New Roman" w:cs="Times New Roman"/>
                <w:szCs w:val="32"/>
              </w:rPr>
              <w:t>ACCA7028</w:t>
            </w:r>
          </w:p>
        </w:tc>
      </w:tr>
      <w:tr w:rsidR="008E0E80" w:rsidRPr="004B3A4C" w:rsidTr="00365D6C">
        <w:trPr>
          <w:trHeight w:val="576"/>
        </w:trPr>
        <w:tc>
          <w:tcPr>
            <w:tcW w:w="1525" w:type="pct"/>
            <w:shd w:val="clear" w:color="auto" w:fill="D9E2F3" w:themeFill="accent1" w:themeFillTint="33"/>
            <w:vAlign w:val="center"/>
          </w:tcPr>
          <w:p w:rsidR="00032A19" w:rsidRPr="004B3A4C" w:rsidRDefault="00032A19" w:rsidP="00365D6C">
            <w:pPr>
              <w:spacing w:before="40" w:after="40" w:line="360" w:lineRule="auto"/>
              <w:rPr>
                <w:rFonts w:cs="Times New Roman"/>
                <w:szCs w:val="32"/>
              </w:rPr>
            </w:pPr>
            <w:r w:rsidRPr="004B3A4C">
              <w:rPr>
                <w:rFonts w:eastAsia="Arial" w:cs="Times New Roman"/>
                <w:b/>
                <w:szCs w:val="32"/>
              </w:rPr>
              <w:t xml:space="preserve">Assignment </w:t>
            </w:r>
            <w:r w:rsidR="00A10240" w:rsidRPr="004B3A4C">
              <w:rPr>
                <w:rFonts w:eastAsia="Arial" w:cs="Times New Roman"/>
                <w:b/>
                <w:szCs w:val="32"/>
              </w:rPr>
              <w:t>W</w:t>
            </w:r>
            <w:r w:rsidRPr="004B3A4C">
              <w:rPr>
                <w:rFonts w:eastAsia="Arial" w:cs="Times New Roman"/>
                <w:b/>
                <w:szCs w:val="32"/>
              </w:rPr>
              <w:t>eighting</w:t>
            </w:r>
          </w:p>
        </w:tc>
        <w:tc>
          <w:tcPr>
            <w:tcW w:w="3475" w:type="pct"/>
            <w:shd w:val="clear" w:color="auto" w:fill="F2F2F2" w:themeFill="background1" w:themeFillShade="F2"/>
            <w:vAlign w:val="center"/>
          </w:tcPr>
          <w:p w:rsidR="00032A19" w:rsidRPr="004B3A4C" w:rsidRDefault="00032A19" w:rsidP="00365D6C">
            <w:pPr>
              <w:spacing w:before="40" w:after="40" w:line="360" w:lineRule="auto"/>
              <w:rPr>
                <w:rFonts w:cs="Times New Roman"/>
                <w:szCs w:val="32"/>
              </w:rPr>
            </w:pPr>
            <w:r w:rsidRPr="004B3A4C">
              <w:rPr>
                <w:rFonts w:eastAsia="Times New Roman" w:cs="Times New Roman"/>
                <w:szCs w:val="32"/>
              </w:rPr>
              <w:t>50% of the overall module assessment</w:t>
            </w:r>
          </w:p>
        </w:tc>
      </w:tr>
      <w:tr w:rsidR="008E0E80" w:rsidRPr="004B3A4C" w:rsidTr="00365D6C">
        <w:trPr>
          <w:trHeight w:val="576"/>
        </w:trPr>
        <w:tc>
          <w:tcPr>
            <w:tcW w:w="1525" w:type="pct"/>
            <w:shd w:val="clear" w:color="auto" w:fill="D9E2F3" w:themeFill="accent1" w:themeFillTint="33"/>
            <w:vAlign w:val="center"/>
          </w:tcPr>
          <w:p w:rsidR="00032A19" w:rsidRPr="004B3A4C" w:rsidRDefault="00032A19" w:rsidP="00365D6C">
            <w:pPr>
              <w:spacing w:before="40" w:after="40" w:line="360" w:lineRule="auto"/>
              <w:rPr>
                <w:rFonts w:cs="Times New Roman"/>
                <w:szCs w:val="32"/>
              </w:rPr>
            </w:pPr>
            <w:r w:rsidRPr="004B3A4C">
              <w:rPr>
                <w:rFonts w:eastAsia="Arial" w:cs="Times New Roman"/>
                <w:b/>
                <w:szCs w:val="32"/>
              </w:rPr>
              <w:t>Lecturer</w:t>
            </w:r>
          </w:p>
        </w:tc>
        <w:tc>
          <w:tcPr>
            <w:tcW w:w="3475" w:type="pct"/>
            <w:shd w:val="clear" w:color="auto" w:fill="F2F2F2" w:themeFill="background1" w:themeFillShade="F2"/>
            <w:vAlign w:val="center"/>
          </w:tcPr>
          <w:p w:rsidR="00032A19" w:rsidRPr="004B3A4C" w:rsidRDefault="00032A19" w:rsidP="00365D6C">
            <w:pPr>
              <w:spacing w:before="40" w:after="40" w:line="360" w:lineRule="auto"/>
              <w:rPr>
                <w:rFonts w:cs="Times New Roman"/>
                <w:szCs w:val="32"/>
              </w:rPr>
            </w:pPr>
            <w:r w:rsidRPr="004B3A4C">
              <w:rPr>
                <w:rFonts w:eastAsia="Times New Roman" w:cs="Times New Roman"/>
                <w:szCs w:val="32"/>
              </w:rPr>
              <w:t xml:space="preserve">Dr </w:t>
            </w:r>
            <w:proofErr w:type="spellStart"/>
            <w:r w:rsidRPr="004B3A4C">
              <w:rPr>
                <w:rFonts w:eastAsia="Times New Roman" w:cs="Times New Roman"/>
                <w:szCs w:val="32"/>
              </w:rPr>
              <w:t>Ayman</w:t>
            </w:r>
            <w:proofErr w:type="spellEnd"/>
            <w:r w:rsidRPr="004B3A4C">
              <w:rPr>
                <w:rFonts w:eastAsia="Times New Roman" w:cs="Times New Roman"/>
                <w:szCs w:val="32"/>
              </w:rPr>
              <w:t xml:space="preserve"> El </w:t>
            </w:r>
            <w:proofErr w:type="spellStart"/>
            <w:r w:rsidRPr="004B3A4C">
              <w:rPr>
                <w:rFonts w:eastAsia="Times New Roman" w:cs="Times New Roman"/>
                <w:szCs w:val="32"/>
              </w:rPr>
              <w:t>Hajjar</w:t>
            </w:r>
            <w:proofErr w:type="spellEnd"/>
          </w:p>
        </w:tc>
      </w:tr>
      <w:tr w:rsidR="008E0E80" w:rsidRPr="004B3A4C" w:rsidTr="00365D6C">
        <w:trPr>
          <w:trHeight w:val="576"/>
        </w:trPr>
        <w:tc>
          <w:tcPr>
            <w:tcW w:w="1525" w:type="pct"/>
            <w:shd w:val="clear" w:color="auto" w:fill="D9E2F3" w:themeFill="accent1" w:themeFillTint="33"/>
            <w:vAlign w:val="center"/>
          </w:tcPr>
          <w:p w:rsidR="00032A19" w:rsidRPr="004B3A4C" w:rsidRDefault="00032A19" w:rsidP="00365D6C">
            <w:pPr>
              <w:spacing w:before="40" w:after="40" w:line="360" w:lineRule="auto"/>
              <w:rPr>
                <w:rFonts w:cs="Times New Roman"/>
                <w:szCs w:val="32"/>
              </w:rPr>
            </w:pPr>
            <w:r w:rsidRPr="004B3A4C">
              <w:rPr>
                <w:rFonts w:eastAsia="Arial" w:cs="Times New Roman"/>
                <w:b/>
                <w:szCs w:val="32"/>
              </w:rPr>
              <w:t xml:space="preserve">Student </w:t>
            </w:r>
            <w:r w:rsidR="005B2F9A" w:rsidRPr="004B3A4C">
              <w:rPr>
                <w:rFonts w:eastAsia="Arial" w:cs="Times New Roman"/>
                <w:b/>
                <w:szCs w:val="32"/>
              </w:rPr>
              <w:t>N</w:t>
            </w:r>
            <w:r w:rsidRPr="004B3A4C">
              <w:rPr>
                <w:rFonts w:eastAsia="Arial" w:cs="Times New Roman"/>
                <w:b/>
                <w:szCs w:val="32"/>
              </w:rPr>
              <w:t>ame</w:t>
            </w:r>
          </w:p>
        </w:tc>
        <w:tc>
          <w:tcPr>
            <w:tcW w:w="3475" w:type="pct"/>
            <w:shd w:val="clear" w:color="auto" w:fill="F2F2F2" w:themeFill="background1" w:themeFillShade="F2"/>
            <w:vAlign w:val="center"/>
          </w:tcPr>
          <w:p w:rsidR="00032A19" w:rsidRPr="004B3A4C" w:rsidRDefault="00D16BD6" w:rsidP="00365D6C">
            <w:pPr>
              <w:spacing w:before="40" w:after="40" w:line="360" w:lineRule="auto"/>
              <w:rPr>
                <w:rFonts w:cs="Times New Roman"/>
                <w:szCs w:val="32"/>
              </w:rPr>
            </w:pPr>
            <w:proofErr w:type="spellStart"/>
            <w:r w:rsidRPr="00D16BD6">
              <w:rPr>
                <w:rFonts w:cs="Times New Roman"/>
                <w:szCs w:val="32"/>
              </w:rPr>
              <w:t>Dhaval</w:t>
            </w:r>
            <w:proofErr w:type="spellEnd"/>
            <w:r w:rsidRPr="00D16BD6">
              <w:rPr>
                <w:rFonts w:cs="Times New Roman"/>
                <w:szCs w:val="32"/>
              </w:rPr>
              <w:t xml:space="preserve"> </w:t>
            </w:r>
            <w:proofErr w:type="spellStart"/>
            <w:r w:rsidRPr="00D16BD6">
              <w:rPr>
                <w:rFonts w:cs="Times New Roman"/>
                <w:szCs w:val="32"/>
              </w:rPr>
              <w:t>Rami</w:t>
            </w:r>
            <w:proofErr w:type="spellEnd"/>
          </w:p>
        </w:tc>
      </w:tr>
      <w:tr w:rsidR="008E0E80" w:rsidRPr="004B3A4C" w:rsidTr="00365D6C">
        <w:trPr>
          <w:trHeight w:val="576"/>
        </w:trPr>
        <w:tc>
          <w:tcPr>
            <w:tcW w:w="1525" w:type="pct"/>
            <w:shd w:val="clear" w:color="auto" w:fill="D9E2F3" w:themeFill="accent1" w:themeFillTint="33"/>
            <w:vAlign w:val="center"/>
          </w:tcPr>
          <w:p w:rsidR="00032A19" w:rsidRPr="004B3A4C" w:rsidRDefault="00032A19" w:rsidP="00365D6C">
            <w:pPr>
              <w:spacing w:before="40" w:after="40" w:line="360" w:lineRule="auto"/>
              <w:rPr>
                <w:rFonts w:cs="Times New Roman"/>
                <w:szCs w:val="32"/>
              </w:rPr>
            </w:pPr>
            <w:r w:rsidRPr="004B3A4C">
              <w:rPr>
                <w:rFonts w:eastAsia="Arial" w:cs="Times New Roman"/>
                <w:b/>
                <w:szCs w:val="32"/>
              </w:rPr>
              <w:t>Student ID</w:t>
            </w:r>
          </w:p>
        </w:tc>
        <w:tc>
          <w:tcPr>
            <w:tcW w:w="3475" w:type="pct"/>
            <w:shd w:val="clear" w:color="auto" w:fill="F2F2F2" w:themeFill="background1" w:themeFillShade="F2"/>
            <w:vAlign w:val="center"/>
          </w:tcPr>
          <w:p w:rsidR="00032A19" w:rsidRPr="004B3A4C" w:rsidRDefault="003A1C08" w:rsidP="00365D6C">
            <w:pPr>
              <w:spacing w:before="40" w:after="40" w:line="360" w:lineRule="auto"/>
              <w:rPr>
                <w:rFonts w:cs="Times New Roman"/>
                <w:szCs w:val="32"/>
              </w:rPr>
            </w:pPr>
            <w:r>
              <w:rPr>
                <w:rFonts w:cs="Times New Roman"/>
                <w:szCs w:val="32"/>
              </w:rPr>
              <w:t>2528086</w:t>
            </w:r>
          </w:p>
        </w:tc>
      </w:tr>
      <w:tr w:rsidR="008E0E80" w:rsidRPr="004B3A4C" w:rsidTr="00365D6C">
        <w:trPr>
          <w:trHeight w:val="576"/>
        </w:trPr>
        <w:tc>
          <w:tcPr>
            <w:tcW w:w="1525" w:type="pct"/>
            <w:shd w:val="clear" w:color="auto" w:fill="D9E2F3" w:themeFill="accent1" w:themeFillTint="33"/>
            <w:vAlign w:val="center"/>
          </w:tcPr>
          <w:p w:rsidR="00032A19" w:rsidRPr="004B3A4C" w:rsidRDefault="00032A19" w:rsidP="00365D6C">
            <w:pPr>
              <w:spacing w:before="40" w:after="40" w:line="360" w:lineRule="auto"/>
              <w:rPr>
                <w:rFonts w:cs="Times New Roman"/>
                <w:szCs w:val="32"/>
              </w:rPr>
            </w:pPr>
            <w:r w:rsidRPr="004B3A4C">
              <w:rPr>
                <w:rFonts w:eastAsia="Arial" w:cs="Times New Roman"/>
                <w:b/>
                <w:szCs w:val="32"/>
              </w:rPr>
              <w:t xml:space="preserve">Word </w:t>
            </w:r>
            <w:r w:rsidR="005B2F9A" w:rsidRPr="004B3A4C">
              <w:rPr>
                <w:rFonts w:eastAsia="Arial" w:cs="Times New Roman"/>
                <w:b/>
                <w:szCs w:val="32"/>
              </w:rPr>
              <w:t>C</w:t>
            </w:r>
            <w:r w:rsidRPr="004B3A4C">
              <w:rPr>
                <w:rFonts w:eastAsia="Arial" w:cs="Times New Roman"/>
                <w:b/>
                <w:szCs w:val="32"/>
              </w:rPr>
              <w:t>ount</w:t>
            </w:r>
          </w:p>
        </w:tc>
        <w:tc>
          <w:tcPr>
            <w:tcW w:w="3475" w:type="pct"/>
            <w:shd w:val="clear" w:color="auto" w:fill="F2F2F2" w:themeFill="background1" w:themeFillShade="F2"/>
            <w:vAlign w:val="center"/>
          </w:tcPr>
          <w:p w:rsidR="00032A19" w:rsidRPr="004B3A4C" w:rsidRDefault="00426042" w:rsidP="00365D6C">
            <w:pPr>
              <w:spacing w:before="40" w:after="40" w:line="360" w:lineRule="auto"/>
              <w:rPr>
                <w:rFonts w:cs="Times New Roman"/>
                <w:szCs w:val="32"/>
              </w:rPr>
            </w:pPr>
            <w:r>
              <w:rPr>
                <w:rFonts w:cs="Times New Roman"/>
                <w:szCs w:val="32"/>
              </w:rPr>
              <w:t>3</w:t>
            </w:r>
            <w:r w:rsidR="00E81FD2">
              <w:rPr>
                <w:rFonts w:cs="Times New Roman"/>
                <w:szCs w:val="32"/>
              </w:rPr>
              <w:t>1</w:t>
            </w:r>
            <w:r w:rsidR="00DD3E77">
              <w:rPr>
                <w:rFonts w:cs="Times New Roman"/>
                <w:szCs w:val="32"/>
              </w:rPr>
              <w:t>12</w:t>
            </w:r>
          </w:p>
        </w:tc>
      </w:tr>
      <w:tr w:rsidR="008E0E80" w:rsidRPr="004B3A4C" w:rsidTr="00365D6C">
        <w:trPr>
          <w:trHeight w:val="576"/>
        </w:trPr>
        <w:tc>
          <w:tcPr>
            <w:tcW w:w="1525" w:type="pct"/>
            <w:shd w:val="clear" w:color="auto" w:fill="D9E2F3" w:themeFill="accent1" w:themeFillTint="33"/>
            <w:vAlign w:val="center"/>
          </w:tcPr>
          <w:p w:rsidR="00032A19" w:rsidRPr="004B3A4C" w:rsidRDefault="00032A19" w:rsidP="00365D6C">
            <w:pPr>
              <w:spacing w:before="40" w:after="40" w:line="360" w:lineRule="auto"/>
              <w:rPr>
                <w:rFonts w:cs="Times New Roman"/>
                <w:szCs w:val="32"/>
              </w:rPr>
            </w:pPr>
            <w:r w:rsidRPr="004B3A4C">
              <w:rPr>
                <w:rFonts w:eastAsia="Arial" w:cs="Times New Roman"/>
                <w:b/>
                <w:szCs w:val="32"/>
              </w:rPr>
              <w:t xml:space="preserve">Submission </w:t>
            </w:r>
            <w:r w:rsidR="005B2F9A" w:rsidRPr="004B3A4C">
              <w:rPr>
                <w:rFonts w:eastAsia="Arial" w:cs="Times New Roman"/>
                <w:b/>
                <w:szCs w:val="32"/>
              </w:rPr>
              <w:t>D</w:t>
            </w:r>
            <w:r w:rsidRPr="004B3A4C">
              <w:rPr>
                <w:rFonts w:eastAsia="Arial" w:cs="Times New Roman"/>
                <w:b/>
                <w:szCs w:val="32"/>
              </w:rPr>
              <w:t>eadline</w:t>
            </w:r>
          </w:p>
        </w:tc>
        <w:tc>
          <w:tcPr>
            <w:tcW w:w="3475" w:type="pct"/>
            <w:shd w:val="clear" w:color="auto" w:fill="F2F2F2" w:themeFill="background1" w:themeFillShade="F2"/>
            <w:vAlign w:val="center"/>
          </w:tcPr>
          <w:p w:rsidR="00032A19" w:rsidRPr="004B3A4C" w:rsidRDefault="00032A19" w:rsidP="00365D6C">
            <w:pPr>
              <w:spacing w:before="40" w:after="40" w:line="360" w:lineRule="auto"/>
              <w:rPr>
                <w:rFonts w:cs="Times New Roman"/>
                <w:szCs w:val="32"/>
              </w:rPr>
            </w:pPr>
            <w:r w:rsidRPr="004B3A4C">
              <w:rPr>
                <w:rFonts w:eastAsia="Times New Roman" w:cs="Times New Roman"/>
                <w:szCs w:val="32"/>
              </w:rPr>
              <w:t>Wednesday, 12 August 2026, 2:00 pm</w:t>
            </w:r>
          </w:p>
        </w:tc>
      </w:tr>
      <w:tr w:rsidR="008E0E80" w:rsidRPr="004B3A4C" w:rsidTr="00365D6C">
        <w:trPr>
          <w:trHeight w:val="576"/>
        </w:trPr>
        <w:tc>
          <w:tcPr>
            <w:tcW w:w="1525" w:type="pct"/>
            <w:shd w:val="clear" w:color="auto" w:fill="D9E2F3" w:themeFill="accent1" w:themeFillTint="33"/>
            <w:vAlign w:val="center"/>
          </w:tcPr>
          <w:p w:rsidR="00BF392E" w:rsidRPr="004B3A4C" w:rsidRDefault="00BF392E" w:rsidP="00365D6C">
            <w:pPr>
              <w:spacing w:before="40" w:after="40" w:line="360" w:lineRule="auto"/>
              <w:rPr>
                <w:rFonts w:eastAsia="Arial" w:cs="Times New Roman"/>
                <w:b/>
                <w:szCs w:val="32"/>
              </w:rPr>
            </w:pPr>
            <w:r w:rsidRPr="004B3A4C">
              <w:rPr>
                <w:rFonts w:eastAsia="Arial" w:cs="Times New Roman"/>
                <w:b/>
                <w:szCs w:val="32"/>
              </w:rPr>
              <w:t>Submission Date</w:t>
            </w:r>
          </w:p>
        </w:tc>
        <w:tc>
          <w:tcPr>
            <w:tcW w:w="3475" w:type="pct"/>
            <w:shd w:val="clear" w:color="auto" w:fill="F2F2F2" w:themeFill="background1" w:themeFillShade="F2"/>
            <w:vAlign w:val="center"/>
          </w:tcPr>
          <w:p w:rsidR="00BF392E" w:rsidRPr="004B3A4C" w:rsidRDefault="00140DAA" w:rsidP="00365D6C">
            <w:pPr>
              <w:spacing w:before="40" w:after="40" w:line="360" w:lineRule="auto"/>
              <w:rPr>
                <w:rFonts w:eastAsia="Times New Roman" w:cs="Times New Roman"/>
                <w:szCs w:val="32"/>
              </w:rPr>
            </w:pPr>
            <w:r w:rsidRPr="004B3A4C">
              <w:rPr>
                <w:rFonts w:eastAsia="Times New Roman" w:cs="Times New Roman"/>
                <w:szCs w:val="32"/>
              </w:rPr>
              <w:t>Wednesday, 12 August 2026, 2:00 pm</w:t>
            </w:r>
          </w:p>
        </w:tc>
      </w:tr>
    </w:tbl>
    <w:p w:rsidR="002C32DB" w:rsidRPr="008E0E80" w:rsidRDefault="002C32DB" w:rsidP="009760FB">
      <w:pPr>
        <w:spacing w:after="500" w:line="360" w:lineRule="auto"/>
        <w:rPr>
          <w:rFonts w:cs="Times New Roman"/>
          <w:sz w:val="28"/>
          <w:szCs w:val="28"/>
        </w:rPr>
        <w:sectPr w:rsidR="002C32DB" w:rsidRPr="008E0E80">
          <w:pgSz w:w="12240" w:h="15840"/>
          <w:pgMar w:top="1440" w:right="1440" w:bottom="1440" w:left="1440" w:header="720" w:footer="720" w:gutter="0"/>
          <w:cols w:space="720"/>
          <w:docGrid w:linePitch="360"/>
        </w:sectPr>
      </w:pPr>
    </w:p>
    <w:p w:rsidR="00DC2574" w:rsidRPr="008E0E80" w:rsidRDefault="000233BF" w:rsidP="009760FB">
      <w:pPr>
        <w:pStyle w:val="Heading1"/>
        <w:spacing w:line="360" w:lineRule="auto"/>
        <w:rPr>
          <w:rFonts w:cs="Times New Roman"/>
          <w:color w:val="auto"/>
        </w:rPr>
      </w:pPr>
      <w:bookmarkStart w:id="0" w:name="_Toc236305913"/>
      <w:r w:rsidRPr="008E0E80">
        <w:rPr>
          <w:rFonts w:cs="Times New Roman"/>
          <w:color w:val="auto"/>
        </w:rPr>
        <w:lastRenderedPageBreak/>
        <w:t>Abstract</w:t>
      </w:r>
      <w:bookmarkEnd w:id="0"/>
    </w:p>
    <w:p w:rsidR="00C04FFB" w:rsidRPr="008E0E80" w:rsidRDefault="00887EDF" w:rsidP="009760FB">
      <w:pPr>
        <w:spacing w:line="360" w:lineRule="auto"/>
        <w:jc w:val="both"/>
        <w:rPr>
          <w:rFonts w:cs="Times New Roman"/>
          <w:sz w:val="32"/>
          <w:szCs w:val="32"/>
        </w:rPr>
      </w:pPr>
      <w:r>
        <w:rPr>
          <w:rFonts w:cs="Times New Roman"/>
        </w:rPr>
        <w:t>T</w:t>
      </w:r>
      <w:r w:rsidRPr="00887EDF">
        <w:rPr>
          <w:rFonts w:cs="Times New Roman"/>
        </w:rPr>
        <w:t xml:space="preserve">he report reviews </w:t>
      </w:r>
      <w:r w:rsidR="00A67F9D">
        <w:rPr>
          <w:rFonts w:cs="Times New Roman"/>
        </w:rPr>
        <w:t xml:space="preserve">several issues like </w:t>
      </w:r>
      <w:r w:rsidRPr="00887EDF">
        <w:rPr>
          <w:rFonts w:cs="Times New Roman"/>
        </w:rPr>
        <w:t>security, governance and compliance issues</w:t>
      </w:r>
      <w:r w:rsidR="00A67F9D">
        <w:rPr>
          <w:rFonts w:cs="Times New Roman"/>
        </w:rPr>
        <w:t xml:space="preserve"> that</w:t>
      </w:r>
      <w:r w:rsidRPr="00887EDF">
        <w:rPr>
          <w:rFonts w:cs="Times New Roman"/>
        </w:rPr>
        <w:t xml:space="preserve"> the company is facing</w:t>
      </w:r>
      <w:r w:rsidR="00EA4BFE">
        <w:rPr>
          <w:rFonts w:cs="Times New Roman"/>
        </w:rPr>
        <w:t xml:space="preserve"> a</w:t>
      </w:r>
      <w:r w:rsidR="00EA4BFE" w:rsidRPr="00887EDF">
        <w:rPr>
          <w:rFonts w:cs="Times New Roman"/>
        </w:rPr>
        <w:t xml:space="preserve">s cloud services, </w:t>
      </w:r>
      <w:proofErr w:type="spellStart"/>
      <w:r w:rsidR="00EA4BFE" w:rsidRPr="00887EDF">
        <w:rPr>
          <w:rFonts w:cs="Times New Roman"/>
        </w:rPr>
        <w:t>IoT</w:t>
      </w:r>
      <w:proofErr w:type="spellEnd"/>
      <w:r w:rsidR="00EA4BFE" w:rsidRPr="00887EDF">
        <w:rPr>
          <w:rFonts w:cs="Times New Roman"/>
        </w:rPr>
        <w:t xml:space="preserve"> tracking, AI analytics and remote access are </w:t>
      </w:r>
      <w:r w:rsidR="00406805">
        <w:rPr>
          <w:rFonts w:cs="Times New Roman"/>
        </w:rPr>
        <w:t>important part</w:t>
      </w:r>
      <w:r w:rsidR="00EA4BFE" w:rsidRPr="00887EDF">
        <w:rPr>
          <w:rFonts w:cs="Times New Roman"/>
        </w:rPr>
        <w:t xml:space="preserve"> of </w:t>
      </w:r>
      <w:proofErr w:type="spellStart"/>
      <w:r w:rsidR="00EA4BFE" w:rsidRPr="00887EDF">
        <w:rPr>
          <w:rFonts w:cs="Times New Roman"/>
        </w:rPr>
        <w:t>AeroLink</w:t>
      </w:r>
      <w:proofErr w:type="spellEnd"/>
      <w:r w:rsidR="00EA4BFE" w:rsidRPr="00887EDF">
        <w:rPr>
          <w:rFonts w:cs="Times New Roman"/>
        </w:rPr>
        <w:t xml:space="preserve"> Logistics' operations</w:t>
      </w:r>
      <w:r w:rsidRPr="00887EDF">
        <w:rPr>
          <w:rFonts w:cs="Times New Roman"/>
        </w:rPr>
        <w:t xml:space="preserve">. It critically reviews the frameworks: COBIT 2019, ISO/IEC 27001 and 27002, NIST Cybersecurity Framework 2.0 and ITIL 4 and contends that none of them can on their own address the governance, operational and compliance shortcomings of </w:t>
      </w:r>
      <w:proofErr w:type="spellStart"/>
      <w:r w:rsidRPr="00887EDF">
        <w:rPr>
          <w:rFonts w:cs="Times New Roman"/>
        </w:rPr>
        <w:t>AeroLink</w:t>
      </w:r>
      <w:proofErr w:type="spellEnd"/>
      <w:r w:rsidRPr="00887EDF">
        <w:rPr>
          <w:rFonts w:cs="Times New Roman"/>
        </w:rPr>
        <w:t>. It is proposed that an integrated model be developed, with COBIT controlling the enterprise, ISO creating an auditable security management system, NIST organizing the operational cyber security, and ITIL managing services and suppliers.</w:t>
      </w:r>
      <w:r>
        <w:rPr>
          <w:rFonts w:cs="Times New Roman"/>
        </w:rPr>
        <w:t xml:space="preserve"> </w:t>
      </w:r>
      <w:r w:rsidR="00ED454B" w:rsidRPr="00ED454B">
        <w:rPr>
          <w:rFonts w:cs="Times New Roman"/>
        </w:rPr>
        <w:t>The design focuses on accountability, risk-based controls, vendor assurance, resilience and continuous improvement.</w:t>
      </w:r>
      <w:r w:rsidR="00F15AA0" w:rsidRPr="00F15AA0">
        <w:rPr>
          <w:rFonts w:cs="Times New Roman"/>
        </w:rPr>
        <w:t xml:space="preserve"> It also emphasizes the need for the review of the rules and standards in accordance with changes in technologies, threats and international data-processing arrangements.</w:t>
      </w:r>
      <w:r w:rsidR="00C04FFB" w:rsidRPr="008E0E80">
        <w:rPr>
          <w:rFonts w:cs="Times New Roman"/>
        </w:rPr>
        <w:br w:type="page"/>
      </w:r>
    </w:p>
    <w:sdt>
      <w:sdtPr>
        <w:rPr>
          <w:rFonts w:eastAsiaTheme="minorHAnsi" w:cs="Times New Roman"/>
          <w:b w:val="0"/>
          <w:color w:val="auto"/>
          <w:kern w:val="2"/>
          <w:sz w:val="24"/>
          <w:szCs w:val="24"/>
        </w:rPr>
        <w:id w:val="1641456579"/>
        <w:docPartObj>
          <w:docPartGallery w:val="Table of Contents"/>
          <w:docPartUnique/>
        </w:docPartObj>
      </w:sdtPr>
      <w:sdtEndPr>
        <w:rPr>
          <w:bCs/>
          <w:noProof/>
        </w:rPr>
      </w:sdtEndPr>
      <w:sdtContent>
        <w:p w:rsidR="00C04FFB" w:rsidRPr="008E0E80" w:rsidRDefault="00C04FFB" w:rsidP="009760FB">
          <w:pPr>
            <w:pStyle w:val="TOCHeading"/>
            <w:spacing w:line="360" w:lineRule="auto"/>
            <w:rPr>
              <w:rFonts w:cs="Times New Roman"/>
              <w:b w:val="0"/>
              <w:bCs/>
              <w:color w:val="auto"/>
            </w:rPr>
          </w:pPr>
          <w:r w:rsidRPr="008E0E80">
            <w:rPr>
              <w:rFonts w:cs="Times New Roman"/>
              <w:b w:val="0"/>
              <w:bCs/>
              <w:color w:val="auto"/>
            </w:rPr>
            <w:t>Table of Contents</w:t>
          </w:r>
        </w:p>
        <w:p w:rsidR="00E10D55" w:rsidRDefault="002C1770">
          <w:pPr>
            <w:pStyle w:val="TOC1"/>
            <w:tabs>
              <w:tab w:val="right" w:leader="dot" w:pos="9350"/>
            </w:tabs>
            <w:rPr>
              <w:rFonts w:asciiTheme="minorHAnsi" w:eastAsiaTheme="minorEastAsia" w:hAnsiTheme="minorHAnsi"/>
              <w:noProof/>
            </w:rPr>
          </w:pPr>
          <w:r>
            <w:rPr>
              <w:rFonts w:cs="Times New Roman"/>
            </w:rPr>
            <w:fldChar w:fldCharType="begin"/>
          </w:r>
          <w:r w:rsidR="00EE1F9B">
            <w:rPr>
              <w:rFonts w:cs="Times New Roman"/>
            </w:rPr>
            <w:instrText xml:space="preserve"> TOC \o "1-3" \h \z \u </w:instrText>
          </w:r>
          <w:r>
            <w:rPr>
              <w:rFonts w:cs="Times New Roman"/>
            </w:rPr>
            <w:fldChar w:fldCharType="separate"/>
          </w:r>
          <w:hyperlink w:anchor="_Toc236305913" w:history="1">
            <w:r w:rsidR="00E10D55" w:rsidRPr="008355C5">
              <w:rPr>
                <w:rStyle w:val="Hyperlink"/>
                <w:rFonts w:cs="Times New Roman"/>
                <w:noProof/>
              </w:rPr>
              <w:t>Abstract</w:t>
            </w:r>
            <w:r w:rsidR="00E10D55">
              <w:rPr>
                <w:noProof/>
                <w:webHidden/>
              </w:rPr>
              <w:tab/>
            </w:r>
            <w:r>
              <w:rPr>
                <w:noProof/>
                <w:webHidden/>
              </w:rPr>
              <w:fldChar w:fldCharType="begin"/>
            </w:r>
            <w:r w:rsidR="00E10D55">
              <w:rPr>
                <w:noProof/>
                <w:webHidden/>
              </w:rPr>
              <w:instrText xml:space="preserve"> PAGEREF _Toc236305913 \h </w:instrText>
            </w:r>
            <w:r>
              <w:rPr>
                <w:noProof/>
                <w:webHidden/>
              </w:rPr>
            </w:r>
            <w:r>
              <w:rPr>
                <w:noProof/>
                <w:webHidden/>
              </w:rPr>
              <w:fldChar w:fldCharType="separate"/>
            </w:r>
            <w:r w:rsidR="00E10D55">
              <w:rPr>
                <w:noProof/>
                <w:webHidden/>
              </w:rPr>
              <w:t>i</w:t>
            </w:r>
            <w:r>
              <w:rPr>
                <w:noProof/>
                <w:webHidden/>
              </w:rPr>
              <w:fldChar w:fldCharType="end"/>
            </w:r>
          </w:hyperlink>
        </w:p>
        <w:p w:rsidR="00E10D55" w:rsidRDefault="002C1770">
          <w:pPr>
            <w:pStyle w:val="TOC1"/>
            <w:tabs>
              <w:tab w:val="right" w:leader="dot" w:pos="9350"/>
            </w:tabs>
            <w:rPr>
              <w:rFonts w:asciiTheme="minorHAnsi" w:eastAsiaTheme="minorEastAsia" w:hAnsiTheme="minorHAnsi"/>
              <w:noProof/>
            </w:rPr>
          </w:pPr>
          <w:hyperlink w:anchor="_Toc236305914" w:history="1">
            <w:r w:rsidR="00E10D55" w:rsidRPr="008355C5">
              <w:rPr>
                <w:rStyle w:val="Hyperlink"/>
                <w:rFonts w:cs="Times New Roman"/>
                <w:noProof/>
              </w:rPr>
              <w:t>List of Figures</w:t>
            </w:r>
            <w:r w:rsidR="00E10D55">
              <w:rPr>
                <w:noProof/>
                <w:webHidden/>
              </w:rPr>
              <w:tab/>
            </w:r>
            <w:r>
              <w:rPr>
                <w:noProof/>
                <w:webHidden/>
              </w:rPr>
              <w:fldChar w:fldCharType="begin"/>
            </w:r>
            <w:r w:rsidR="00E10D55">
              <w:rPr>
                <w:noProof/>
                <w:webHidden/>
              </w:rPr>
              <w:instrText xml:space="preserve"> PAGEREF _Toc236305914 \h </w:instrText>
            </w:r>
            <w:r>
              <w:rPr>
                <w:noProof/>
                <w:webHidden/>
              </w:rPr>
            </w:r>
            <w:r>
              <w:rPr>
                <w:noProof/>
                <w:webHidden/>
              </w:rPr>
              <w:fldChar w:fldCharType="separate"/>
            </w:r>
            <w:r w:rsidR="00E10D55">
              <w:rPr>
                <w:noProof/>
                <w:webHidden/>
              </w:rPr>
              <w:t>iii</w:t>
            </w:r>
            <w:r>
              <w:rPr>
                <w:noProof/>
                <w:webHidden/>
              </w:rPr>
              <w:fldChar w:fldCharType="end"/>
            </w:r>
          </w:hyperlink>
        </w:p>
        <w:p w:rsidR="00E10D55" w:rsidRDefault="002C1770">
          <w:pPr>
            <w:pStyle w:val="TOC1"/>
            <w:tabs>
              <w:tab w:val="right" w:leader="dot" w:pos="9350"/>
            </w:tabs>
            <w:rPr>
              <w:rFonts w:asciiTheme="minorHAnsi" w:eastAsiaTheme="minorEastAsia" w:hAnsiTheme="minorHAnsi"/>
              <w:noProof/>
            </w:rPr>
          </w:pPr>
          <w:hyperlink w:anchor="_Toc236305915" w:history="1">
            <w:r w:rsidR="00E10D55" w:rsidRPr="008355C5">
              <w:rPr>
                <w:rStyle w:val="Hyperlink"/>
                <w:rFonts w:cs="Times New Roman"/>
                <w:noProof/>
              </w:rPr>
              <w:t>List of Tables</w:t>
            </w:r>
            <w:r w:rsidR="00E10D55">
              <w:rPr>
                <w:noProof/>
                <w:webHidden/>
              </w:rPr>
              <w:tab/>
            </w:r>
            <w:r>
              <w:rPr>
                <w:noProof/>
                <w:webHidden/>
              </w:rPr>
              <w:fldChar w:fldCharType="begin"/>
            </w:r>
            <w:r w:rsidR="00E10D55">
              <w:rPr>
                <w:noProof/>
                <w:webHidden/>
              </w:rPr>
              <w:instrText xml:space="preserve"> PAGEREF _Toc236305915 \h </w:instrText>
            </w:r>
            <w:r>
              <w:rPr>
                <w:noProof/>
                <w:webHidden/>
              </w:rPr>
            </w:r>
            <w:r>
              <w:rPr>
                <w:noProof/>
                <w:webHidden/>
              </w:rPr>
              <w:fldChar w:fldCharType="separate"/>
            </w:r>
            <w:r w:rsidR="00E10D55">
              <w:rPr>
                <w:noProof/>
                <w:webHidden/>
              </w:rPr>
              <w:t>iv</w:t>
            </w:r>
            <w:r>
              <w:rPr>
                <w:noProof/>
                <w:webHidden/>
              </w:rPr>
              <w:fldChar w:fldCharType="end"/>
            </w:r>
          </w:hyperlink>
        </w:p>
        <w:p w:rsidR="00E10D55" w:rsidRDefault="002C1770">
          <w:pPr>
            <w:pStyle w:val="TOC1"/>
            <w:tabs>
              <w:tab w:val="right" w:leader="dot" w:pos="9350"/>
            </w:tabs>
            <w:rPr>
              <w:rFonts w:asciiTheme="minorHAnsi" w:eastAsiaTheme="minorEastAsia" w:hAnsiTheme="minorHAnsi"/>
              <w:noProof/>
            </w:rPr>
          </w:pPr>
          <w:hyperlink w:anchor="_Toc236305916" w:history="1">
            <w:r w:rsidR="00E10D55" w:rsidRPr="008355C5">
              <w:rPr>
                <w:rStyle w:val="Hyperlink"/>
                <w:rFonts w:cs="Times New Roman"/>
                <w:bCs/>
                <w:noProof/>
              </w:rPr>
              <w:t>1. Introduction</w:t>
            </w:r>
            <w:r w:rsidR="00E10D55">
              <w:rPr>
                <w:noProof/>
                <w:webHidden/>
              </w:rPr>
              <w:tab/>
            </w:r>
            <w:r>
              <w:rPr>
                <w:noProof/>
                <w:webHidden/>
              </w:rPr>
              <w:fldChar w:fldCharType="begin"/>
            </w:r>
            <w:r w:rsidR="00E10D55">
              <w:rPr>
                <w:noProof/>
                <w:webHidden/>
              </w:rPr>
              <w:instrText xml:space="preserve"> PAGEREF _Toc236305916 \h </w:instrText>
            </w:r>
            <w:r>
              <w:rPr>
                <w:noProof/>
                <w:webHidden/>
              </w:rPr>
            </w:r>
            <w:r>
              <w:rPr>
                <w:noProof/>
                <w:webHidden/>
              </w:rPr>
              <w:fldChar w:fldCharType="separate"/>
            </w:r>
            <w:r w:rsidR="00E10D55">
              <w:rPr>
                <w:noProof/>
                <w:webHidden/>
              </w:rPr>
              <w:t>1</w:t>
            </w:r>
            <w:r>
              <w:rPr>
                <w:noProof/>
                <w:webHidden/>
              </w:rPr>
              <w:fldChar w:fldCharType="end"/>
            </w:r>
          </w:hyperlink>
        </w:p>
        <w:p w:rsidR="00E10D55" w:rsidRDefault="002C1770">
          <w:pPr>
            <w:pStyle w:val="TOC1"/>
            <w:tabs>
              <w:tab w:val="right" w:leader="dot" w:pos="9350"/>
            </w:tabs>
            <w:rPr>
              <w:rFonts w:asciiTheme="minorHAnsi" w:eastAsiaTheme="minorEastAsia" w:hAnsiTheme="minorHAnsi"/>
              <w:noProof/>
            </w:rPr>
          </w:pPr>
          <w:hyperlink w:anchor="_Toc236305917" w:history="1">
            <w:r w:rsidR="00E10D55" w:rsidRPr="008355C5">
              <w:rPr>
                <w:rStyle w:val="Hyperlink"/>
                <w:rFonts w:cs="Times New Roman"/>
                <w:bCs/>
                <w:noProof/>
              </w:rPr>
              <w:t>2. Organisational context, Security Gaps and Assumptions</w:t>
            </w:r>
            <w:r w:rsidR="00E10D55">
              <w:rPr>
                <w:noProof/>
                <w:webHidden/>
              </w:rPr>
              <w:tab/>
            </w:r>
            <w:r>
              <w:rPr>
                <w:noProof/>
                <w:webHidden/>
              </w:rPr>
              <w:fldChar w:fldCharType="begin"/>
            </w:r>
            <w:r w:rsidR="00E10D55">
              <w:rPr>
                <w:noProof/>
                <w:webHidden/>
              </w:rPr>
              <w:instrText xml:space="preserve"> PAGEREF _Toc236305917 \h </w:instrText>
            </w:r>
            <w:r>
              <w:rPr>
                <w:noProof/>
                <w:webHidden/>
              </w:rPr>
            </w:r>
            <w:r>
              <w:rPr>
                <w:noProof/>
                <w:webHidden/>
              </w:rPr>
              <w:fldChar w:fldCharType="separate"/>
            </w:r>
            <w:r w:rsidR="00E10D55">
              <w:rPr>
                <w:noProof/>
                <w:webHidden/>
              </w:rPr>
              <w:t>1</w:t>
            </w:r>
            <w:r>
              <w:rPr>
                <w:noProof/>
                <w:webHidden/>
              </w:rPr>
              <w:fldChar w:fldCharType="end"/>
            </w:r>
          </w:hyperlink>
        </w:p>
        <w:p w:rsidR="00E10D55" w:rsidRDefault="002C1770">
          <w:pPr>
            <w:pStyle w:val="TOC2"/>
            <w:tabs>
              <w:tab w:val="right" w:leader="dot" w:pos="9350"/>
            </w:tabs>
            <w:rPr>
              <w:rFonts w:asciiTheme="minorHAnsi" w:eastAsiaTheme="minorEastAsia" w:hAnsiTheme="minorHAnsi"/>
              <w:noProof/>
            </w:rPr>
          </w:pPr>
          <w:hyperlink w:anchor="_Toc236305918" w:history="1">
            <w:r w:rsidR="00E10D55" w:rsidRPr="008355C5">
              <w:rPr>
                <w:rStyle w:val="Hyperlink"/>
                <w:rFonts w:cs="Times New Roman"/>
                <w:noProof/>
              </w:rPr>
              <w:t>2.1 Organisational context</w:t>
            </w:r>
            <w:r w:rsidR="00E10D55">
              <w:rPr>
                <w:noProof/>
                <w:webHidden/>
              </w:rPr>
              <w:tab/>
            </w:r>
            <w:r>
              <w:rPr>
                <w:noProof/>
                <w:webHidden/>
              </w:rPr>
              <w:fldChar w:fldCharType="begin"/>
            </w:r>
            <w:r w:rsidR="00E10D55">
              <w:rPr>
                <w:noProof/>
                <w:webHidden/>
              </w:rPr>
              <w:instrText xml:space="preserve"> PAGEREF _Toc236305918 \h </w:instrText>
            </w:r>
            <w:r>
              <w:rPr>
                <w:noProof/>
                <w:webHidden/>
              </w:rPr>
            </w:r>
            <w:r>
              <w:rPr>
                <w:noProof/>
                <w:webHidden/>
              </w:rPr>
              <w:fldChar w:fldCharType="separate"/>
            </w:r>
            <w:r w:rsidR="00E10D55">
              <w:rPr>
                <w:noProof/>
                <w:webHidden/>
              </w:rPr>
              <w:t>1</w:t>
            </w:r>
            <w:r>
              <w:rPr>
                <w:noProof/>
                <w:webHidden/>
              </w:rPr>
              <w:fldChar w:fldCharType="end"/>
            </w:r>
          </w:hyperlink>
        </w:p>
        <w:p w:rsidR="00E10D55" w:rsidRDefault="002C1770">
          <w:pPr>
            <w:pStyle w:val="TOC2"/>
            <w:tabs>
              <w:tab w:val="right" w:leader="dot" w:pos="9350"/>
            </w:tabs>
            <w:rPr>
              <w:rFonts w:asciiTheme="minorHAnsi" w:eastAsiaTheme="minorEastAsia" w:hAnsiTheme="minorHAnsi"/>
              <w:noProof/>
            </w:rPr>
          </w:pPr>
          <w:hyperlink w:anchor="_Toc236305919" w:history="1">
            <w:r w:rsidR="00E10D55" w:rsidRPr="008355C5">
              <w:rPr>
                <w:rStyle w:val="Hyperlink"/>
                <w:rFonts w:cs="Times New Roman"/>
                <w:noProof/>
              </w:rPr>
              <w:t>2.2 Security and governance gap analysis</w:t>
            </w:r>
            <w:r w:rsidR="00E10D55">
              <w:rPr>
                <w:noProof/>
                <w:webHidden/>
              </w:rPr>
              <w:tab/>
            </w:r>
            <w:r>
              <w:rPr>
                <w:noProof/>
                <w:webHidden/>
              </w:rPr>
              <w:fldChar w:fldCharType="begin"/>
            </w:r>
            <w:r w:rsidR="00E10D55">
              <w:rPr>
                <w:noProof/>
                <w:webHidden/>
              </w:rPr>
              <w:instrText xml:space="preserve"> PAGEREF _Toc236305919 \h </w:instrText>
            </w:r>
            <w:r>
              <w:rPr>
                <w:noProof/>
                <w:webHidden/>
              </w:rPr>
            </w:r>
            <w:r>
              <w:rPr>
                <w:noProof/>
                <w:webHidden/>
              </w:rPr>
              <w:fldChar w:fldCharType="separate"/>
            </w:r>
            <w:r w:rsidR="00E10D55">
              <w:rPr>
                <w:noProof/>
                <w:webHidden/>
              </w:rPr>
              <w:t>2</w:t>
            </w:r>
            <w:r>
              <w:rPr>
                <w:noProof/>
                <w:webHidden/>
              </w:rPr>
              <w:fldChar w:fldCharType="end"/>
            </w:r>
          </w:hyperlink>
        </w:p>
        <w:p w:rsidR="00E10D55" w:rsidRDefault="002C1770">
          <w:pPr>
            <w:pStyle w:val="TOC2"/>
            <w:tabs>
              <w:tab w:val="right" w:leader="dot" w:pos="9350"/>
            </w:tabs>
            <w:rPr>
              <w:rFonts w:asciiTheme="minorHAnsi" w:eastAsiaTheme="minorEastAsia" w:hAnsiTheme="minorHAnsi"/>
              <w:noProof/>
            </w:rPr>
          </w:pPr>
          <w:hyperlink w:anchor="_Toc236305920" w:history="1">
            <w:r w:rsidR="00E10D55" w:rsidRPr="008355C5">
              <w:rPr>
                <w:rStyle w:val="Hyperlink"/>
                <w:rFonts w:cs="Times New Roman"/>
                <w:noProof/>
              </w:rPr>
              <w:t>2.3 Assumptions</w:t>
            </w:r>
            <w:r w:rsidR="00E10D55">
              <w:rPr>
                <w:noProof/>
                <w:webHidden/>
              </w:rPr>
              <w:tab/>
            </w:r>
            <w:r>
              <w:rPr>
                <w:noProof/>
                <w:webHidden/>
              </w:rPr>
              <w:fldChar w:fldCharType="begin"/>
            </w:r>
            <w:r w:rsidR="00E10D55">
              <w:rPr>
                <w:noProof/>
                <w:webHidden/>
              </w:rPr>
              <w:instrText xml:space="preserve"> PAGEREF _Toc236305920 \h </w:instrText>
            </w:r>
            <w:r>
              <w:rPr>
                <w:noProof/>
                <w:webHidden/>
              </w:rPr>
            </w:r>
            <w:r>
              <w:rPr>
                <w:noProof/>
                <w:webHidden/>
              </w:rPr>
              <w:fldChar w:fldCharType="separate"/>
            </w:r>
            <w:r w:rsidR="00E10D55">
              <w:rPr>
                <w:noProof/>
                <w:webHidden/>
              </w:rPr>
              <w:t>3</w:t>
            </w:r>
            <w:r>
              <w:rPr>
                <w:noProof/>
                <w:webHidden/>
              </w:rPr>
              <w:fldChar w:fldCharType="end"/>
            </w:r>
          </w:hyperlink>
        </w:p>
        <w:p w:rsidR="00E10D55" w:rsidRDefault="002C1770">
          <w:pPr>
            <w:pStyle w:val="TOC1"/>
            <w:tabs>
              <w:tab w:val="right" w:leader="dot" w:pos="9350"/>
            </w:tabs>
            <w:rPr>
              <w:rFonts w:asciiTheme="minorHAnsi" w:eastAsiaTheme="minorEastAsia" w:hAnsiTheme="minorHAnsi"/>
              <w:noProof/>
            </w:rPr>
          </w:pPr>
          <w:hyperlink w:anchor="_Toc236305921" w:history="1">
            <w:r w:rsidR="00E10D55" w:rsidRPr="008355C5">
              <w:rPr>
                <w:rStyle w:val="Hyperlink"/>
                <w:rFonts w:cs="Times New Roman"/>
                <w:bCs/>
                <w:noProof/>
              </w:rPr>
              <w:t>3. Critical Evaluation of Security Frameworks and Models</w:t>
            </w:r>
            <w:r w:rsidR="00E10D55">
              <w:rPr>
                <w:noProof/>
                <w:webHidden/>
              </w:rPr>
              <w:tab/>
            </w:r>
            <w:r>
              <w:rPr>
                <w:noProof/>
                <w:webHidden/>
              </w:rPr>
              <w:fldChar w:fldCharType="begin"/>
            </w:r>
            <w:r w:rsidR="00E10D55">
              <w:rPr>
                <w:noProof/>
                <w:webHidden/>
              </w:rPr>
              <w:instrText xml:space="preserve"> PAGEREF _Toc236305921 \h </w:instrText>
            </w:r>
            <w:r>
              <w:rPr>
                <w:noProof/>
                <w:webHidden/>
              </w:rPr>
            </w:r>
            <w:r>
              <w:rPr>
                <w:noProof/>
                <w:webHidden/>
              </w:rPr>
              <w:fldChar w:fldCharType="separate"/>
            </w:r>
            <w:r w:rsidR="00E10D55">
              <w:rPr>
                <w:noProof/>
                <w:webHidden/>
              </w:rPr>
              <w:t>3</w:t>
            </w:r>
            <w:r>
              <w:rPr>
                <w:noProof/>
                <w:webHidden/>
              </w:rPr>
              <w:fldChar w:fldCharType="end"/>
            </w:r>
          </w:hyperlink>
        </w:p>
        <w:p w:rsidR="00E10D55" w:rsidRDefault="002C1770">
          <w:pPr>
            <w:pStyle w:val="TOC2"/>
            <w:tabs>
              <w:tab w:val="right" w:leader="dot" w:pos="9350"/>
            </w:tabs>
            <w:rPr>
              <w:rFonts w:asciiTheme="minorHAnsi" w:eastAsiaTheme="minorEastAsia" w:hAnsiTheme="minorHAnsi"/>
              <w:noProof/>
            </w:rPr>
          </w:pPr>
          <w:hyperlink w:anchor="_Toc236305922" w:history="1">
            <w:r w:rsidR="00E10D55" w:rsidRPr="008355C5">
              <w:rPr>
                <w:rStyle w:val="Hyperlink"/>
                <w:rFonts w:cs="Times New Roman"/>
                <w:noProof/>
              </w:rPr>
              <w:t>3.1 NIST Cybersecurity Framework 2.0</w:t>
            </w:r>
            <w:r w:rsidR="00E10D55">
              <w:rPr>
                <w:noProof/>
                <w:webHidden/>
              </w:rPr>
              <w:tab/>
            </w:r>
            <w:r>
              <w:rPr>
                <w:noProof/>
                <w:webHidden/>
              </w:rPr>
              <w:fldChar w:fldCharType="begin"/>
            </w:r>
            <w:r w:rsidR="00E10D55">
              <w:rPr>
                <w:noProof/>
                <w:webHidden/>
              </w:rPr>
              <w:instrText xml:space="preserve"> PAGEREF _Toc236305922 \h </w:instrText>
            </w:r>
            <w:r>
              <w:rPr>
                <w:noProof/>
                <w:webHidden/>
              </w:rPr>
            </w:r>
            <w:r>
              <w:rPr>
                <w:noProof/>
                <w:webHidden/>
              </w:rPr>
              <w:fldChar w:fldCharType="separate"/>
            </w:r>
            <w:r w:rsidR="00E10D55">
              <w:rPr>
                <w:noProof/>
                <w:webHidden/>
              </w:rPr>
              <w:t>3</w:t>
            </w:r>
            <w:r>
              <w:rPr>
                <w:noProof/>
                <w:webHidden/>
              </w:rPr>
              <w:fldChar w:fldCharType="end"/>
            </w:r>
          </w:hyperlink>
        </w:p>
        <w:p w:rsidR="00E10D55" w:rsidRDefault="002C1770">
          <w:pPr>
            <w:pStyle w:val="TOC2"/>
            <w:tabs>
              <w:tab w:val="right" w:leader="dot" w:pos="9350"/>
            </w:tabs>
            <w:rPr>
              <w:rFonts w:asciiTheme="minorHAnsi" w:eastAsiaTheme="minorEastAsia" w:hAnsiTheme="minorHAnsi"/>
              <w:noProof/>
            </w:rPr>
          </w:pPr>
          <w:hyperlink w:anchor="_Toc236305923" w:history="1">
            <w:r w:rsidR="00E10D55" w:rsidRPr="008355C5">
              <w:rPr>
                <w:rStyle w:val="Hyperlink"/>
                <w:rFonts w:cs="Times New Roman"/>
                <w:noProof/>
              </w:rPr>
              <w:t>3.2 ISO/IEC 27001 and ISO/IEC 27002</w:t>
            </w:r>
            <w:r w:rsidR="00E10D55">
              <w:rPr>
                <w:noProof/>
                <w:webHidden/>
              </w:rPr>
              <w:tab/>
            </w:r>
            <w:r>
              <w:rPr>
                <w:noProof/>
                <w:webHidden/>
              </w:rPr>
              <w:fldChar w:fldCharType="begin"/>
            </w:r>
            <w:r w:rsidR="00E10D55">
              <w:rPr>
                <w:noProof/>
                <w:webHidden/>
              </w:rPr>
              <w:instrText xml:space="preserve"> PAGEREF _Toc236305923 \h </w:instrText>
            </w:r>
            <w:r>
              <w:rPr>
                <w:noProof/>
                <w:webHidden/>
              </w:rPr>
            </w:r>
            <w:r>
              <w:rPr>
                <w:noProof/>
                <w:webHidden/>
              </w:rPr>
              <w:fldChar w:fldCharType="separate"/>
            </w:r>
            <w:r w:rsidR="00E10D55">
              <w:rPr>
                <w:noProof/>
                <w:webHidden/>
              </w:rPr>
              <w:t>3</w:t>
            </w:r>
            <w:r>
              <w:rPr>
                <w:noProof/>
                <w:webHidden/>
              </w:rPr>
              <w:fldChar w:fldCharType="end"/>
            </w:r>
          </w:hyperlink>
        </w:p>
        <w:p w:rsidR="00E10D55" w:rsidRDefault="002C1770">
          <w:pPr>
            <w:pStyle w:val="TOC2"/>
            <w:tabs>
              <w:tab w:val="right" w:leader="dot" w:pos="9350"/>
            </w:tabs>
            <w:rPr>
              <w:rFonts w:asciiTheme="minorHAnsi" w:eastAsiaTheme="minorEastAsia" w:hAnsiTheme="minorHAnsi"/>
              <w:noProof/>
            </w:rPr>
          </w:pPr>
          <w:hyperlink w:anchor="_Toc236305924" w:history="1">
            <w:r w:rsidR="00E10D55" w:rsidRPr="008355C5">
              <w:rPr>
                <w:rStyle w:val="Hyperlink"/>
                <w:rFonts w:cs="Times New Roman"/>
                <w:noProof/>
              </w:rPr>
              <w:t>3.3 COBIT 2019</w:t>
            </w:r>
            <w:r w:rsidR="00E10D55">
              <w:rPr>
                <w:noProof/>
                <w:webHidden/>
              </w:rPr>
              <w:tab/>
            </w:r>
            <w:r>
              <w:rPr>
                <w:noProof/>
                <w:webHidden/>
              </w:rPr>
              <w:fldChar w:fldCharType="begin"/>
            </w:r>
            <w:r w:rsidR="00E10D55">
              <w:rPr>
                <w:noProof/>
                <w:webHidden/>
              </w:rPr>
              <w:instrText xml:space="preserve"> PAGEREF _Toc236305924 \h </w:instrText>
            </w:r>
            <w:r>
              <w:rPr>
                <w:noProof/>
                <w:webHidden/>
              </w:rPr>
            </w:r>
            <w:r>
              <w:rPr>
                <w:noProof/>
                <w:webHidden/>
              </w:rPr>
              <w:fldChar w:fldCharType="separate"/>
            </w:r>
            <w:r w:rsidR="00E10D55">
              <w:rPr>
                <w:noProof/>
                <w:webHidden/>
              </w:rPr>
              <w:t>4</w:t>
            </w:r>
            <w:r>
              <w:rPr>
                <w:noProof/>
                <w:webHidden/>
              </w:rPr>
              <w:fldChar w:fldCharType="end"/>
            </w:r>
          </w:hyperlink>
        </w:p>
        <w:p w:rsidR="00E10D55" w:rsidRDefault="002C1770">
          <w:pPr>
            <w:pStyle w:val="TOC2"/>
            <w:tabs>
              <w:tab w:val="right" w:leader="dot" w:pos="9350"/>
            </w:tabs>
            <w:rPr>
              <w:rFonts w:asciiTheme="minorHAnsi" w:eastAsiaTheme="minorEastAsia" w:hAnsiTheme="minorHAnsi"/>
              <w:noProof/>
            </w:rPr>
          </w:pPr>
          <w:hyperlink w:anchor="_Toc236305925" w:history="1">
            <w:r w:rsidR="00E10D55" w:rsidRPr="008355C5">
              <w:rPr>
                <w:rStyle w:val="Hyperlink"/>
                <w:rFonts w:cs="Times New Roman"/>
                <w:noProof/>
              </w:rPr>
              <w:t>3.4 ITIL 4</w:t>
            </w:r>
            <w:r w:rsidR="00E10D55">
              <w:rPr>
                <w:noProof/>
                <w:webHidden/>
              </w:rPr>
              <w:tab/>
            </w:r>
            <w:r>
              <w:rPr>
                <w:noProof/>
                <w:webHidden/>
              </w:rPr>
              <w:fldChar w:fldCharType="begin"/>
            </w:r>
            <w:r w:rsidR="00E10D55">
              <w:rPr>
                <w:noProof/>
                <w:webHidden/>
              </w:rPr>
              <w:instrText xml:space="preserve"> PAGEREF _Toc236305925 \h </w:instrText>
            </w:r>
            <w:r>
              <w:rPr>
                <w:noProof/>
                <w:webHidden/>
              </w:rPr>
            </w:r>
            <w:r>
              <w:rPr>
                <w:noProof/>
                <w:webHidden/>
              </w:rPr>
              <w:fldChar w:fldCharType="separate"/>
            </w:r>
            <w:r w:rsidR="00E10D55">
              <w:rPr>
                <w:noProof/>
                <w:webHidden/>
              </w:rPr>
              <w:t>4</w:t>
            </w:r>
            <w:r>
              <w:rPr>
                <w:noProof/>
                <w:webHidden/>
              </w:rPr>
              <w:fldChar w:fldCharType="end"/>
            </w:r>
          </w:hyperlink>
        </w:p>
        <w:p w:rsidR="00E10D55" w:rsidRDefault="002C1770">
          <w:pPr>
            <w:pStyle w:val="TOC2"/>
            <w:tabs>
              <w:tab w:val="right" w:leader="dot" w:pos="9350"/>
            </w:tabs>
            <w:rPr>
              <w:rFonts w:asciiTheme="minorHAnsi" w:eastAsiaTheme="minorEastAsia" w:hAnsiTheme="minorHAnsi"/>
              <w:noProof/>
            </w:rPr>
          </w:pPr>
          <w:hyperlink w:anchor="_Toc236305926" w:history="1">
            <w:r w:rsidR="00E10D55" w:rsidRPr="008355C5">
              <w:rPr>
                <w:rStyle w:val="Hyperlink"/>
                <w:rFonts w:cs="Times New Roman"/>
                <w:noProof/>
              </w:rPr>
              <w:t>3.5 Comparative Evaluation and Framework Selection</w:t>
            </w:r>
            <w:r w:rsidR="00E10D55">
              <w:rPr>
                <w:noProof/>
                <w:webHidden/>
              </w:rPr>
              <w:tab/>
            </w:r>
            <w:r>
              <w:rPr>
                <w:noProof/>
                <w:webHidden/>
              </w:rPr>
              <w:fldChar w:fldCharType="begin"/>
            </w:r>
            <w:r w:rsidR="00E10D55">
              <w:rPr>
                <w:noProof/>
                <w:webHidden/>
              </w:rPr>
              <w:instrText xml:space="preserve"> PAGEREF _Toc236305926 \h </w:instrText>
            </w:r>
            <w:r>
              <w:rPr>
                <w:noProof/>
                <w:webHidden/>
              </w:rPr>
            </w:r>
            <w:r>
              <w:rPr>
                <w:noProof/>
                <w:webHidden/>
              </w:rPr>
              <w:fldChar w:fldCharType="separate"/>
            </w:r>
            <w:r w:rsidR="00E10D55">
              <w:rPr>
                <w:noProof/>
                <w:webHidden/>
              </w:rPr>
              <w:t>4</w:t>
            </w:r>
            <w:r>
              <w:rPr>
                <w:noProof/>
                <w:webHidden/>
              </w:rPr>
              <w:fldChar w:fldCharType="end"/>
            </w:r>
          </w:hyperlink>
        </w:p>
        <w:p w:rsidR="00E10D55" w:rsidRDefault="002C1770">
          <w:pPr>
            <w:pStyle w:val="TOC1"/>
            <w:tabs>
              <w:tab w:val="right" w:leader="dot" w:pos="9350"/>
            </w:tabs>
            <w:rPr>
              <w:rFonts w:asciiTheme="minorHAnsi" w:eastAsiaTheme="minorEastAsia" w:hAnsiTheme="minorHAnsi"/>
              <w:noProof/>
            </w:rPr>
          </w:pPr>
          <w:hyperlink w:anchor="_Toc236305927" w:history="1">
            <w:r w:rsidR="00E10D55" w:rsidRPr="008355C5">
              <w:rPr>
                <w:rStyle w:val="Hyperlink"/>
                <w:rFonts w:cs="Times New Roman"/>
                <w:bCs/>
                <w:noProof/>
              </w:rPr>
              <w:t>4. Proposed Integrated Security, Governance and Compliance Approach for AeroLink Logistics</w:t>
            </w:r>
            <w:r w:rsidR="00E10D55">
              <w:rPr>
                <w:noProof/>
                <w:webHidden/>
              </w:rPr>
              <w:tab/>
            </w:r>
            <w:r>
              <w:rPr>
                <w:noProof/>
                <w:webHidden/>
              </w:rPr>
              <w:fldChar w:fldCharType="begin"/>
            </w:r>
            <w:r w:rsidR="00E10D55">
              <w:rPr>
                <w:noProof/>
                <w:webHidden/>
              </w:rPr>
              <w:instrText xml:space="preserve"> PAGEREF _Toc236305927 \h </w:instrText>
            </w:r>
            <w:r>
              <w:rPr>
                <w:noProof/>
                <w:webHidden/>
              </w:rPr>
            </w:r>
            <w:r>
              <w:rPr>
                <w:noProof/>
                <w:webHidden/>
              </w:rPr>
              <w:fldChar w:fldCharType="separate"/>
            </w:r>
            <w:r w:rsidR="00E10D55">
              <w:rPr>
                <w:noProof/>
                <w:webHidden/>
              </w:rPr>
              <w:t>6</w:t>
            </w:r>
            <w:r>
              <w:rPr>
                <w:noProof/>
                <w:webHidden/>
              </w:rPr>
              <w:fldChar w:fldCharType="end"/>
            </w:r>
          </w:hyperlink>
        </w:p>
        <w:p w:rsidR="00E10D55" w:rsidRDefault="002C1770">
          <w:pPr>
            <w:pStyle w:val="TOC2"/>
            <w:tabs>
              <w:tab w:val="right" w:leader="dot" w:pos="9350"/>
            </w:tabs>
            <w:rPr>
              <w:rFonts w:asciiTheme="minorHAnsi" w:eastAsiaTheme="minorEastAsia" w:hAnsiTheme="minorHAnsi"/>
              <w:noProof/>
            </w:rPr>
          </w:pPr>
          <w:hyperlink w:anchor="_Toc236305928" w:history="1">
            <w:r w:rsidR="00E10D55" w:rsidRPr="008355C5">
              <w:rPr>
                <w:rStyle w:val="Hyperlink"/>
                <w:rFonts w:cs="Times New Roman"/>
                <w:noProof/>
              </w:rPr>
              <w:t>4.1 Design Principles and Architecture</w:t>
            </w:r>
            <w:r w:rsidR="00E10D55">
              <w:rPr>
                <w:noProof/>
                <w:webHidden/>
              </w:rPr>
              <w:tab/>
            </w:r>
            <w:r>
              <w:rPr>
                <w:noProof/>
                <w:webHidden/>
              </w:rPr>
              <w:fldChar w:fldCharType="begin"/>
            </w:r>
            <w:r w:rsidR="00E10D55">
              <w:rPr>
                <w:noProof/>
                <w:webHidden/>
              </w:rPr>
              <w:instrText xml:space="preserve"> PAGEREF _Toc236305928 \h </w:instrText>
            </w:r>
            <w:r>
              <w:rPr>
                <w:noProof/>
                <w:webHidden/>
              </w:rPr>
            </w:r>
            <w:r>
              <w:rPr>
                <w:noProof/>
                <w:webHidden/>
              </w:rPr>
              <w:fldChar w:fldCharType="separate"/>
            </w:r>
            <w:r w:rsidR="00E10D55">
              <w:rPr>
                <w:noProof/>
                <w:webHidden/>
              </w:rPr>
              <w:t>6</w:t>
            </w:r>
            <w:r>
              <w:rPr>
                <w:noProof/>
                <w:webHidden/>
              </w:rPr>
              <w:fldChar w:fldCharType="end"/>
            </w:r>
          </w:hyperlink>
        </w:p>
        <w:p w:rsidR="00E10D55" w:rsidRDefault="002C1770">
          <w:pPr>
            <w:pStyle w:val="TOC2"/>
            <w:tabs>
              <w:tab w:val="right" w:leader="dot" w:pos="9350"/>
            </w:tabs>
            <w:rPr>
              <w:rFonts w:asciiTheme="minorHAnsi" w:eastAsiaTheme="minorEastAsia" w:hAnsiTheme="minorHAnsi"/>
              <w:noProof/>
            </w:rPr>
          </w:pPr>
          <w:hyperlink w:anchor="_Toc236305929" w:history="1">
            <w:r w:rsidR="00E10D55" w:rsidRPr="008355C5">
              <w:rPr>
                <w:rStyle w:val="Hyperlink"/>
                <w:rFonts w:cs="Times New Roman"/>
                <w:noProof/>
              </w:rPr>
              <w:t>4.2 Governance, Risk Management and Compliance</w:t>
            </w:r>
            <w:r w:rsidR="00E10D55">
              <w:rPr>
                <w:noProof/>
                <w:webHidden/>
              </w:rPr>
              <w:tab/>
            </w:r>
            <w:r>
              <w:rPr>
                <w:noProof/>
                <w:webHidden/>
              </w:rPr>
              <w:fldChar w:fldCharType="begin"/>
            </w:r>
            <w:r w:rsidR="00E10D55">
              <w:rPr>
                <w:noProof/>
                <w:webHidden/>
              </w:rPr>
              <w:instrText xml:space="preserve"> PAGEREF _Toc236305929 \h </w:instrText>
            </w:r>
            <w:r>
              <w:rPr>
                <w:noProof/>
                <w:webHidden/>
              </w:rPr>
            </w:r>
            <w:r>
              <w:rPr>
                <w:noProof/>
                <w:webHidden/>
              </w:rPr>
              <w:fldChar w:fldCharType="separate"/>
            </w:r>
            <w:r w:rsidR="00E10D55">
              <w:rPr>
                <w:noProof/>
                <w:webHidden/>
              </w:rPr>
              <w:t>7</w:t>
            </w:r>
            <w:r>
              <w:rPr>
                <w:noProof/>
                <w:webHidden/>
              </w:rPr>
              <w:fldChar w:fldCharType="end"/>
            </w:r>
          </w:hyperlink>
        </w:p>
        <w:p w:rsidR="00E10D55" w:rsidRDefault="002C1770">
          <w:pPr>
            <w:pStyle w:val="TOC2"/>
            <w:tabs>
              <w:tab w:val="right" w:leader="dot" w:pos="9350"/>
            </w:tabs>
            <w:rPr>
              <w:rFonts w:asciiTheme="minorHAnsi" w:eastAsiaTheme="minorEastAsia" w:hAnsiTheme="minorHAnsi"/>
              <w:noProof/>
            </w:rPr>
          </w:pPr>
          <w:hyperlink w:anchor="_Toc236305930" w:history="1">
            <w:r w:rsidR="00E10D55" w:rsidRPr="008355C5">
              <w:rPr>
                <w:rStyle w:val="Hyperlink"/>
                <w:rFonts w:cs="Times New Roman"/>
                <w:noProof/>
              </w:rPr>
              <w:t>4.3 Policies, Protection Mechanisms and Access Controls</w:t>
            </w:r>
            <w:r w:rsidR="00E10D55">
              <w:rPr>
                <w:noProof/>
                <w:webHidden/>
              </w:rPr>
              <w:tab/>
            </w:r>
            <w:r>
              <w:rPr>
                <w:noProof/>
                <w:webHidden/>
              </w:rPr>
              <w:fldChar w:fldCharType="begin"/>
            </w:r>
            <w:r w:rsidR="00E10D55">
              <w:rPr>
                <w:noProof/>
                <w:webHidden/>
              </w:rPr>
              <w:instrText xml:space="preserve"> PAGEREF _Toc236305930 \h </w:instrText>
            </w:r>
            <w:r>
              <w:rPr>
                <w:noProof/>
                <w:webHidden/>
              </w:rPr>
            </w:r>
            <w:r>
              <w:rPr>
                <w:noProof/>
                <w:webHidden/>
              </w:rPr>
              <w:fldChar w:fldCharType="separate"/>
            </w:r>
            <w:r w:rsidR="00E10D55">
              <w:rPr>
                <w:noProof/>
                <w:webHidden/>
              </w:rPr>
              <w:t>9</w:t>
            </w:r>
            <w:r>
              <w:rPr>
                <w:noProof/>
                <w:webHidden/>
              </w:rPr>
              <w:fldChar w:fldCharType="end"/>
            </w:r>
          </w:hyperlink>
        </w:p>
        <w:p w:rsidR="00E10D55" w:rsidRDefault="002C1770">
          <w:pPr>
            <w:pStyle w:val="TOC2"/>
            <w:tabs>
              <w:tab w:val="right" w:leader="dot" w:pos="9350"/>
            </w:tabs>
            <w:rPr>
              <w:rFonts w:asciiTheme="minorHAnsi" w:eastAsiaTheme="minorEastAsia" w:hAnsiTheme="minorHAnsi"/>
              <w:noProof/>
            </w:rPr>
          </w:pPr>
          <w:hyperlink w:anchor="_Toc236305931" w:history="1">
            <w:r w:rsidR="00E10D55" w:rsidRPr="008355C5">
              <w:rPr>
                <w:rStyle w:val="Hyperlink"/>
                <w:rFonts w:cs="Times New Roman"/>
                <w:noProof/>
              </w:rPr>
              <w:t>4.4 Vendor Management, Incident Response and Resilience</w:t>
            </w:r>
            <w:r w:rsidR="00E10D55">
              <w:rPr>
                <w:noProof/>
                <w:webHidden/>
              </w:rPr>
              <w:tab/>
            </w:r>
            <w:r>
              <w:rPr>
                <w:noProof/>
                <w:webHidden/>
              </w:rPr>
              <w:fldChar w:fldCharType="begin"/>
            </w:r>
            <w:r w:rsidR="00E10D55">
              <w:rPr>
                <w:noProof/>
                <w:webHidden/>
              </w:rPr>
              <w:instrText xml:space="preserve"> PAGEREF _Toc236305931 \h </w:instrText>
            </w:r>
            <w:r>
              <w:rPr>
                <w:noProof/>
                <w:webHidden/>
              </w:rPr>
            </w:r>
            <w:r>
              <w:rPr>
                <w:noProof/>
                <w:webHidden/>
              </w:rPr>
              <w:fldChar w:fldCharType="separate"/>
            </w:r>
            <w:r w:rsidR="00E10D55">
              <w:rPr>
                <w:noProof/>
                <w:webHidden/>
              </w:rPr>
              <w:t>10</w:t>
            </w:r>
            <w:r>
              <w:rPr>
                <w:noProof/>
                <w:webHidden/>
              </w:rPr>
              <w:fldChar w:fldCharType="end"/>
            </w:r>
          </w:hyperlink>
        </w:p>
        <w:p w:rsidR="00E10D55" w:rsidRDefault="002C1770">
          <w:pPr>
            <w:pStyle w:val="TOC2"/>
            <w:tabs>
              <w:tab w:val="right" w:leader="dot" w:pos="9350"/>
            </w:tabs>
            <w:rPr>
              <w:rFonts w:asciiTheme="minorHAnsi" w:eastAsiaTheme="minorEastAsia" w:hAnsiTheme="minorHAnsi"/>
              <w:noProof/>
            </w:rPr>
          </w:pPr>
          <w:hyperlink w:anchor="_Toc236305932" w:history="1">
            <w:r w:rsidR="00E10D55" w:rsidRPr="008355C5">
              <w:rPr>
                <w:rStyle w:val="Hyperlink"/>
                <w:rFonts w:cs="Times New Roman"/>
                <w:noProof/>
              </w:rPr>
              <w:t>4.5 Implementation and Performance Measurement</w:t>
            </w:r>
            <w:r w:rsidR="00E10D55">
              <w:rPr>
                <w:noProof/>
                <w:webHidden/>
              </w:rPr>
              <w:tab/>
            </w:r>
            <w:r>
              <w:rPr>
                <w:noProof/>
                <w:webHidden/>
              </w:rPr>
              <w:fldChar w:fldCharType="begin"/>
            </w:r>
            <w:r w:rsidR="00E10D55">
              <w:rPr>
                <w:noProof/>
                <w:webHidden/>
              </w:rPr>
              <w:instrText xml:space="preserve"> PAGEREF _Toc236305932 \h </w:instrText>
            </w:r>
            <w:r>
              <w:rPr>
                <w:noProof/>
                <w:webHidden/>
              </w:rPr>
            </w:r>
            <w:r>
              <w:rPr>
                <w:noProof/>
                <w:webHidden/>
              </w:rPr>
              <w:fldChar w:fldCharType="separate"/>
            </w:r>
            <w:r w:rsidR="00E10D55">
              <w:rPr>
                <w:noProof/>
                <w:webHidden/>
              </w:rPr>
              <w:t>11</w:t>
            </w:r>
            <w:r>
              <w:rPr>
                <w:noProof/>
                <w:webHidden/>
              </w:rPr>
              <w:fldChar w:fldCharType="end"/>
            </w:r>
          </w:hyperlink>
        </w:p>
        <w:p w:rsidR="00E10D55" w:rsidRDefault="002C1770">
          <w:pPr>
            <w:pStyle w:val="TOC1"/>
            <w:tabs>
              <w:tab w:val="right" w:leader="dot" w:pos="9350"/>
            </w:tabs>
            <w:rPr>
              <w:rFonts w:asciiTheme="minorHAnsi" w:eastAsiaTheme="minorEastAsia" w:hAnsiTheme="minorHAnsi"/>
              <w:noProof/>
            </w:rPr>
          </w:pPr>
          <w:hyperlink w:anchor="_Toc236305933" w:history="1">
            <w:r w:rsidR="00E10D55" w:rsidRPr="008355C5">
              <w:rPr>
                <w:rStyle w:val="Hyperlink"/>
                <w:rFonts w:cs="Times New Roman"/>
                <w:bCs/>
                <w:noProof/>
              </w:rPr>
              <w:t>5. Critical Analysis of Continuous Updates to Regulations and Standards</w:t>
            </w:r>
            <w:r w:rsidR="00E10D55">
              <w:rPr>
                <w:noProof/>
                <w:webHidden/>
              </w:rPr>
              <w:tab/>
            </w:r>
            <w:r>
              <w:rPr>
                <w:noProof/>
                <w:webHidden/>
              </w:rPr>
              <w:fldChar w:fldCharType="begin"/>
            </w:r>
            <w:r w:rsidR="00E10D55">
              <w:rPr>
                <w:noProof/>
                <w:webHidden/>
              </w:rPr>
              <w:instrText xml:space="preserve"> PAGEREF _Toc236305933 \h </w:instrText>
            </w:r>
            <w:r>
              <w:rPr>
                <w:noProof/>
                <w:webHidden/>
              </w:rPr>
            </w:r>
            <w:r>
              <w:rPr>
                <w:noProof/>
                <w:webHidden/>
              </w:rPr>
              <w:fldChar w:fldCharType="separate"/>
            </w:r>
            <w:r w:rsidR="00E10D55">
              <w:rPr>
                <w:noProof/>
                <w:webHidden/>
              </w:rPr>
              <w:t>12</w:t>
            </w:r>
            <w:r>
              <w:rPr>
                <w:noProof/>
                <w:webHidden/>
              </w:rPr>
              <w:fldChar w:fldCharType="end"/>
            </w:r>
          </w:hyperlink>
        </w:p>
        <w:p w:rsidR="00E10D55" w:rsidRDefault="002C1770">
          <w:pPr>
            <w:pStyle w:val="TOC2"/>
            <w:tabs>
              <w:tab w:val="right" w:leader="dot" w:pos="9350"/>
            </w:tabs>
            <w:rPr>
              <w:rFonts w:asciiTheme="minorHAnsi" w:eastAsiaTheme="minorEastAsia" w:hAnsiTheme="minorHAnsi"/>
              <w:noProof/>
            </w:rPr>
          </w:pPr>
          <w:hyperlink w:anchor="_Toc236305934" w:history="1">
            <w:r w:rsidR="00E10D55" w:rsidRPr="008355C5">
              <w:rPr>
                <w:rStyle w:val="Hyperlink"/>
                <w:rFonts w:cs="Times New Roman"/>
                <w:noProof/>
              </w:rPr>
              <w:t>5.1 Emerging Technologies and Evolving Threats</w:t>
            </w:r>
            <w:r w:rsidR="00E10D55">
              <w:rPr>
                <w:noProof/>
                <w:webHidden/>
              </w:rPr>
              <w:tab/>
            </w:r>
            <w:r>
              <w:rPr>
                <w:noProof/>
                <w:webHidden/>
              </w:rPr>
              <w:fldChar w:fldCharType="begin"/>
            </w:r>
            <w:r w:rsidR="00E10D55">
              <w:rPr>
                <w:noProof/>
                <w:webHidden/>
              </w:rPr>
              <w:instrText xml:space="preserve"> PAGEREF _Toc236305934 \h </w:instrText>
            </w:r>
            <w:r>
              <w:rPr>
                <w:noProof/>
                <w:webHidden/>
              </w:rPr>
            </w:r>
            <w:r>
              <w:rPr>
                <w:noProof/>
                <w:webHidden/>
              </w:rPr>
              <w:fldChar w:fldCharType="separate"/>
            </w:r>
            <w:r w:rsidR="00E10D55">
              <w:rPr>
                <w:noProof/>
                <w:webHidden/>
              </w:rPr>
              <w:t>12</w:t>
            </w:r>
            <w:r>
              <w:rPr>
                <w:noProof/>
                <w:webHidden/>
              </w:rPr>
              <w:fldChar w:fldCharType="end"/>
            </w:r>
          </w:hyperlink>
        </w:p>
        <w:p w:rsidR="00E10D55" w:rsidRDefault="002C1770">
          <w:pPr>
            <w:pStyle w:val="TOC2"/>
            <w:tabs>
              <w:tab w:val="right" w:leader="dot" w:pos="9350"/>
            </w:tabs>
            <w:rPr>
              <w:rFonts w:asciiTheme="minorHAnsi" w:eastAsiaTheme="minorEastAsia" w:hAnsiTheme="minorHAnsi"/>
              <w:noProof/>
            </w:rPr>
          </w:pPr>
          <w:hyperlink w:anchor="_Toc236305935" w:history="1">
            <w:r w:rsidR="00E10D55" w:rsidRPr="008355C5">
              <w:rPr>
                <w:rStyle w:val="Hyperlink"/>
                <w:rFonts w:cs="Times New Roman"/>
                <w:noProof/>
              </w:rPr>
              <w:t>5.2 Global Compliance and Ethical Responsibilities</w:t>
            </w:r>
            <w:r w:rsidR="00E10D55">
              <w:rPr>
                <w:noProof/>
                <w:webHidden/>
              </w:rPr>
              <w:tab/>
            </w:r>
            <w:r>
              <w:rPr>
                <w:noProof/>
                <w:webHidden/>
              </w:rPr>
              <w:fldChar w:fldCharType="begin"/>
            </w:r>
            <w:r w:rsidR="00E10D55">
              <w:rPr>
                <w:noProof/>
                <w:webHidden/>
              </w:rPr>
              <w:instrText xml:space="preserve"> PAGEREF _Toc236305935 \h </w:instrText>
            </w:r>
            <w:r>
              <w:rPr>
                <w:noProof/>
                <w:webHidden/>
              </w:rPr>
            </w:r>
            <w:r>
              <w:rPr>
                <w:noProof/>
                <w:webHidden/>
              </w:rPr>
              <w:fldChar w:fldCharType="separate"/>
            </w:r>
            <w:r w:rsidR="00E10D55">
              <w:rPr>
                <w:noProof/>
                <w:webHidden/>
              </w:rPr>
              <w:t>13</w:t>
            </w:r>
            <w:r>
              <w:rPr>
                <w:noProof/>
                <w:webHidden/>
              </w:rPr>
              <w:fldChar w:fldCharType="end"/>
            </w:r>
          </w:hyperlink>
        </w:p>
        <w:p w:rsidR="00E10D55" w:rsidRDefault="002C1770">
          <w:pPr>
            <w:pStyle w:val="TOC2"/>
            <w:tabs>
              <w:tab w:val="right" w:leader="dot" w:pos="9350"/>
            </w:tabs>
            <w:rPr>
              <w:rFonts w:asciiTheme="minorHAnsi" w:eastAsiaTheme="minorEastAsia" w:hAnsiTheme="minorHAnsi"/>
              <w:noProof/>
            </w:rPr>
          </w:pPr>
          <w:hyperlink w:anchor="_Toc236305936" w:history="1">
            <w:r w:rsidR="00E10D55" w:rsidRPr="008355C5">
              <w:rPr>
                <w:rStyle w:val="Hyperlink"/>
                <w:rFonts w:cs="Times New Roman"/>
                <w:noProof/>
              </w:rPr>
              <w:t>5.3 Risk-Based Change Management</w:t>
            </w:r>
            <w:r w:rsidR="00E10D55">
              <w:rPr>
                <w:noProof/>
                <w:webHidden/>
              </w:rPr>
              <w:tab/>
            </w:r>
            <w:r>
              <w:rPr>
                <w:noProof/>
                <w:webHidden/>
              </w:rPr>
              <w:fldChar w:fldCharType="begin"/>
            </w:r>
            <w:r w:rsidR="00E10D55">
              <w:rPr>
                <w:noProof/>
                <w:webHidden/>
              </w:rPr>
              <w:instrText xml:space="preserve"> PAGEREF _Toc236305936 \h </w:instrText>
            </w:r>
            <w:r>
              <w:rPr>
                <w:noProof/>
                <w:webHidden/>
              </w:rPr>
            </w:r>
            <w:r>
              <w:rPr>
                <w:noProof/>
                <w:webHidden/>
              </w:rPr>
              <w:fldChar w:fldCharType="separate"/>
            </w:r>
            <w:r w:rsidR="00E10D55">
              <w:rPr>
                <w:noProof/>
                <w:webHidden/>
              </w:rPr>
              <w:t>13</w:t>
            </w:r>
            <w:r>
              <w:rPr>
                <w:noProof/>
                <w:webHidden/>
              </w:rPr>
              <w:fldChar w:fldCharType="end"/>
            </w:r>
          </w:hyperlink>
        </w:p>
        <w:p w:rsidR="00E10D55" w:rsidRDefault="002C1770">
          <w:pPr>
            <w:pStyle w:val="TOC1"/>
            <w:tabs>
              <w:tab w:val="right" w:leader="dot" w:pos="9350"/>
            </w:tabs>
            <w:rPr>
              <w:rFonts w:asciiTheme="minorHAnsi" w:eastAsiaTheme="minorEastAsia" w:hAnsiTheme="minorHAnsi"/>
              <w:noProof/>
            </w:rPr>
          </w:pPr>
          <w:hyperlink w:anchor="_Toc236305937" w:history="1">
            <w:r w:rsidR="00E10D55" w:rsidRPr="008355C5">
              <w:rPr>
                <w:rStyle w:val="Hyperlink"/>
                <w:rFonts w:cs="Times New Roman"/>
                <w:bCs/>
                <w:noProof/>
              </w:rPr>
              <w:t>6. Conclusion</w:t>
            </w:r>
            <w:r w:rsidR="00E10D55">
              <w:rPr>
                <w:noProof/>
                <w:webHidden/>
              </w:rPr>
              <w:tab/>
            </w:r>
            <w:r>
              <w:rPr>
                <w:noProof/>
                <w:webHidden/>
              </w:rPr>
              <w:fldChar w:fldCharType="begin"/>
            </w:r>
            <w:r w:rsidR="00E10D55">
              <w:rPr>
                <w:noProof/>
                <w:webHidden/>
              </w:rPr>
              <w:instrText xml:space="preserve"> PAGEREF _Toc236305937 \h </w:instrText>
            </w:r>
            <w:r>
              <w:rPr>
                <w:noProof/>
                <w:webHidden/>
              </w:rPr>
            </w:r>
            <w:r>
              <w:rPr>
                <w:noProof/>
                <w:webHidden/>
              </w:rPr>
              <w:fldChar w:fldCharType="separate"/>
            </w:r>
            <w:r w:rsidR="00E10D55">
              <w:rPr>
                <w:noProof/>
                <w:webHidden/>
              </w:rPr>
              <w:t>14</w:t>
            </w:r>
            <w:r>
              <w:rPr>
                <w:noProof/>
                <w:webHidden/>
              </w:rPr>
              <w:fldChar w:fldCharType="end"/>
            </w:r>
          </w:hyperlink>
        </w:p>
        <w:p w:rsidR="00E10D55" w:rsidRDefault="002C1770">
          <w:pPr>
            <w:pStyle w:val="TOC1"/>
            <w:tabs>
              <w:tab w:val="right" w:leader="dot" w:pos="9350"/>
            </w:tabs>
            <w:rPr>
              <w:rFonts w:asciiTheme="minorHAnsi" w:eastAsiaTheme="minorEastAsia" w:hAnsiTheme="minorHAnsi"/>
              <w:noProof/>
            </w:rPr>
          </w:pPr>
          <w:hyperlink w:anchor="_Toc236305938" w:history="1">
            <w:r w:rsidR="00E10D55" w:rsidRPr="008355C5">
              <w:rPr>
                <w:rStyle w:val="Hyperlink"/>
                <w:rFonts w:cs="Times New Roman"/>
                <w:bCs/>
                <w:noProof/>
              </w:rPr>
              <w:t>Reference List</w:t>
            </w:r>
            <w:r w:rsidR="00E10D55">
              <w:rPr>
                <w:noProof/>
                <w:webHidden/>
              </w:rPr>
              <w:tab/>
            </w:r>
            <w:r>
              <w:rPr>
                <w:noProof/>
                <w:webHidden/>
              </w:rPr>
              <w:fldChar w:fldCharType="begin"/>
            </w:r>
            <w:r w:rsidR="00E10D55">
              <w:rPr>
                <w:noProof/>
                <w:webHidden/>
              </w:rPr>
              <w:instrText xml:space="preserve"> PAGEREF _Toc236305938 \h </w:instrText>
            </w:r>
            <w:r>
              <w:rPr>
                <w:noProof/>
                <w:webHidden/>
              </w:rPr>
            </w:r>
            <w:r>
              <w:rPr>
                <w:noProof/>
                <w:webHidden/>
              </w:rPr>
              <w:fldChar w:fldCharType="separate"/>
            </w:r>
            <w:r w:rsidR="00E10D55">
              <w:rPr>
                <w:noProof/>
                <w:webHidden/>
              </w:rPr>
              <w:t>15</w:t>
            </w:r>
            <w:r>
              <w:rPr>
                <w:noProof/>
                <w:webHidden/>
              </w:rPr>
              <w:fldChar w:fldCharType="end"/>
            </w:r>
          </w:hyperlink>
        </w:p>
        <w:p w:rsidR="002659A0" w:rsidRPr="008E0E80" w:rsidRDefault="002C1770" w:rsidP="009760FB">
          <w:pPr>
            <w:spacing w:line="360" w:lineRule="auto"/>
            <w:rPr>
              <w:rFonts w:cs="Times New Roman"/>
              <w:b/>
              <w:bCs/>
              <w:noProof/>
            </w:rPr>
          </w:pPr>
          <w:r>
            <w:rPr>
              <w:rFonts w:cs="Times New Roman"/>
            </w:rPr>
            <w:fldChar w:fldCharType="end"/>
          </w:r>
        </w:p>
      </w:sdtContent>
    </w:sdt>
    <w:p w:rsidR="003530B8" w:rsidRPr="008E0E80" w:rsidRDefault="002659A0" w:rsidP="009760FB">
      <w:pPr>
        <w:pStyle w:val="Heading1"/>
        <w:spacing w:line="360" w:lineRule="auto"/>
        <w:rPr>
          <w:rFonts w:cs="Times New Roman"/>
          <w:noProof/>
          <w:color w:val="auto"/>
        </w:rPr>
      </w:pPr>
      <w:r w:rsidRPr="008E0E80">
        <w:rPr>
          <w:rFonts w:cs="Times New Roman"/>
          <w:noProof/>
          <w:color w:val="auto"/>
        </w:rPr>
        <w:br w:type="page"/>
      </w:r>
      <w:bookmarkStart w:id="1" w:name="_Toc236305914"/>
      <w:r w:rsidR="009417F4" w:rsidRPr="008E0E80">
        <w:rPr>
          <w:rFonts w:cs="Times New Roman"/>
          <w:color w:val="auto"/>
        </w:rPr>
        <w:lastRenderedPageBreak/>
        <w:t>List of Figures</w:t>
      </w:r>
      <w:bookmarkEnd w:id="1"/>
    </w:p>
    <w:p w:rsidR="00E10D55" w:rsidRDefault="002C1770">
      <w:pPr>
        <w:pStyle w:val="TableofFigures"/>
        <w:tabs>
          <w:tab w:val="right" w:leader="dot" w:pos="9350"/>
        </w:tabs>
        <w:rPr>
          <w:rFonts w:asciiTheme="minorHAnsi" w:eastAsiaTheme="minorEastAsia" w:hAnsiTheme="minorHAnsi"/>
          <w:noProof/>
        </w:rPr>
      </w:pPr>
      <w:r w:rsidRPr="002C1770">
        <w:rPr>
          <w:rFonts w:cs="Times New Roman"/>
          <w:b/>
          <w:bCs/>
          <w:sz w:val="32"/>
          <w:szCs w:val="32"/>
        </w:rPr>
        <w:fldChar w:fldCharType="begin"/>
      </w:r>
      <w:r w:rsidR="003530B8" w:rsidRPr="008E0E80">
        <w:rPr>
          <w:rFonts w:cs="Times New Roman"/>
          <w:b/>
          <w:bCs/>
          <w:sz w:val="32"/>
          <w:szCs w:val="32"/>
        </w:rPr>
        <w:instrText xml:space="preserve"> TOC \h \z \c "Figure" </w:instrText>
      </w:r>
      <w:r w:rsidRPr="002C1770">
        <w:rPr>
          <w:rFonts w:cs="Times New Roman"/>
          <w:b/>
          <w:bCs/>
          <w:sz w:val="32"/>
          <w:szCs w:val="32"/>
        </w:rPr>
        <w:fldChar w:fldCharType="separate"/>
      </w:r>
      <w:hyperlink w:anchor="_Toc236305939" w:history="1">
        <w:r w:rsidR="00E10D55" w:rsidRPr="007C33EF">
          <w:rPr>
            <w:rStyle w:val="Hyperlink"/>
            <w:noProof/>
          </w:rPr>
          <w:t>Figure 1: AeroLink Digital Operating Environment and Attack Surface</w:t>
        </w:r>
        <w:r w:rsidR="00E10D55">
          <w:rPr>
            <w:noProof/>
            <w:webHidden/>
          </w:rPr>
          <w:tab/>
        </w:r>
        <w:r>
          <w:rPr>
            <w:noProof/>
            <w:webHidden/>
          </w:rPr>
          <w:fldChar w:fldCharType="begin"/>
        </w:r>
        <w:r w:rsidR="00E10D55">
          <w:rPr>
            <w:noProof/>
            <w:webHidden/>
          </w:rPr>
          <w:instrText xml:space="preserve"> PAGEREF _Toc236305939 \h </w:instrText>
        </w:r>
        <w:r>
          <w:rPr>
            <w:noProof/>
            <w:webHidden/>
          </w:rPr>
        </w:r>
        <w:r>
          <w:rPr>
            <w:noProof/>
            <w:webHidden/>
          </w:rPr>
          <w:fldChar w:fldCharType="separate"/>
        </w:r>
        <w:r w:rsidR="00E10D55">
          <w:rPr>
            <w:noProof/>
            <w:webHidden/>
          </w:rPr>
          <w:t>2</w:t>
        </w:r>
        <w:r>
          <w:rPr>
            <w:noProof/>
            <w:webHidden/>
          </w:rPr>
          <w:fldChar w:fldCharType="end"/>
        </w:r>
      </w:hyperlink>
    </w:p>
    <w:p w:rsidR="00E10D55" w:rsidRDefault="002C1770">
      <w:pPr>
        <w:pStyle w:val="TableofFigures"/>
        <w:tabs>
          <w:tab w:val="right" w:leader="dot" w:pos="9350"/>
        </w:tabs>
        <w:rPr>
          <w:rFonts w:asciiTheme="minorHAnsi" w:eastAsiaTheme="minorEastAsia" w:hAnsiTheme="minorHAnsi"/>
          <w:noProof/>
        </w:rPr>
      </w:pPr>
      <w:hyperlink w:anchor="_Toc236305940" w:history="1">
        <w:r w:rsidR="00E10D55" w:rsidRPr="007C33EF">
          <w:rPr>
            <w:rStyle w:val="Hyperlink"/>
            <w:noProof/>
          </w:rPr>
          <w:t>Figure 2: AeroLink Integrated Security Governance and Compliance Model</w:t>
        </w:r>
        <w:r w:rsidR="00E10D55">
          <w:rPr>
            <w:noProof/>
            <w:webHidden/>
          </w:rPr>
          <w:tab/>
        </w:r>
        <w:r>
          <w:rPr>
            <w:noProof/>
            <w:webHidden/>
          </w:rPr>
          <w:fldChar w:fldCharType="begin"/>
        </w:r>
        <w:r w:rsidR="00E10D55">
          <w:rPr>
            <w:noProof/>
            <w:webHidden/>
          </w:rPr>
          <w:instrText xml:space="preserve"> PAGEREF _Toc236305940 \h </w:instrText>
        </w:r>
        <w:r>
          <w:rPr>
            <w:noProof/>
            <w:webHidden/>
          </w:rPr>
        </w:r>
        <w:r>
          <w:rPr>
            <w:noProof/>
            <w:webHidden/>
          </w:rPr>
          <w:fldChar w:fldCharType="separate"/>
        </w:r>
        <w:r w:rsidR="00E10D55">
          <w:rPr>
            <w:noProof/>
            <w:webHidden/>
          </w:rPr>
          <w:t>7</w:t>
        </w:r>
        <w:r>
          <w:rPr>
            <w:noProof/>
            <w:webHidden/>
          </w:rPr>
          <w:fldChar w:fldCharType="end"/>
        </w:r>
      </w:hyperlink>
    </w:p>
    <w:p w:rsidR="009417F4" w:rsidRPr="008E0E80" w:rsidRDefault="002C1770" w:rsidP="009760FB">
      <w:pPr>
        <w:spacing w:line="360" w:lineRule="auto"/>
        <w:rPr>
          <w:rFonts w:cs="Times New Roman"/>
        </w:rPr>
      </w:pPr>
      <w:r w:rsidRPr="008E0E80">
        <w:rPr>
          <w:rFonts w:cs="Times New Roman"/>
        </w:rPr>
        <w:fldChar w:fldCharType="end"/>
      </w:r>
      <w:r w:rsidR="009417F4" w:rsidRPr="008E0E80">
        <w:rPr>
          <w:rFonts w:cs="Times New Roman"/>
        </w:rPr>
        <w:br w:type="page"/>
      </w:r>
    </w:p>
    <w:p w:rsidR="00C04FFB" w:rsidRPr="008E0E80" w:rsidRDefault="009C52C4" w:rsidP="009760FB">
      <w:pPr>
        <w:pStyle w:val="Heading1"/>
        <w:spacing w:line="360" w:lineRule="auto"/>
        <w:rPr>
          <w:rFonts w:cs="Times New Roman"/>
          <w:color w:val="auto"/>
        </w:rPr>
      </w:pPr>
      <w:bookmarkStart w:id="2" w:name="_Toc236305915"/>
      <w:r w:rsidRPr="008E0E80">
        <w:rPr>
          <w:rFonts w:cs="Times New Roman"/>
          <w:color w:val="auto"/>
        </w:rPr>
        <w:lastRenderedPageBreak/>
        <w:t>List of Tables</w:t>
      </w:r>
      <w:bookmarkEnd w:id="2"/>
    </w:p>
    <w:p w:rsidR="00E10D55" w:rsidRDefault="002C1770">
      <w:pPr>
        <w:pStyle w:val="TableofFigures"/>
        <w:tabs>
          <w:tab w:val="right" w:leader="dot" w:pos="9350"/>
        </w:tabs>
        <w:rPr>
          <w:rFonts w:asciiTheme="minorHAnsi" w:eastAsiaTheme="minorEastAsia" w:hAnsiTheme="minorHAnsi"/>
          <w:noProof/>
        </w:rPr>
      </w:pPr>
      <w:r w:rsidRPr="008E0E80">
        <w:rPr>
          <w:rFonts w:cs="Times New Roman"/>
          <w:b/>
          <w:bCs/>
          <w:sz w:val="32"/>
          <w:szCs w:val="32"/>
        </w:rPr>
        <w:fldChar w:fldCharType="begin"/>
      </w:r>
      <w:r w:rsidR="00991C9A" w:rsidRPr="008E0E80">
        <w:rPr>
          <w:rFonts w:cs="Times New Roman"/>
          <w:b/>
          <w:bCs/>
          <w:sz w:val="32"/>
          <w:szCs w:val="32"/>
        </w:rPr>
        <w:instrText xml:space="preserve"> TOC \h \z \c "Table" </w:instrText>
      </w:r>
      <w:r w:rsidRPr="008E0E80">
        <w:rPr>
          <w:rFonts w:cs="Times New Roman"/>
          <w:b/>
          <w:bCs/>
          <w:sz w:val="32"/>
          <w:szCs w:val="32"/>
        </w:rPr>
        <w:fldChar w:fldCharType="separate"/>
      </w:r>
      <w:hyperlink w:anchor="_Toc236305941" w:history="1">
        <w:r w:rsidR="00E10D55" w:rsidRPr="007F5B0E">
          <w:rPr>
            <w:rStyle w:val="Hyperlink"/>
            <w:rFonts w:cs="Times New Roman"/>
            <w:noProof/>
          </w:rPr>
          <w:t>Table 1: Principal Security and Governance Gaps</w:t>
        </w:r>
        <w:r w:rsidR="00E10D55">
          <w:rPr>
            <w:noProof/>
            <w:webHidden/>
          </w:rPr>
          <w:tab/>
        </w:r>
        <w:r>
          <w:rPr>
            <w:noProof/>
            <w:webHidden/>
          </w:rPr>
          <w:fldChar w:fldCharType="begin"/>
        </w:r>
        <w:r w:rsidR="00E10D55">
          <w:rPr>
            <w:noProof/>
            <w:webHidden/>
          </w:rPr>
          <w:instrText xml:space="preserve"> PAGEREF _Toc236305941 \h </w:instrText>
        </w:r>
        <w:r>
          <w:rPr>
            <w:noProof/>
            <w:webHidden/>
          </w:rPr>
        </w:r>
        <w:r>
          <w:rPr>
            <w:noProof/>
            <w:webHidden/>
          </w:rPr>
          <w:fldChar w:fldCharType="separate"/>
        </w:r>
        <w:r w:rsidR="00E10D55">
          <w:rPr>
            <w:noProof/>
            <w:webHidden/>
          </w:rPr>
          <w:t>2</w:t>
        </w:r>
        <w:r>
          <w:rPr>
            <w:noProof/>
            <w:webHidden/>
          </w:rPr>
          <w:fldChar w:fldCharType="end"/>
        </w:r>
      </w:hyperlink>
    </w:p>
    <w:p w:rsidR="00E10D55" w:rsidRDefault="002C1770">
      <w:pPr>
        <w:pStyle w:val="TableofFigures"/>
        <w:tabs>
          <w:tab w:val="right" w:leader="dot" w:pos="9350"/>
        </w:tabs>
        <w:rPr>
          <w:rFonts w:asciiTheme="minorHAnsi" w:eastAsiaTheme="minorEastAsia" w:hAnsiTheme="minorHAnsi"/>
          <w:noProof/>
        </w:rPr>
      </w:pPr>
      <w:hyperlink w:anchor="_Toc236305942" w:history="1">
        <w:r w:rsidR="00E10D55" w:rsidRPr="007F5B0E">
          <w:rPr>
            <w:rStyle w:val="Hyperlink"/>
            <w:rFonts w:cs="Times New Roman"/>
            <w:noProof/>
          </w:rPr>
          <w:t>Table 2: Comparative Evaluation of the Selected Frameworks</w:t>
        </w:r>
        <w:r w:rsidR="00E10D55">
          <w:rPr>
            <w:noProof/>
            <w:webHidden/>
          </w:rPr>
          <w:tab/>
        </w:r>
        <w:r>
          <w:rPr>
            <w:noProof/>
            <w:webHidden/>
          </w:rPr>
          <w:fldChar w:fldCharType="begin"/>
        </w:r>
        <w:r w:rsidR="00E10D55">
          <w:rPr>
            <w:noProof/>
            <w:webHidden/>
          </w:rPr>
          <w:instrText xml:space="preserve"> PAGEREF _Toc236305942 \h </w:instrText>
        </w:r>
        <w:r>
          <w:rPr>
            <w:noProof/>
            <w:webHidden/>
          </w:rPr>
        </w:r>
        <w:r>
          <w:rPr>
            <w:noProof/>
            <w:webHidden/>
          </w:rPr>
          <w:fldChar w:fldCharType="separate"/>
        </w:r>
        <w:r w:rsidR="00E10D55">
          <w:rPr>
            <w:noProof/>
            <w:webHidden/>
          </w:rPr>
          <w:t>4</w:t>
        </w:r>
        <w:r>
          <w:rPr>
            <w:noProof/>
            <w:webHidden/>
          </w:rPr>
          <w:fldChar w:fldCharType="end"/>
        </w:r>
      </w:hyperlink>
    </w:p>
    <w:p w:rsidR="00E10D55" w:rsidRDefault="002C1770">
      <w:pPr>
        <w:pStyle w:val="TableofFigures"/>
        <w:tabs>
          <w:tab w:val="right" w:leader="dot" w:pos="9350"/>
        </w:tabs>
        <w:rPr>
          <w:rFonts w:asciiTheme="minorHAnsi" w:eastAsiaTheme="minorEastAsia" w:hAnsiTheme="minorHAnsi"/>
          <w:noProof/>
        </w:rPr>
      </w:pPr>
      <w:hyperlink w:anchor="_Toc236305943" w:history="1">
        <w:r w:rsidR="00E10D55" w:rsidRPr="007F5B0E">
          <w:rPr>
            <w:rStyle w:val="Hyperlink"/>
            <w:rFonts w:cs="Times New Roman"/>
            <w:noProof/>
          </w:rPr>
          <w:t>Table 3: Priority Risks and Integrated Treatments</w:t>
        </w:r>
        <w:r w:rsidR="00E10D55">
          <w:rPr>
            <w:noProof/>
            <w:webHidden/>
          </w:rPr>
          <w:tab/>
        </w:r>
        <w:r>
          <w:rPr>
            <w:noProof/>
            <w:webHidden/>
          </w:rPr>
          <w:fldChar w:fldCharType="begin"/>
        </w:r>
        <w:r w:rsidR="00E10D55">
          <w:rPr>
            <w:noProof/>
            <w:webHidden/>
          </w:rPr>
          <w:instrText xml:space="preserve"> PAGEREF _Toc236305943 \h </w:instrText>
        </w:r>
        <w:r>
          <w:rPr>
            <w:noProof/>
            <w:webHidden/>
          </w:rPr>
        </w:r>
        <w:r>
          <w:rPr>
            <w:noProof/>
            <w:webHidden/>
          </w:rPr>
          <w:fldChar w:fldCharType="separate"/>
        </w:r>
        <w:r w:rsidR="00E10D55">
          <w:rPr>
            <w:noProof/>
            <w:webHidden/>
          </w:rPr>
          <w:t>8</w:t>
        </w:r>
        <w:r>
          <w:rPr>
            <w:noProof/>
            <w:webHidden/>
          </w:rPr>
          <w:fldChar w:fldCharType="end"/>
        </w:r>
      </w:hyperlink>
    </w:p>
    <w:p w:rsidR="00E10D55" w:rsidRDefault="002C1770">
      <w:pPr>
        <w:pStyle w:val="TableofFigures"/>
        <w:tabs>
          <w:tab w:val="right" w:leader="dot" w:pos="9350"/>
        </w:tabs>
        <w:rPr>
          <w:rFonts w:asciiTheme="minorHAnsi" w:eastAsiaTheme="minorEastAsia" w:hAnsiTheme="minorHAnsi"/>
          <w:noProof/>
        </w:rPr>
      </w:pPr>
      <w:hyperlink w:anchor="_Toc236305944" w:history="1">
        <w:r w:rsidR="00E10D55" w:rsidRPr="007F5B0E">
          <w:rPr>
            <w:rStyle w:val="Hyperlink"/>
            <w:rFonts w:cs="Times New Roman"/>
            <w:noProof/>
          </w:rPr>
          <w:t>Table 4: Critical Supplier and SLA Requirements</w:t>
        </w:r>
        <w:r w:rsidR="00E10D55">
          <w:rPr>
            <w:noProof/>
            <w:webHidden/>
          </w:rPr>
          <w:tab/>
        </w:r>
        <w:r>
          <w:rPr>
            <w:noProof/>
            <w:webHidden/>
          </w:rPr>
          <w:fldChar w:fldCharType="begin"/>
        </w:r>
        <w:r w:rsidR="00E10D55">
          <w:rPr>
            <w:noProof/>
            <w:webHidden/>
          </w:rPr>
          <w:instrText xml:space="preserve"> PAGEREF _Toc236305944 \h </w:instrText>
        </w:r>
        <w:r>
          <w:rPr>
            <w:noProof/>
            <w:webHidden/>
          </w:rPr>
        </w:r>
        <w:r>
          <w:rPr>
            <w:noProof/>
            <w:webHidden/>
          </w:rPr>
          <w:fldChar w:fldCharType="separate"/>
        </w:r>
        <w:r w:rsidR="00E10D55">
          <w:rPr>
            <w:noProof/>
            <w:webHidden/>
          </w:rPr>
          <w:t>10</w:t>
        </w:r>
        <w:r>
          <w:rPr>
            <w:noProof/>
            <w:webHidden/>
          </w:rPr>
          <w:fldChar w:fldCharType="end"/>
        </w:r>
      </w:hyperlink>
    </w:p>
    <w:p w:rsidR="00E10D55" w:rsidRDefault="002C1770">
      <w:pPr>
        <w:pStyle w:val="TableofFigures"/>
        <w:tabs>
          <w:tab w:val="right" w:leader="dot" w:pos="9350"/>
        </w:tabs>
        <w:rPr>
          <w:rFonts w:asciiTheme="minorHAnsi" w:eastAsiaTheme="minorEastAsia" w:hAnsiTheme="minorHAnsi"/>
          <w:noProof/>
        </w:rPr>
      </w:pPr>
      <w:hyperlink w:anchor="_Toc236305945" w:history="1">
        <w:r w:rsidR="00E10D55" w:rsidRPr="007F5B0E">
          <w:rPr>
            <w:rStyle w:val="Hyperlink"/>
            <w:rFonts w:cs="Times New Roman"/>
            <w:noProof/>
          </w:rPr>
          <w:t>Table 5: Condensed Implementation Roadmap</w:t>
        </w:r>
        <w:r w:rsidR="00E10D55">
          <w:rPr>
            <w:noProof/>
            <w:webHidden/>
          </w:rPr>
          <w:tab/>
        </w:r>
        <w:r>
          <w:rPr>
            <w:noProof/>
            <w:webHidden/>
          </w:rPr>
          <w:fldChar w:fldCharType="begin"/>
        </w:r>
        <w:r w:rsidR="00E10D55">
          <w:rPr>
            <w:noProof/>
            <w:webHidden/>
          </w:rPr>
          <w:instrText xml:space="preserve"> PAGEREF _Toc236305945 \h </w:instrText>
        </w:r>
        <w:r>
          <w:rPr>
            <w:noProof/>
            <w:webHidden/>
          </w:rPr>
        </w:r>
        <w:r>
          <w:rPr>
            <w:noProof/>
            <w:webHidden/>
          </w:rPr>
          <w:fldChar w:fldCharType="separate"/>
        </w:r>
        <w:r w:rsidR="00E10D55">
          <w:rPr>
            <w:noProof/>
            <w:webHidden/>
          </w:rPr>
          <w:t>12</w:t>
        </w:r>
        <w:r>
          <w:rPr>
            <w:noProof/>
            <w:webHidden/>
          </w:rPr>
          <w:fldChar w:fldCharType="end"/>
        </w:r>
      </w:hyperlink>
    </w:p>
    <w:p w:rsidR="0036365F" w:rsidRPr="008E0E80" w:rsidRDefault="002C1770" w:rsidP="009760FB">
      <w:pPr>
        <w:spacing w:line="360" w:lineRule="auto"/>
        <w:rPr>
          <w:rFonts w:cs="Times New Roman"/>
          <w:b/>
          <w:bCs/>
          <w:sz w:val="32"/>
          <w:szCs w:val="32"/>
        </w:rPr>
      </w:pPr>
      <w:r w:rsidRPr="008E0E80">
        <w:rPr>
          <w:rFonts w:cs="Times New Roman"/>
          <w:b/>
          <w:bCs/>
          <w:sz w:val="32"/>
          <w:szCs w:val="32"/>
        </w:rPr>
        <w:fldChar w:fldCharType="end"/>
      </w:r>
    </w:p>
    <w:p w:rsidR="0036365F" w:rsidRPr="008E0E80" w:rsidRDefault="0036365F" w:rsidP="009760FB">
      <w:pPr>
        <w:spacing w:line="360" w:lineRule="auto"/>
        <w:rPr>
          <w:rFonts w:cs="Times New Roman"/>
          <w:b/>
          <w:bCs/>
          <w:sz w:val="32"/>
          <w:szCs w:val="32"/>
        </w:rPr>
      </w:pPr>
    </w:p>
    <w:p w:rsidR="0036365F" w:rsidRPr="008E0E80" w:rsidRDefault="0036365F" w:rsidP="009760FB">
      <w:pPr>
        <w:spacing w:line="360" w:lineRule="auto"/>
        <w:rPr>
          <w:rFonts w:cs="Times New Roman"/>
          <w:sz w:val="32"/>
          <w:szCs w:val="32"/>
        </w:rPr>
        <w:sectPr w:rsidR="0036365F" w:rsidRPr="008E0E80" w:rsidSect="002C32DB">
          <w:footerReference w:type="default" r:id="rId8"/>
          <w:pgSz w:w="12240" w:h="15840"/>
          <w:pgMar w:top="1440" w:right="1440" w:bottom="1440" w:left="1440" w:header="720" w:footer="720" w:gutter="0"/>
          <w:pgNumType w:fmt="lowerRoman" w:start="1"/>
          <w:cols w:space="720"/>
          <w:docGrid w:linePitch="360"/>
        </w:sectPr>
      </w:pPr>
    </w:p>
    <w:p w:rsidR="003D0890" w:rsidRPr="008E0E80" w:rsidRDefault="00D32568" w:rsidP="009760FB">
      <w:pPr>
        <w:pStyle w:val="Heading1"/>
        <w:spacing w:line="360" w:lineRule="auto"/>
        <w:rPr>
          <w:rFonts w:cs="Times New Roman"/>
          <w:b w:val="0"/>
          <w:bCs/>
          <w:color w:val="auto"/>
          <w:szCs w:val="32"/>
        </w:rPr>
      </w:pPr>
      <w:bookmarkStart w:id="3" w:name="_Toc236305916"/>
      <w:r w:rsidRPr="008E0E80">
        <w:rPr>
          <w:rFonts w:cs="Times New Roman"/>
          <w:bCs/>
          <w:color w:val="auto"/>
          <w:szCs w:val="32"/>
        </w:rPr>
        <w:lastRenderedPageBreak/>
        <w:t>1. Introduction</w:t>
      </w:r>
      <w:bookmarkEnd w:id="3"/>
    </w:p>
    <w:p w:rsidR="00F15B78" w:rsidRDefault="00B960E8" w:rsidP="00F512B2">
      <w:pPr>
        <w:spacing w:line="360" w:lineRule="auto"/>
        <w:jc w:val="both"/>
        <w:rPr>
          <w:rFonts w:cs="Times New Roman"/>
          <w:color w:val="EE0000"/>
        </w:rPr>
      </w:pPr>
      <w:r>
        <w:rPr>
          <w:rFonts w:cs="Times New Roman"/>
        </w:rPr>
        <w:t>Th</w:t>
      </w:r>
      <w:r w:rsidR="00A121A4">
        <w:rPr>
          <w:rFonts w:cs="Times New Roman"/>
        </w:rPr>
        <w:t>e</w:t>
      </w:r>
      <w:r>
        <w:rPr>
          <w:rFonts w:cs="Times New Roman"/>
        </w:rPr>
        <w:t xml:space="preserve"> d</w:t>
      </w:r>
      <w:r w:rsidR="00456464" w:rsidRPr="00456464">
        <w:rPr>
          <w:rFonts w:cs="Times New Roman"/>
        </w:rPr>
        <w:t>igital transformation has made global logistics faster, more visible and more efficient</w:t>
      </w:r>
      <w:r w:rsidR="00DF2016">
        <w:rPr>
          <w:rFonts w:cs="Times New Roman"/>
        </w:rPr>
        <w:t xml:space="preserve"> than before</w:t>
      </w:r>
      <w:r w:rsidR="00456464" w:rsidRPr="00456464">
        <w:rPr>
          <w:rFonts w:cs="Times New Roman"/>
        </w:rPr>
        <w:t xml:space="preserve">, but it has also increased dependence on external cloud platforms, </w:t>
      </w:r>
      <w:proofErr w:type="spellStart"/>
      <w:r w:rsidR="00456464" w:rsidRPr="00456464">
        <w:rPr>
          <w:rFonts w:cs="Times New Roman"/>
        </w:rPr>
        <w:t>IoT</w:t>
      </w:r>
      <w:proofErr w:type="spellEnd"/>
      <w:r w:rsidR="00456464" w:rsidRPr="00456464">
        <w:rPr>
          <w:rFonts w:cs="Times New Roman"/>
        </w:rPr>
        <w:t xml:space="preserve"> devices and remotely accessed systems</w:t>
      </w:r>
      <w:r w:rsidR="008974B4">
        <w:rPr>
          <w:rFonts w:cs="Times New Roman"/>
        </w:rPr>
        <w:t xml:space="preserve"> that make data</w:t>
      </w:r>
      <w:r w:rsidR="00456464" w:rsidRPr="00456464">
        <w:rPr>
          <w:rFonts w:cs="Times New Roman"/>
        </w:rPr>
        <w:t xml:space="preserve"> distribut</w:t>
      </w:r>
      <w:r w:rsidR="008974B4">
        <w:rPr>
          <w:rFonts w:cs="Times New Roman"/>
        </w:rPr>
        <w:t xml:space="preserve">ion </w:t>
      </w:r>
      <w:r w:rsidR="00456464" w:rsidRPr="00456464">
        <w:rPr>
          <w:rFonts w:cs="Times New Roman"/>
        </w:rPr>
        <w:t xml:space="preserve">and security responsibilities beyond traditional </w:t>
      </w:r>
      <w:proofErr w:type="spellStart"/>
      <w:r w:rsidR="00456464" w:rsidRPr="00456464">
        <w:rPr>
          <w:rFonts w:cs="Times New Roman"/>
        </w:rPr>
        <w:t>organisational</w:t>
      </w:r>
      <w:proofErr w:type="spellEnd"/>
      <w:r w:rsidR="00456464" w:rsidRPr="00456464">
        <w:rPr>
          <w:rFonts w:cs="Times New Roman"/>
        </w:rPr>
        <w:t xml:space="preserve"> boundaries.</w:t>
      </w:r>
      <w:r w:rsidR="00456464">
        <w:rPr>
          <w:rFonts w:cs="Times New Roman"/>
        </w:rPr>
        <w:t xml:space="preserve"> </w:t>
      </w:r>
      <w:r w:rsidR="00F15B78" w:rsidRPr="008176A7">
        <w:rPr>
          <w:rFonts w:cs="Times New Roman"/>
        </w:rPr>
        <w:t>The involvement of third parties in breaches has risen to 30% in Verizon's 2025 Data Breach Investigations Report, highlighting the increasing importance of supply-chain and service provider exposure</w:t>
      </w:r>
      <w:r w:rsidR="008176A7">
        <w:rPr>
          <w:rFonts w:cs="Times New Roman"/>
        </w:rPr>
        <w:t xml:space="preserve"> </w:t>
      </w:r>
      <w:r w:rsidR="002C1770">
        <w:rPr>
          <w:rFonts w:cs="Times New Roman"/>
        </w:rPr>
        <w:fldChar w:fldCharType="begin" w:fldLock="1"/>
      </w:r>
      <w:r w:rsidR="008176A7">
        <w:rPr>
          <w:rFonts w:cs="Times New Roman"/>
        </w:rPr>
        <w:instrText>ADDIN CSL_CITATION {"citationItems":[{"id":"ITEM-1","itemData":{"ISSN":"13272020","abstract":"Cybersecurity constitutes a major concern for corporations. Given the disciplinary barriers that fragment existing research on cybersecurity, we conduct a systemic review of 203 empirical studies on the determinants and consequences of corporate cybersecurity risk across 12 disciplines. By consolidating multidisciplinary research, we develop a novel framework mapping the inter-relationships between the drivers of cybersecurity risk, impacts of cyberattacks, and potential feedback mechanisms enabling firms to learn from breaches to improve cybersecurity outcomes. We provide a taxonomy of both cybersecurity risk factors and impacts of cybersecurity breaches. Our study provides valuable insights to executives, investors, and regulators by enhancing risk awareness and enabling industry practitioners and policymakers to harness the power of academic research to strengthen corporate cybersecurity resilience.","author":[{"dropping-particle":"","family":"Liu","given":"Chelsea","non-dropping-particle":"","parse-names":false,"suffix":""},{"dropping-particle":"","family":"Babar","given":"Muhammad Ali","non-dropping-particle":"","parse-names":false,"suffix":""}],"container-title":"Australian Journal of Management","id":"ITEM-1","issue":"1","issued":{"date-parts":[["2026","2","1"]]},"page":"62-92","publisher":"SAGE Publications Ltd","title":"Corporate cybersecurity risk and data breaches: A systematic review of empirical research","type":"article-journal","volume":"51"},"uris":["http://www.mendeley.com/documents/?uuid=c59f4c9c-3ca7-3cfd-9af2-2989dcf9a27b"]}],"mendeley":{"formattedCitation":"(Liu and Babar, 2026)","plainTextFormattedCitation":"(Liu and Babar, 2026)","previouslyFormattedCitation":"(Liu and Babar, 2026)"},"properties":{"noteIndex":0},"schema":"https://github.com/citation-style-language/schema/raw/master/csl-citation.json"}</w:instrText>
      </w:r>
      <w:r w:rsidR="002C1770">
        <w:rPr>
          <w:rFonts w:cs="Times New Roman"/>
        </w:rPr>
        <w:fldChar w:fldCharType="separate"/>
      </w:r>
      <w:r w:rsidR="008176A7" w:rsidRPr="008176A7">
        <w:rPr>
          <w:rFonts w:cs="Times New Roman"/>
          <w:noProof/>
        </w:rPr>
        <w:t>(Liu and Babar, 2026)</w:t>
      </w:r>
      <w:r w:rsidR="002C1770">
        <w:rPr>
          <w:rFonts w:cs="Times New Roman"/>
        </w:rPr>
        <w:fldChar w:fldCharType="end"/>
      </w:r>
      <w:r w:rsidR="00F15B78" w:rsidRPr="008176A7">
        <w:rPr>
          <w:rFonts w:cs="Times New Roman"/>
        </w:rPr>
        <w:t>.</w:t>
      </w:r>
    </w:p>
    <w:p w:rsidR="001120D2" w:rsidRPr="00633B72" w:rsidRDefault="001120D2" w:rsidP="00F512B2">
      <w:pPr>
        <w:spacing w:line="360" w:lineRule="auto"/>
        <w:jc w:val="both"/>
        <w:rPr>
          <w:rFonts w:cs="Times New Roman"/>
        </w:rPr>
      </w:pPr>
      <w:r w:rsidRPr="001120D2">
        <w:rPr>
          <w:rFonts w:cs="Times New Roman"/>
        </w:rPr>
        <w:t xml:space="preserve">This risk environment is reflected in </w:t>
      </w:r>
      <w:proofErr w:type="spellStart"/>
      <w:r w:rsidRPr="001120D2">
        <w:rPr>
          <w:rFonts w:cs="Times New Roman"/>
        </w:rPr>
        <w:t>AeroLink</w:t>
      </w:r>
      <w:proofErr w:type="spellEnd"/>
      <w:r w:rsidRPr="001120D2">
        <w:rPr>
          <w:rFonts w:cs="Times New Roman"/>
        </w:rPr>
        <w:t xml:space="preserve"> Logistics. Its IT infrastructure is mostly outsourced with </w:t>
      </w:r>
      <w:proofErr w:type="spellStart"/>
      <w:r w:rsidRPr="001120D2">
        <w:rPr>
          <w:rFonts w:cs="Times New Roman"/>
        </w:rPr>
        <w:t>IaaS</w:t>
      </w:r>
      <w:proofErr w:type="spellEnd"/>
      <w:r w:rsidRPr="001120D2">
        <w:rPr>
          <w:rFonts w:cs="Times New Roman"/>
        </w:rPr>
        <w:t xml:space="preserve"> and </w:t>
      </w:r>
      <w:proofErr w:type="spellStart"/>
      <w:r w:rsidRPr="001120D2">
        <w:rPr>
          <w:rFonts w:cs="Times New Roman"/>
        </w:rPr>
        <w:t>SaaS</w:t>
      </w:r>
      <w:proofErr w:type="spellEnd"/>
      <w:r w:rsidRPr="001120D2">
        <w:rPr>
          <w:rFonts w:cs="Times New Roman"/>
        </w:rPr>
        <w:t xml:space="preserve"> solutions and its employees, suppliers and partners rely on internal resources from unmanaged devices. Unauthorized access to shipment information and customer personally identifiable information has been experienced by the </w:t>
      </w:r>
      <w:proofErr w:type="spellStart"/>
      <w:r w:rsidRPr="001120D2">
        <w:rPr>
          <w:rFonts w:cs="Times New Roman"/>
        </w:rPr>
        <w:t>organisation</w:t>
      </w:r>
      <w:proofErr w:type="spellEnd"/>
      <w:r w:rsidRPr="001120D2">
        <w:rPr>
          <w:rFonts w:cs="Times New Roman"/>
        </w:rPr>
        <w:t xml:space="preserve">, but the </w:t>
      </w:r>
      <w:proofErr w:type="spellStart"/>
      <w:r w:rsidRPr="001120D2">
        <w:rPr>
          <w:rFonts w:cs="Times New Roman"/>
        </w:rPr>
        <w:t>organisation</w:t>
      </w:r>
      <w:proofErr w:type="spellEnd"/>
      <w:r w:rsidRPr="001120D2">
        <w:rPr>
          <w:rFonts w:cs="Times New Roman"/>
        </w:rPr>
        <w:t xml:space="preserve"> does not have a single security structure, central risk process, formal compliance auditing and </w:t>
      </w:r>
      <w:proofErr w:type="spellStart"/>
      <w:r w:rsidRPr="001120D2">
        <w:rPr>
          <w:rFonts w:cs="Times New Roman"/>
        </w:rPr>
        <w:t>formalised</w:t>
      </w:r>
      <w:proofErr w:type="spellEnd"/>
      <w:r w:rsidRPr="001120D2">
        <w:rPr>
          <w:rFonts w:cs="Times New Roman"/>
        </w:rPr>
        <w:t xml:space="preserve"> security responsibilities.</w:t>
      </w:r>
    </w:p>
    <w:p w:rsidR="00F15B78" w:rsidRPr="00633B72" w:rsidRDefault="00B84DCC" w:rsidP="009760FB">
      <w:pPr>
        <w:spacing w:line="360" w:lineRule="auto"/>
        <w:jc w:val="both"/>
        <w:rPr>
          <w:rFonts w:cs="Times New Roman"/>
        </w:rPr>
      </w:pPr>
      <w:r w:rsidRPr="008D6437">
        <w:rPr>
          <w:rFonts w:cs="Times New Roman"/>
        </w:rPr>
        <w:t xml:space="preserve">These weaknesses require an </w:t>
      </w:r>
      <w:proofErr w:type="spellStart"/>
      <w:r w:rsidRPr="008D6437">
        <w:rPr>
          <w:rFonts w:cs="Times New Roman"/>
        </w:rPr>
        <w:t>organisational</w:t>
      </w:r>
      <w:proofErr w:type="spellEnd"/>
      <w:r w:rsidRPr="008D6437">
        <w:rPr>
          <w:rFonts w:cs="Times New Roman"/>
        </w:rPr>
        <w:t xml:space="preserve"> response rather than isolated technical measures. NIST CSF 2.0 supports this approach by placing Govern alongside Identify, Protect, Detect, Respond and Recover, linking </w:t>
      </w:r>
      <w:proofErr w:type="spellStart"/>
      <w:r w:rsidRPr="008D6437">
        <w:rPr>
          <w:rFonts w:cs="Times New Roman"/>
        </w:rPr>
        <w:t>cybersecurity</w:t>
      </w:r>
      <w:proofErr w:type="spellEnd"/>
      <w:r w:rsidRPr="008D6437">
        <w:rPr>
          <w:rFonts w:cs="Times New Roman"/>
        </w:rPr>
        <w:t xml:space="preserve"> with leadership, accountability and enterprise risk. This </w:t>
      </w:r>
      <w:r w:rsidRPr="00B84DCC">
        <w:rPr>
          <w:rFonts w:cs="Times New Roman"/>
        </w:rPr>
        <w:t xml:space="preserve">report therefore evaluates NIST CSF 2.0, ISO/IEC 27001 and 27002, COBIT 2019 and ITIL 4 before combining their complementary strengths into an integrated approach for </w:t>
      </w:r>
      <w:proofErr w:type="spellStart"/>
      <w:r w:rsidRPr="00B84DCC">
        <w:rPr>
          <w:rFonts w:cs="Times New Roman"/>
        </w:rPr>
        <w:t>AeroLink</w:t>
      </w:r>
      <w:proofErr w:type="spellEnd"/>
      <w:r w:rsidRPr="00B84DCC">
        <w:rPr>
          <w:rFonts w:cs="Times New Roman"/>
        </w:rPr>
        <w:t>.</w:t>
      </w:r>
      <w:r>
        <w:rPr>
          <w:rFonts w:cs="Times New Roman"/>
        </w:rPr>
        <w:t xml:space="preserve"> </w:t>
      </w:r>
      <w:r w:rsidR="00F15B78" w:rsidRPr="00633B72">
        <w:rPr>
          <w:rFonts w:cs="Times New Roman"/>
        </w:rPr>
        <w:t xml:space="preserve">The proposed model covers governance, compliance, risk, access control, supplier assurance, </w:t>
      </w:r>
      <w:proofErr w:type="gramStart"/>
      <w:r w:rsidR="00F15B78" w:rsidRPr="00633B72">
        <w:rPr>
          <w:rFonts w:cs="Times New Roman"/>
        </w:rPr>
        <w:t>incident</w:t>
      </w:r>
      <w:proofErr w:type="gramEnd"/>
      <w:r w:rsidR="00F15B78" w:rsidRPr="00633B72">
        <w:rPr>
          <w:rFonts w:cs="Times New Roman"/>
        </w:rPr>
        <w:t xml:space="preserve"> response and business continuity and highlights the need for regulatory and standards-based requirements to be continually updated.</w:t>
      </w:r>
    </w:p>
    <w:p w:rsidR="003D0890" w:rsidRPr="008E0E80" w:rsidRDefault="003D0890" w:rsidP="009760FB">
      <w:pPr>
        <w:pStyle w:val="Heading1"/>
        <w:spacing w:line="360" w:lineRule="auto"/>
        <w:rPr>
          <w:rFonts w:cs="Times New Roman"/>
          <w:b w:val="0"/>
          <w:bCs/>
          <w:color w:val="auto"/>
          <w:szCs w:val="32"/>
        </w:rPr>
      </w:pPr>
      <w:bookmarkStart w:id="4" w:name="_Toc236305917"/>
      <w:r w:rsidRPr="008E0E80">
        <w:rPr>
          <w:rFonts w:cs="Times New Roman"/>
          <w:bCs/>
          <w:color w:val="auto"/>
          <w:szCs w:val="32"/>
        </w:rPr>
        <w:t xml:space="preserve">2. </w:t>
      </w:r>
      <w:proofErr w:type="spellStart"/>
      <w:r w:rsidRPr="008E0E80">
        <w:rPr>
          <w:rFonts w:cs="Times New Roman"/>
          <w:bCs/>
          <w:color w:val="auto"/>
          <w:szCs w:val="32"/>
        </w:rPr>
        <w:t>Organisational</w:t>
      </w:r>
      <w:proofErr w:type="spellEnd"/>
      <w:r w:rsidRPr="008E0E80">
        <w:rPr>
          <w:rFonts w:cs="Times New Roman"/>
          <w:bCs/>
          <w:color w:val="auto"/>
          <w:szCs w:val="32"/>
        </w:rPr>
        <w:t xml:space="preserve"> context, </w:t>
      </w:r>
      <w:r w:rsidR="004E21C2" w:rsidRPr="008E0E80">
        <w:rPr>
          <w:rFonts w:cs="Times New Roman"/>
          <w:bCs/>
          <w:color w:val="auto"/>
          <w:szCs w:val="32"/>
        </w:rPr>
        <w:t>Security Gaps and A</w:t>
      </w:r>
      <w:r w:rsidRPr="008E0E80">
        <w:rPr>
          <w:rFonts w:cs="Times New Roman"/>
          <w:bCs/>
          <w:color w:val="auto"/>
          <w:szCs w:val="32"/>
        </w:rPr>
        <w:t>ssumptions</w:t>
      </w:r>
      <w:bookmarkEnd w:id="4"/>
    </w:p>
    <w:p w:rsidR="003E1344" w:rsidRPr="008E0E80" w:rsidRDefault="003E1344" w:rsidP="009760FB">
      <w:pPr>
        <w:pStyle w:val="Heading2"/>
        <w:spacing w:line="360" w:lineRule="auto"/>
        <w:rPr>
          <w:rFonts w:cs="Times New Roman"/>
          <w:color w:val="auto"/>
        </w:rPr>
      </w:pPr>
      <w:bookmarkStart w:id="5" w:name="_Toc236305918"/>
      <w:r w:rsidRPr="008E0E80">
        <w:rPr>
          <w:rFonts w:cs="Times New Roman"/>
          <w:color w:val="auto"/>
        </w:rPr>
        <w:t xml:space="preserve">2.1 </w:t>
      </w:r>
      <w:proofErr w:type="spellStart"/>
      <w:r w:rsidRPr="008E0E80">
        <w:rPr>
          <w:rFonts w:cs="Times New Roman"/>
          <w:color w:val="auto"/>
        </w:rPr>
        <w:t>Organisational</w:t>
      </w:r>
      <w:proofErr w:type="spellEnd"/>
      <w:r w:rsidRPr="008E0E80">
        <w:rPr>
          <w:rFonts w:cs="Times New Roman"/>
          <w:color w:val="auto"/>
        </w:rPr>
        <w:t xml:space="preserve"> context</w:t>
      </w:r>
      <w:bookmarkEnd w:id="5"/>
    </w:p>
    <w:p w:rsidR="00FB0C89" w:rsidRPr="004E2CF6" w:rsidRDefault="00C34EA9" w:rsidP="00FB0C89">
      <w:pPr>
        <w:spacing w:line="360" w:lineRule="auto"/>
        <w:jc w:val="both"/>
        <w:rPr>
          <w:rFonts w:cs="Times New Roman"/>
        </w:rPr>
      </w:pPr>
      <w:r w:rsidRPr="00C34EA9">
        <w:rPr>
          <w:rFonts w:cs="Times New Roman"/>
        </w:rPr>
        <w:t xml:space="preserve">Employees and external partners, including users working from unmanaged devices, connect to </w:t>
      </w:r>
      <w:proofErr w:type="spellStart"/>
      <w:r w:rsidRPr="00C34EA9">
        <w:rPr>
          <w:rFonts w:cs="Times New Roman"/>
        </w:rPr>
        <w:t>AeroLink’s</w:t>
      </w:r>
      <w:proofErr w:type="spellEnd"/>
      <w:r w:rsidRPr="00C34EA9">
        <w:rPr>
          <w:rFonts w:cs="Times New Roman"/>
        </w:rPr>
        <w:t xml:space="preserve"> cloud-, </w:t>
      </w:r>
      <w:proofErr w:type="spellStart"/>
      <w:r w:rsidRPr="00C34EA9">
        <w:rPr>
          <w:rFonts w:cs="Times New Roman"/>
        </w:rPr>
        <w:t>IoT</w:t>
      </w:r>
      <w:proofErr w:type="spellEnd"/>
      <w:r w:rsidRPr="00C34EA9">
        <w:rPr>
          <w:rFonts w:cs="Times New Roman"/>
        </w:rPr>
        <w:t xml:space="preserve">- and AI-enabled logistics environment. With about 88% of its infrastructure outsourced, previous </w:t>
      </w:r>
      <w:proofErr w:type="spellStart"/>
      <w:r w:rsidRPr="00C34EA9">
        <w:rPr>
          <w:rFonts w:cs="Times New Roman"/>
        </w:rPr>
        <w:t>unauthorised</w:t>
      </w:r>
      <w:proofErr w:type="spellEnd"/>
      <w:r w:rsidRPr="00C34EA9">
        <w:rPr>
          <w:rFonts w:cs="Times New Roman"/>
        </w:rPr>
        <w:t xml:space="preserve"> access to shipment information and customer PII indicates material security, continuity and compliance exposure.</w:t>
      </w:r>
    </w:p>
    <w:p w:rsidR="00FE52BF" w:rsidRPr="008E0E80" w:rsidRDefault="00566CBF" w:rsidP="00FB0C89">
      <w:pPr>
        <w:spacing w:line="360" w:lineRule="auto"/>
        <w:jc w:val="both"/>
        <w:rPr>
          <w:rFonts w:cs="Times New Roman"/>
        </w:rPr>
      </w:pPr>
      <w:r w:rsidRPr="008E0E80">
        <w:rPr>
          <w:rFonts w:cs="Times New Roman"/>
          <w:noProof/>
        </w:rPr>
        <w:lastRenderedPageBreak/>
        <w:drawing>
          <wp:inline distT="0" distB="0" distL="0" distR="0">
            <wp:extent cx="5943600" cy="4205605"/>
            <wp:effectExtent l="0" t="0" r="0" b="4445"/>
            <wp:docPr id="9090968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096812" name="Picture 909096812"/>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4205605"/>
                    </a:xfrm>
                    <a:prstGeom prst="rect">
                      <a:avLst/>
                    </a:prstGeom>
                  </pic:spPr>
                </pic:pic>
              </a:graphicData>
            </a:graphic>
          </wp:inline>
        </w:drawing>
      </w:r>
    </w:p>
    <w:p w:rsidR="00AD6790" w:rsidRPr="008E0E80" w:rsidRDefault="00AD6790" w:rsidP="009760FB">
      <w:pPr>
        <w:pStyle w:val="Figure"/>
      </w:pPr>
      <w:bookmarkStart w:id="6" w:name="_Toc236305939"/>
      <w:r w:rsidRPr="008E0E80">
        <w:t xml:space="preserve">Figure </w:t>
      </w:r>
      <w:r w:rsidR="002C1770">
        <w:fldChar w:fldCharType="begin"/>
      </w:r>
      <w:r w:rsidR="00273D34">
        <w:instrText xml:space="preserve"> SEQ Figure \* ARABIC </w:instrText>
      </w:r>
      <w:r w:rsidR="002C1770">
        <w:fldChar w:fldCharType="separate"/>
      </w:r>
      <w:r w:rsidR="00273D34" w:rsidRPr="008E0E80">
        <w:t>1</w:t>
      </w:r>
      <w:r w:rsidR="002C1770">
        <w:fldChar w:fldCharType="end"/>
      </w:r>
      <w:r w:rsidRPr="008E0E80">
        <w:t xml:space="preserve">: </w:t>
      </w:r>
      <w:proofErr w:type="spellStart"/>
      <w:r w:rsidRPr="008E0E80">
        <w:t>AeroLink</w:t>
      </w:r>
      <w:proofErr w:type="spellEnd"/>
      <w:r w:rsidRPr="008E0E80">
        <w:t xml:space="preserve"> Digital Operating Environment and Attack Surface</w:t>
      </w:r>
      <w:bookmarkEnd w:id="6"/>
    </w:p>
    <w:p w:rsidR="003407B8" w:rsidRPr="008E0E80" w:rsidRDefault="003407B8" w:rsidP="009760FB">
      <w:pPr>
        <w:pStyle w:val="Heading2"/>
        <w:spacing w:line="360" w:lineRule="auto"/>
        <w:rPr>
          <w:rFonts w:cs="Times New Roman"/>
          <w:color w:val="auto"/>
        </w:rPr>
      </w:pPr>
      <w:bookmarkStart w:id="7" w:name="_Toc236305919"/>
      <w:r w:rsidRPr="008E0E80">
        <w:rPr>
          <w:rFonts w:cs="Times New Roman"/>
          <w:color w:val="auto"/>
        </w:rPr>
        <w:t>2.2 Security and governance gap analysis</w:t>
      </w:r>
      <w:bookmarkEnd w:id="7"/>
    </w:p>
    <w:p w:rsidR="004038D3" w:rsidRPr="006C4CE4" w:rsidRDefault="00AE1FDC" w:rsidP="009760FB">
      <w:pPr>
        <w:spacing w:line="360" w:lineRule="auto"/>
        <w:jc w:val="both"/>
        <w:rPr>
          <w:rFonts w:cs="Times New Roman"/>
        </w:rPr>
      </w:pPr>
      <w:r w:rsidRPr="00AE1FDC">
        <w:rPr>
          <w:rFonts w:cs="Times New Roman"/>
        </w:rPr>
        <w:t xml:space="preserve">Technical controls are only one part of </w:t>
      </w:r>
      <w:proofErr w:type="spellStart"/>
      <w:r w:rsidRPr="00AE1FDC">
        <w:rPr>
          <w:rFonts w:cs="Times New Roman"/>
        </w:rPr>
        <w:t>AeroLink’s</w:t>
      </w:r>
      <w:proofErr w:type="spellEnd"/>
      <w:r w:rsidRPr="00AE1FDC">
        <w:rPr>
          <w:rFonts w:cs="Times New Roman"/>
        </w:rPr>
        <w:t xml:space="preserve"> wider security problem</w:t>
      </w:r>
      <w:r>
        <w:rPr>
          <w:rFonts w:cs="Times New Roman"/>
        </w:rPr>
        <w:t xml:space="preserve">. </w:t>
      </w:r>
      <w:r w:rsidR="00616B53" w:rsidRPr="00616B53">
        <w:rPr>
          <w:rFonts w:cs="Times New Roman"/>
        </w:rPr>
        <w:t>It lacks formal compliance assurance, clear risk ownership, mature supplier oversight and clearly assigned security responsibilities. Consequently, controls may be applied inconsistently, critical vendors may not be monitored adequately, and incidents may be handled without timely legal, operational or executive coordination.</w:t>
      </w:r>
    </w:p>
    <w:p w:rsidR="003407B8" w:rsidRDefault="001015E1" w:rsidP="00602226">
      <w:pPr>
        <w:pStyle w:val="Caption"/>
        <w:spacing w:line="360" w:lineRule="auto"/>
        <w:rPr>
          <w:rFonts w:cs="Times New Roman"/>
          <w:color w:val="auto"/>
        </w:rPr>
      </w:pPr>
      <w:bookmarkStart w:id="8" w:name="_Toc236305941"/>
      <w:r w:rsidRPr="008E0E80">
        <w:rPr>
          <w:rFonts w:cs="Times New Roman"/>
          <w:color w:val="auto"/>
        </w:rPr>
        <w:t xml:space="preserve">Table </w:t>
      </w:r>
      <w:r w:rsidR="002C1770" w:rsidRPr="008E0E80">
        <w:rPr>
          <w:rFonts w:cs="Times New Roman"/>
          <w:color w:val="auto"/>
        </w:rPr>
        <w:fldChar w:fldCharType="begin"/>
      </w:r>
      <w:r w:rsidRPr="008E0E80">
        <w:rPr>
          <w:rFonts w:cs="Times New Roman"/>
          <w:color w:val="auto"/>
        </w:rPr>
        <w:instrText xml:space="preserve"> SEQ Table \* ARABIC </w:instrText>
      </w:r>
      <w:r w:rsidR="002C1770" w:rsidRPr="008E0E80">
        <w:rPr>
          <w:rFonts w:cs="Times New Roman"/>
          <w:color w:val="auto"/>
        </w:rPr>
        <w:fldChar w:fldCharType="separate"/>
      </w:r>
      <w:r w:rsidR="00847767" w:rsidRPr="008E0E80">
        <w:rPr>
          <w:rFonts w:cs="Times New Roman"/>
          <w:color w:val="auto"/>
        </w:rPr>
        <w:t>1</w:t>
      </w:r>
      <w:r w:rsidR="002C1770" w:rsidRPr="008E0E80">
        <w:rPr>
          <w:rFonts w:cs="Times New Roman"/>
          <w:color w:val="auto"/>
        </w:rPr>
        <w:fldChar w:fldCharType="end"/>
      </w:r>
      <w:r w:rsidRPr="008E0E80">
        <w:rPr>
          <w:rFonts w:cs="Times New Roman"/>
          <w:color w:val="auto"/>
        </w:rPr>
        <w:t xml:space="preserve">: </w:t>
      </w:r>
      <w:r w:rsidR="00CE770F" w:rsidRPr="00CE770F">
        <w:rPr>
          <w:rFonts w:cs="Times New Roman"/>
          <w:color w:val="auto"/>
        </w:rPr>
        <w:t>Principal Security and Governance Gaps</w:t>
      </w:r>
      <w:bookmarkEnd w:id="8"/>
    </w:p>
    <w:tbl>
      <w:tblPr>
        <w:tblStyle w:val="GridTableLight"/>
        <w:tblW w:w="5000" w:type="pct"/>
        <w:tblLook w:val="04A0"/>
      </w:tblPr>
      <w:tblGrid>
        <w:gridCol w:w="1436"/>
        <w:gridCol w:w="3363"/>
        <w:gridCol w:w="4777"/>
      </w:tblGrid>
      <w:tr w:rsidR="00602226" w:rsidRPr="00602226" w:rsidTr="00602226">
        <w:tc>
          <w:tcPr>
            <w:tcW w:w="750" w:type="pct"/>
            <w:hideMark/>
          </w:tcPr>
          <w:p w:rsidR="00602226" w:rsidRPr="00602226" w:rsidRDefault="00602226" w:rsidP="00602226">
            <w:pPr>
              <w:spacing w:after="160" w:line="278" w:lineRule="auto"/>
              <w:rPr>
                <w:b/>
                <w:bCs/>
              </w:rPr>
            </w:pPr>
            <w:r w:rsidRPr="00602226">
              <w:rPr>
                <w:b/>
                <w:bCs/>
              </w:rPr>
              <w:t>Area</w:t>
            </w:r>
          </w:p>
        </w:tc>
        <w:tc>
          <w:tcPr>
            <w:tcW w:w="1756" w:type="pct"/>
            <w:hideMark/>
          </w:tcPr>
          <w:p w:rsidR="00602226" w:rsidRPr="00602226" w:rsidRDefault="00602226" w:rsidP="00602226">
            <w:pPr>
              <w:spacing w:after="160" w:line="278" w:lineRule="auto"/>
              <w:rPr>
                <w:b/>
                <w:bCs/>
              </w:rPr>
            </w:pPr>
            <w:r w:rsidRPr="00602226">
              <w:rPr>
                <w:b/>
                <w:bCs/>
              </w:rPr>
              <w:t>Principal gap</w:t>
            </w:r>
          </w:p>
        </w:tc>
        <w:tc>
          <w:tcPr>
            <w:tcW w:w="2494" w:type="pct"/>
            <w:hideMark/>
          </w:tcPr>
          <w:p w:rsidR="00602226" w:rsidRPr="00602226" w:rsidRDefault="00602226" w:rsidP="00602226">
            <w:pPr>
              <w:spacing w:after="160" w:line="278" w:lineRule="auto"/>
              <w:rPr>
                <w:b/>
                <w:bCs/>
              </w:rPr>
            </w:pPr>
            <w:r w:rsidRPr="00602226">
              <w:rPr>
                <w:b/>
                <w:bCs/>
              </w:rPr>
              <w:t>Design implication</w:t>
            </w:r>
          </w:p>
        </w:tc>
      </w:tr>
      <w:tr w:rsidR="00602226" w:rsidRPr="00602226" w:rsidTr="00602226">
        <w:tc>
          <w:tcPr>
            <w:tcW w:w="750" w:type="pct"/>
            <w:hideMark/>
          </w:tcPr>
          <w:p w:rsidR="00602226" w:rsidRPr="00602226" w:rsidRDefault="00602226" w:rsidP="00602226">
            <w:pPr>
              <w:spacing w:after="160" w:line="278" w:lineRule="auto"/>
            </w:pPr>
            <w:r w:rsidRPr="00602226">
              <w:t>Governance</w:t>
            </w:r>
          </w:p>
        </w:tc>
        <w:tc>
          <w:tcPr>
            <w:tcW w:w="1756" w:type="pct"/>
            <w:hideMark/>
          </w:tcPr>
          <w:p w:rsidR="00602226" w:rsidRPr="00602226" w:rsidRDefault="00602226" w:rsidP="00602226">
            <w:pPr>
              <w:spacing w:after="160" w:line="278" w:lineRule="auto"/>
            </w:pPr>
            <w:r w:rsidRPr="00602226">
              <w:t>No unified framework or central risk process</w:t>
            </w:r>
          </w:p>
        </w:tc>
        <w:tc>
          <w:tcPr>
            <w:tcW w:w="2494" w:type="pct"/>
            <w:hideMark/>
          </w:tcPr>
          <w:p w:rsidR="00602226" w:rsidRPr="00602226" w:rsidRDefault="00602226" w:rsidP="00602226">
            <w:pPr>
              <w:spacing w:after="160" w:line="278" w:lineRule="auto"/>
            </w:pPr>
            <w:r w:rsidRPr="00602226">
              <w:t>Establish board oversight, named owners and one enterprise risk register</w:t>
            </w:r>
          </w:p>
        </w:tc>
      </w:tr>
      <w:tr w:rsidR="00602226" w:rsidRPr="00602226" w:rsidTr="00602226">
        <w:tc>
          <w:tcPr>
            <w:tcW w:w="750" w:type="pct"/>
            <w:hideMark/>
          </w:tcPr>
          <w:p w:rsidR="00602226" w:rsidRPr="00602226" w:rsidRDefault="00602226" w:rsidP="00602226">
            <w:pPr>
              <w:spacing w:after="160" w:line="278" w:lineRule="auto"/>
            </w:pPr>
            <w:r w:rsidRPr="00602226">
              <w:t>Outsourcing</w:t>
            </w:r>
          </w:p>
        </w:tc>
        <w:tc>
          <w:tcPr>
            <w:tcW w:w="1756" w:type="pct"/>
            <w:hideMark/>
          </w:tcPr>
          <w:p w:rsidR="00602226" w:rsidRPr="00602226" w:rsidRDefault="00602226" w:rsidP="00602226">
            <w:pPr>
              <w:spacing w:after="160" w:line="278" w:lineRule="auto"/>
            </w:pPr>
            <w:r w:rsidRPr="00602226">
              <w:t>Extensive dependence on external providers</w:t>
            </w:r>
          </w:p>
        </w:tc>
        <w:tc>
          <w:tcPr>
            <w:tcW w:w="2494" w:type="pct"/>
            <w:hideMark/>
          </w:tcPr>
          <w:p w:rsidR="00602226" w:rsidRPr="00602226" w:rsidRDefault="00602226" w:rsidP="00602226">
            <w:pPr>
              <w:spacing w:after="160" w:line="278" w:lineRule="auto"/>
            </w:pPr>
            <w:r w:rsidRPr="00602226">
              <w:t>Apply due diligence, security SLAs and continuous supplier assurance</w:t>
            </w:r>
          </w:p>
        </w:tc>
      </w:tr>
      <w:tr w:rsidR="00602226" w:rsidRPr="00602226" w:rsidTr="00602226">
        <w:tc>
          <w:tcPr>
            <w:tcW w:w="750" w:type="pct"/>
            <w:hideMark/>
          </w:tcPr>
          <w:p w:rsidR="00602226" w:rsidRPr="00602226" w:rsidRDefault="00602226" w:rsidP="00602226">
            <w:pPr>
              <w:spacing w:after="160" w:line="278" w:lineRule="auto"/>
            </w:pPr>
            <w:r w:rsidRPr="00602226">
              <w:lastRenderedPageBreak/>
              <w:t>Access</w:t>
            </w:r>
          </w:p>
        </w:tc>
        <w:tc>
          <w:tcPr>
            <w:tcW w:w="1756" w:type="pct"/>
            <w:hideMark/>
          </w:tcPr>
          <w:p w:rsidR="00602226" w:rsidRPr="00602226" w:rsidRDefault="00602226" w:rsidP="00602226">
            <w:pPr>
              <w:spacing w:after="160" w:line="278" w:lineRule="auto"/>
            </w:pPr>
            <w:r w:rsidRPr="00602226">
              <w:t>Remote access from unmanaged devices</w:t>
            </w:r>
          </w:p>
        </w:tc>
        <w:tc>
          <w:tcPr>
            <w:tcW w:w="2494" w:type="pct"/>
            <w:hideMark/>
          </w:tcPr>
          <w:p w:rsidR="00602226" w:rsidRPr="00602226" w:rsidRDefault="00602226" w:rsidP="00602226">
            <w:pPr>
              <w:spacing w:after="160" w:line="278" w:lineRule="auto"/>
            </w:pPr>
            <w:r w:rsidRPr="00602226">
              <w:t>Introduce MFA, conditional access and least privilege</w:t>
            </w:r>
          </w:p>
        </w:tc>
      </w:tr>
      <w:tr w:rsidR="00602226" w:rsidRPr="00602226" w:rsidTr="00602226">
        <w:tc>
          <w:tcPr>
            <w:tcW w:w="750" w:type="pct"/>
            <w:hideMark/>
          </w:tcPr>
          <w:p w:rsidR="00602226" w:rsidRPr="00602226" w:rsidRDefault="00602226" w:rsidP="00602226">
            <w:pPr>
              <w:spacing w:after="160" w:line="278" w:lineRule="auto"/>
            </w:pPr>
            <w:r w:rsidRPr="00602226">
              <w:t>Compliance</w:t>
            </w:r>
          </w:p>
        </w:tc>
        <w:tc>
          <w:tcPr>
            <w:tcW w:w="1756" w:type="pct"/>
            <w:hideMark/>
          </w:tcPr>
          <w:p w:rsidR="00602226" w:rsidRPr="00602226" w:rsidRDefault="00602226" w:rsidP="00602226">
            <w:pPr>
              <w:spacing w:after="160" w:line="278" w:lineRule="auto"/>
            </w:pPr>
            <w:r w:rsidRPr="00602226">
              <w:t>No formal compliance audit</w:t>
            </w:r>
          </w:p>
        </w:tc>
        <w:tc>
          <w:tcPr>
            <w:tcW w:w="2494" w:type="pct"/>
            <w:hideMark/>
          </w:tcPr>
          <w:p w:rsidR="00602226" w:rsidRPr="00602226" w:rsidRDefault="00602226" w:rsidP="00602226">
            <w:pPr>
              <w:spacing w:after="160" w:line="278" w:lineRule="auto"/>
            </w:pPr>
            <w:r w:rsidRPr="00602226">
              <w:t>Establish a compliance register, DPIAs and assurance reviews</w:t>
            </w:r>
          </w:p>
        </w:tc>
      </w:tr>
      <w:tr w:rsidR="00602226" w:rsidRPr="00602226" w:rsidTr="00602226">
        <w:tc>
          <w:tcPr>
            <w:tcW w:w="750" w:type="pct"/>
            <w:hideMark/>
          </w:tcPr>
          <w:p w:rsidR="00602226" w:rsidRPr="00602226" w:rsidRDefault="00602226" w:rsidP="00602226">
            <w:pPr>
              <w:spacing w:after="160" w:line="278" w:lineRule="auto"/>
            </w:pPr>
            <w:r w:rsidRPr="00602226">
              <w:t>Resilience</w:t>
            </w:r>
          </w:p>
        </w:tc>
        <w:tc>
          <w:tcPr>
            <w:tcW w:w="1756" w:type="pct"/>
            <w:hideMark/>
          </w:tcPr>
          <w:p w:rsidR="00602226" w:rsidRPr="00602226" w:rsidRDefault="00602226" w:rsidP="00602226">
            <w:pPr>
              <w:spacing w:after="160" w:line="278" w:lineRule="auto"/>
            </w:pPr>
            <w:r w:rsidRPr="00602226">
              <w:t>Weak incident response and continuity planning</w:t>
            </w:r>
          </w:p>
        </w:tc>
        <w:tc>
          <w:tcPr>
            <w:tcW w:w="2494" w:type="pct"/>
            <w:hideMark/>
          </w:tcPr>
          <w:p w:rsidR="00602226" w:rsidRPr="00602226" w:rsidRDefault="00602226" w:rsidP="00602226">
            <w:pPr>
              <w:spacing w:after="160" w:line="278" w:lineRule="auto"/>
            </w:pPr>
            <w:r w:rsidRPr="00602226">
              <w:t>Define recovery priorities and test response and backup arrangements</w:t>
            </w:r>
          </w:p>
        </w:tc>
      </w:tr>
    </w:tbl>
    <w:p w:rsidR="00602226" w:rsidRPr="00602226" w:rsidRDefault="00602226" w:rsidP="00602226"/>
    <w:p w:rsidR="00AA4251" w:rsidRPr="008E0E80" w:rsidRDefault="00AA4251" w:rsidP="009760FB">
      <w:pPr>
        <w:pStyle w:val="Heading2"/>
        <w:spacing w:line="360" w:lineRule="auto"/>
        <w:rPr>
          <w:rFonts w:cs="Times New Roman"/>
          <w:color w:val="auto"/>
        </w:rPr>
      </w:pPr>
      <w:bookmarkStart w:id="9" w:name="_Toc236305920"/>
      <w:r w:rsidRPr="008E0E80">
        <w:rPr>
          <w:rFonts w:cs="Times New Roman"/>
          <w:color w:val="auto"/>
        </w:rPr>
        <w:t>2.3 Assumptions</w:t>
      </w:r>
      <w:bookmarkEnd w:id="9"/>
    </w:p>
    <w:p w:rsidR="006971B8" w:rsidRPr="00530376" w:rsidRDefault="00530376" w:rsidP="009760FB">
      <w:pPr>
        <w:spacing w:line="360" w:lineRule="auto"/>
        <w:jc w:val="both"/>
        <w:rPr>
          <w:rFonts w:cs="Times New Roman"/>
        </w:rPr>
      </w:pPr>
      <w:r w:rsidRPr="00530376">
        <w:rPr>
          <w:rFonts w:cs="Times New Roman"/>
        </w:rPr>
        <w:t xml:space="preserve">For this design, it is assumed that </w:t>
      </w:r>
      <w:proofErr w:type="spellStart"/>
      <w:r w:rsidRPr="00530376">
        <w:rPr>
          <w:rFonts w:cs="Times New Roman"/>
        </w:rPr>
        <w:t>AeroLink</w:t>
      </w:r>
      <w:proofErr w:type="spellEnd"/>
      <w:r w:rsidRPr="00530376">
        <w:rPr>
          <w:rFonts w:cs="Times New Roman"/>
        </w:rPr>
        <w:t xml:space="preserve"> processes personal data about people in the UK or EEA (European Economic Area), that the shipment tracking and warehouse systems need to be highly available, and that there are some existing security controls, but they are scattered. It is also assumed that critical cloud providers operate in multiple jurisdictions and that management is willing to invest in a gradual improvement program. Such assumptions are justified as the scenario does not detail the actual legal scope, cost, technology, certification or security level of </w:t>
      </w:r>
      <w:proofErr w:type="spellStart"/>
      <w:r w:rsidRPr="00530376">
        <w:rPr>
          <w:rFonts w:cs="Times New Roman"/>
        </w:rPr>
        <w:t>AeroLink</w:t>
      </w:r>
      <w:proofErr w:type="spellEnd"/>
      <w:r w:rsidRPr="00530376">
        <w:rPr>
          <w:rFonts w:cs="Times New Roman"/>
        </w:rPr>
        <w:t>.</w:t>
      </w:r>
    </w:p>
    <w:p w:rsidR="00EE31E9" w:rsidRPr="008E0E80" w:rsidRDefault="003D0890" w:rsidP="009760FB">
      <w:pPr>
        <w:pStyle w:val="Heading1"/>
        <w:spacing w:line="360" w:lineRule="auto"/>
        <w:rPr>
          <w:rFonts w:cs="Times New Roman"/>
          <w:b w:val="0"/>
          <w:bCs/>
          <w:color w:val="auto"/>
          <w:szCs w:val="32"/>
        </w:rPr>
      </w:pPr>
      <w:bookmarkStart w:id="10" w:name="_Toc236305921"/>
      <w:r w:rsidRPr="008E0E80">
        <w:rPr>
          <w:rFonts w:cs="Times New Roman"/>
          <w:bCs/>
          <w:color w:val="auto"/>
          <w:szCs w:val="32"/>
        </w:rPr>
        <w:t xml:space="preserve">3. </w:t>
      </w:r>
      <w:r w:rsidR="003002C7" w:rsidRPr="008E0E80">
        <w:rPr>
          <w:rFonts w:cs="Times New Roman"/>
          <w:bCs/>
          <w:color w:val="auto"/>
          <w:szCs w:val="32"/>
        </w:rPr>
        <w:t>Critical Evaluation of Security Frameworks and Models</w:t>
      </w:r>
      <w:bookmarkEnd w:id="10"/>
    </w:p>
    <w:p w:rsidR="004237FE" w:rsidRPr="008E0E80" w:rsidRDefault="004237FE" w:rsidP="009760FB">
      <w:pPr>
        <w:pStyle w:val="Heading2"/>
        <w:spacing w:line="360" w:lineRule="auto"/>
        <w:rPr>
          <w:rFonts w:cs="Times New Roman"/>
          <w:color w:val="auto"/>
        </w:rPr>
      </w:pPr>
      <w:bookmarkStart w:id="11" w:name="_Toc236305922"/>
      <w:r w:rsidRPr="008E0E80">
        <w:rPr>
          <w:rFonts w:cs="Times New Roman"/>
          <w:color w:val="auto"/>
        </w:rPr>
        <w:t>3.1 NIST Cybersecurity Framework 2.0</w:t>
      </w:r>
      <w:bookmarkEnd w:id="11"/>
    </w:p>
    <w:p w:rsidR="003C2A4D" w:rsidRPr="008176A7" w:rsidRDefault="003C2A4D" w:rsidP="009760FB">
      <w:pPr>
        <w:spacing w:line="360" w:lineRule="auto"/>
        <w:jc w:val="both"/>
        <w:rPr>
          <w:rFonts w:cs="Times New Roman"/>
          <w:color w:val="EE0000"/>
        </w:rPr>
      </w:pPr>
      <w:r w:rsidRPr="008176A7">
        <w:rPr>
          <w:rFonts w:cs="Times New Roman"/>
        </w:rPr>
        <w:t xml:space="preserve">NIST CSF 2.0 </w:t>
      </w:r>
      <w:proofErr w:type="spellStart"/>
      <w:r w:rsidRPr="008176A7">
        <w:rPr>
          <w:rFonts w:cs="Times New Roman"/>
        </w:rPr>
        <w:t>organises</w:t>
      </w:r>
      <w:proofErr w:type="spellEnd"/>
      <w:r w:rsidRPr="008176A7">
        <w:rPr>
          <w:rFonts w:cs="Times New Roman"/>
        </w:rPr>
        <w:t xml:space="preserve"> </w:t>
      </w:r>
      <w:proofErr w:type="spellStart"/>
      <w:r w:rsidRPr="008176A7">
        <w:rPr>
          <w:rFonts w:cs="Times New Roman"/>
        </w:rPr>
        <w:t>cybersecurity</w:t>
      </w:r>
      <w:proofErr w:type="spellEnd"/>
      <w:r w:rsidRPr="008176A7">
        <w:rPr>
          <w:rFonts w:cs="Times New Roman"/>
        </w:rPr>
        <w:t xml:space="preserve"> through Govern, Identify, Protect, Detect, Respond and Recover</w:t>
      </w:r>
      <w:r w:rsidR="008176A7" w:rsidRPr="008176A7">
        <w:rPr>
          <w:rFonts w:cs="Times New Roman"/>
        </w:rPr>
        <w:t xml:space="preserve"> </w:t>
      </w:r>
      <w:r w:rsidR="002C1770" w:rsidRPr="008176A7">
        <w:rPr>
          <w:rFonts w:cs="Times New Roman"/>
        </w:rPr>
        <w:fldChar w:fldCharType="begin" w:fldLock="1"/>
      </w:r>
      <w:r w:rsidR="008176A7" w:rsidRPr="008176A7">
        <w:rPr>
          <w:rFonts w:cs="Times New Roman"/>
        </w:rPr>
        <w:instrText>ADDIN CSL_CITATION {"citationItems":[{"id":"ITEM-1","itemData":{"ISSN":"2079-9292","abstract":"Cybersecurity is critical for mitigating the economic and reputational impacts of cyberattacks. To address these risks, frameworks like the NIST Cybersecurity Framework (NIST CSF) provide standardized guidelines for managing and reducing cybersecurity threats. This paper presents a maturity assessment approach aligned with the NIST CSF, incorporating a dual-survey methodology. The first survey engages cybersecurity experts to calibrate question importance, while the second targets organizations across management, IT staff, and other roles. The approach employs algorithms to deliver consistent evaluations and facilitate cross-organization comparisons. Results from case studies illustrate cybersecurity maturity levels for each NIST CSF function and highlight priority controls for enhancing organizational cybersecurity.","author":[{"dropping-particle":"","family":"Yang","given":"Jianhua","non-dropping-particle":"","parse-names":false,"suffix":""},{"dropping-particle":"","family":"Chouchane","given":"Radhouane","non-dropping-particle":"","parse-names":false,"suffix":""},{"dropping-particle":"","family":"Ge","given":"Linqiang","non-dropping-particle":"","parse-names":false,"suffix":""},{"dropping-particle":"","family":"Bernardo","given":"Luís","non-dropping-particle":"","parse-names":false,"suffix":""},{"dropping-particle":"","family":"Malta","given":"Silvestre","non-dropping-particle":"","parse-names":false,"suffix":""},{"dropping-particle":"","family":"Magalhães","given":"João","non-dropping-particle":"","parse-names":false,"suffix":""}],"container-title":"Electronics 2025, Vol. 14, Page 1364","id":"ITEM-1","issue":"7","issued":{"date-parts":[["2025","3","28"]]},"page":"1364","publisher":"Multidisciplinary Digital Publishing Institute","title":"An Evaluation Framework for Cybersecurity Maturity Aligned with the NIST CSF","type":"article-journal","volume":"14"},"uris":["http://www.mendeley.com/documents/?uuid=7b8c5572-559e-3b7c-a5b3-3689885f0eae"]}],"mendeley":{"formattedCitation":"(Yang &lt;i&gt;et al.&lt;/i&gt;, 2025)","plainTextFormattedCitation":"(Yang et al., 2025)","previouslyFormattedCitation":"(Yang &lt;i&gt;et al.&lt;/i&gt;, 2025)"},"properties":{"noteIndex":0},"schema":"https://github.com/citation-style-language/schema/raw/master/csl-citation.json"}</w:instrText>
      </w:r>
      <w:r w:rsidR="002C1770" w:rsidRPr="008176A7">
        <w:rPr>
          <w:rFonts w:cs="Times New Roman"/>
        </w:rPr>
        <w:fldChar w:fldCharType="separate"/>
      </w:r>
      <w:r w:rsidR="008176A7" w:rsidRPr="008176A7">
        <w:rPr>
          <w:rFonts w:cs="Times New Roman"/>
          <w:noProof/>
        </w:rPr>
        <w:t xml:space="preserve">(Yang </w:t>
      </w:r>
      <w:r w:rsidR="008176A7" w:rsidRPr="008176A7">
        <w:rPr>
          <w:rFonts w:cs="Times New Roman"/>
          <w:i/>
          <w:noProof/>
        </w:rPr>
        <w:t>et al.</w:t>
      </w:r>
      <w:r w:rsidR="008176A7" w:rsidRPr="008176A7">
        <w:rPr>
          <w:rFonts w:cs="Times New Roman"/>
          <w:noProof/>
        </w:rPr>
        <w:t>, 2025)</w:t>
      </w:r>
      <w:r w:rsidR="002C1770" w:rsidRPr="008176A7">
        <w:rPr>
          <w:rFonts w:cs="Times New Roman"/>
        </w:rPr>
        <w:fldChar w:fldCharType="end"/>
      </w:r>
      <w:r w:rsidRPr="008176A7">
        <w:rPr>
          <w:rFonts w:cs="Times New Roman"/>
        </w:rPr>
        <w:t xml:space="preserve">. Govern is particularly relevant because </w:t>
      </w:r>
      <w:proofErr w:type="spellStart"/>
      <w:r w:rsidRPr="008176A7">
        <w:rPr>
          <w:rFonts w:cs="Times New Roman"/>
        </w:rPr>
        <w:t>AeroLink’s</w:t>
      </w:r>
      <w:proofErr w:type="spellEnd"/>
      <w:r w:rsidRPr="008176A7">
        <w:rPr>
          <w:rFonts w:cs="Times New Roman"/>
        </w:rPr>
        <w:t xml:space="preserve"> weaknesses concern accountability, supplier risk and executive oversight as well as technology. </w:t>
      </w:r>
      <w:r w:rsidR="00DF2016" w:rsidRPr="008176A7">
        <w:rPr>
          <w:rFonts w:cs="Times New Roman"/>
        </w:rPr>
        <w:t>Th</w:t>
      </w:r>
      <w:r w:rsidR="00740ED2" w:rsidRPr="008176A7">
        <w:rPr>
          <w:rFonts w:cs="Times New Roman"/>
        </w:rPr>
        <w:t>e</w:t>
      </w:r>
      <w:r w:rsidR="00DF2016" w:rsidRPr="008176A7">
        <w:rPr>
          <w:rFonts w:cs="Times New Roman"/>
        </w:rPr>
        <w:t xml:space="preserve"> c</w:t>
      </w:r>
      <w:r w:rsidRPr="008176A7">
        <w:rPr>
          <w:rFonts w:cs="Times New Roman"/>
        </w:rPr>
        <w:t xml:space="preserve">urrent and Target Profiles can help identify gaps and </w:t>
      </w:r>
      <w:proofErr w:type="spellStart"/>
      <w:r w:rsidRPr="008176A7">
        <w:rPr>
          <w:rFonts w:cs="Times New Roman"/>
        </w:rPr>
        <w:t>prioritise</w:t>
      </w:r>
      <w:proofErr w:type="spellEnd"/>
      <w:r w:rsidRPr="008176A7">
        <w:rPr>
          <w:rFonts w:cs="Times New Roman"/>
        </w:rPr>
        <w:t xml:space="preserve"> improvements across cloud, </w:t>
      </w:r>
      <w:proofErr w:type="spellStart"/>
      <w:r w:rsidRPr="008176A7">
        <w:rPr>
          <w:rFonts w:cs="Times New Roman"/>
        </w:rPr>
        <w:t>IoT</w:t>
      </w:r>
      <w:proofErr w:type="spellEnd"/>
      <w:r w:rsidRPr="008176A7">
        <w:rPr>
          <w:rFonts w:cs="Times New Roman"/>
        </w:rPr>
        <w:t xml:space="preserve"> and remote-access environments</w:t>
      </w:r>
      <w:r w:rsidR="008176A7" w:rsidRPr="008176A7">
        <w:rPr>
          <w:rFonts w:cs="Times New Roman"/>
        </w:rPr>
        <w:t xml:space="preserve"> </w:t>
      </w:r>
      <w:r w:rsidR="002C1770" w:rsidRPr="008176A7">
        <w:rPr>
          <w:rFonts w:cs="Times New Roman"/>
        </w:rPr>
        <w:fldChar w:fldCharType="begin" w:fldLock="1"/>
      </w:r>
      <w:r w:rsidR="008176A7">
        <w:rPr>
          <w:rFonts w:cs="Times New Roman"/>
        </w:rPr>
        <w:instrText>ADDIN CSL_CITATION {"citationItems":[{"id":"ITEM-1","itemData":{"abstract":"The integration of the Internet of Things (IoT) and cloud computing has revolutionized process optimization in real-time systems, offering unprecedented opportunities to enhance efficiency, scalability, and decision-making capabilities. IoT-enabled devices generate massive volumes of real-time data from distributed systems, while cloud computing provides the computational power and storage infrastructure necessary to process and analyse this data effectively. This synergy facilitates continuous monitoring, predictive analytics, and automated decision-making across various domains, including manufacturing, healthcare, and logistics. Real-time systems demand rapid response times and seamless data integration, challenges that are effectively addressed by IoT and cloud computing integration. Through cloud-based analytics, organizations can derive actionable insights from sensor data, enabling dynamic adjustments to processes in response to evolving conditions. This approach not only enhances system performance but also reduces operational costs and minimizes downtime. Despite its advantages, integrating IoT and cloud computing poses challenges such as data security, latency, and interoperability among heterogeneous devices. Advances in edge computing and hybrid cloud architectures are emerging as potential solutions to address these limitations, enabling faster data processing closer to the data source while maintaining centralized oversight. Additionally, machine learning algorithms and artificial intelligence further enhance the capability of IoT-cloud systems by enabling predictive maintenance and anomaly detection. This paper explores the critical role of IoT and cloud computing in real-time process optimization, highlighting key applications, challenges, and future directions. By leveraging this integration, organizations can achieve greater flexibility, resilience, and efficiency, positioning themselves for success in an increasingly connected and competitive environment.","author":[{"dropping-particle":"","family":"Ajayi","given":"Rhoda","non-dropping-particle":"","parse-names":false,"suffix":""}],"container-title":"International Journal of Research Publication and Reviews","id":"ITEM-1","issue":"1","issued":{"date-parts":[["2025"]]},"page":"2540-2558","title":"Integrating IoT and cloud computing for continuous process optimization in real time systems","type":"article-journal","volume":"6"},"uris":["http://www.mendeley.com/documents/?uuid=733da7f4-29a5-395a-b4ee-e785a29186df"]}],"mendeley":{"formattedCitation":"(Ajayi, 2025)","plainTextFormattedCitation":"(Ajayi, 2025)","previouslyFormattedCitation":"(Ajayi, 2025)"},"properties":{"noteIndex":0},"schema":"https://github.com/citation-style-language/schema/raw/master/csl-citation.json"}</w:instrText>
      </w:r>
      <w:r w:rsidR="002C1770" w:rsidRPr="008176A7">
        <w:rPr>
          <w:rFonts w:cs="Times New Roman"/>
        </w:rPr>
        <w:fldChar w:fldCharType="separate"/>
      </w:r>
      <w:r w:rsidR="008176A7" w:rsidRPr="008176A7">
        <w:rPr>
          <w:rFonts w:cs="Times New Roman"/>
          <w:noProof/>
        </w:rPr>
        <w:t>(Ajayi, 2025)</w:t>
      </w:r>
      <w:r w:rsidR="002C1770" w:rsidRPr="008176A7">
        <w:rPr>
          <w:rFonts w:cs="Times New Roman"/>
        </w:rPr>
        <w:fldChar w:fldCharType="end"/>
      </w:r>
      <w:r w:rsidRPr="008176A7">
        <w:rPr>
          <w:rFonts w:cs="Times New Roman"/>
        </w:rPr>
        <w:t>.</w:t>
      </w:r>
      <w:r w:rsidR="008176A7">
        <w:rPr>
          <w:rFonts w:cs="Times New Roman"/>
          <w:color w:val="EE0000"/>
        </w:rPr>
        <w:t xml:space="preserve"> </w:t>
      </w:r>
      <w:r w:rsidR="009026BF" w:rsidRPr="00672243">
        <w:rPr>
          <w:rFonts w:cs="Times New Roman"/>
        </w:rPr>
        <w:t>NIST can be adapted to</w:t>
      </w:r>
      <w:r w:rsidRPr="003C2A4D">
        <w:rPr>
          <w:rFonts w:cs="Times New Roman"/>
        </w:rPr>
        <w:t xml:space="preserve"> different services and </w:t>
      </w:r>
      <w:r w:rsidR="00042449" w:rsidRPr="00672243">
        <w:rPr>
          <w:rFonts w:cs="Times New Roman"/>
        </w:rPr>
        <w:t>regions;</w:t>
      </w:r>
      <w:r w:rsidR="00762E51" w:rsidRPr="00672243">
        <w:rPr>
          <w:rFonts w:cs="Times New Roman"/>
        </w:rPr>
        <w:t xml:space="preserve"> </w:t>
      </w:r>
      <w:r w:rsidR="00042449" w:rsidRPr="00672243">
        <w:rPr>
          <w:rFonts w:cs="Times New Roman"/>
        </w:rPr>
        <w:t>however,</w:t>
      </w:r>
      <w:r w:rsidR="00762E51" w:rsidRPr="00672243">
        <w:rPr>
          <w:rFonts w:cs="Times New Roman"/>
        </w:rPr>
        <w:t xml:space="preserve"> </w:t>
      </w:r>
      <w:r w:rsidRPr="003C2A4D">
        <w:rPr>
          <w:rFonts w:cs="Times New Roman"/>
        </w:rPr>
        <w:t xml:space="preserve">it </w:t>
      </w:r>
      <w:r w:rsidR="0080765E" w:rsidRPr="00672243">
        <w:rPr>
          <w:rFonts w:cs="Times New Roman"/>
        </w:rPr>
        <w:t>sets</w:t>
      </w:r>
      <w:r w:rsidRPr="003C2A4D">
        <w:rPr>
          <w:rFonts w:cs="Times New Roman"/>
        </w:rPr>
        <w:t xml:space="preserve"> </w:t>
      </w:r>
      <w:proofErr w:type="spellStart"/>
      <w:r w:rsidR="0080765E" w:rsidRPr="00672243">
        <w:rPr>
          <w:rFonts w:cs="Times New Roman"/>
        </w:rPr>
        <w:t>cybersecurity</w:t>
      </w:r>
      <w:proofErr w:type="spellEnd"/>
      <w:r w:rsidR="0080765E" w:rsidRPr="00672243">
        <w:rPr>
          <w:rFonts w:cs="Times New Roman"/>
        </w:rPr>
        <w:t xml:space="preserve"> </w:t>
      </w:r>
      <w:r w:rsidRPr="003C2A4D">
        <w:rPr>
          <w:rFonts w:cs="Times New Roman"/>
        </w:rPr>
        <w:t>outcomes rather than detailed controls or certification requirements. I</w:t>
      </w:r>
      <w:r w:rsidR="00144727" w:rsidRPr="00672243">
        <w:rPr>
          <w:rFonts w:cs="Times New Roman"/>
        </w:rPr>
        <w:t>f</w:t>
      </w:r>
      <w:r w:rsidRPr="003C2A4D">
        <w:rPr>
          <w:rFonts w:cs="Times New Roman"/>
        </w:rPr>
        <w:t xml:space="preserve"> an </w:t>
      </w:r>
      <w:proofErr w:type="spellStart"/>
      <w:r w:rsidRPr="003C2A4D">
        <w:rPr>
          <w:rFonts w:cs="Times New Roman"/>
        </w:rPr>
        <w:t>organisation</w:t>
      </w:r>
      <w:proofErr w:type="spellEnd"/>
      <w:r w:rsidRPr="003C2A4D">
        <w:rPr>
          <w:rFonts w:cs="Times New Roman"/>
        </w:rPr>
        <w:t xml:space="preserve"> </w:t>
      </w:r>
      <w:r w:rsidR="00144727" w:rsidRPr="00672243">
        <w:rPr>
          <w:rFonts w:cs="Times New Roman"/>
        </w:rPr>
        <w:t>has</w:t>
      </w:r>
      <w:r w:rsidRPr="003C2A4D">
        <w:rPr>
          <w:rFonts w:cs="Times New Roman"/>
        </w:rPr>
        <w:t xml:space="preserve"> unclear ownership, this may lead to inconsistent implementation.</w:t>
      </w:r>
    </w:p>
    <w:p w:rsidR="007C4293" w:rsidRPr="008E0E80" w:rsidRDefault="007C4293" w:rsidP="009760FB">
      <w:pPr>
        <w:pStyle w:val="Heading2"/>
        <w:spacing w:line="360" w:lineRule="auto"/>
        <w:rPr>
          <w:rFonts w:cs="Times New Roman"/>
          <w:color w:val="auto"/>
        </w:rPr>
      </w:pPr>
      <w:bookmarkStart w:id="12" w:name="_Toc236305923"/>
      <w:r w:rsidRPr="008E0E80">
        <w:rPr>
          <w:rFonts w:cs="Times New Roman"/>
          <w:color w:val="auto"/>
        </w:rPr>
        <w:t>3.2 ISO/IEC 27001 and ISO/IEC 27002</w:t>
      </w:r>
      <w:bookmarkEnd w:id="12"/>
    </w:p>
    <w:p w:rsidR="00C72FE4" w:rsidRPr="008176A7" w:rsidRDefault="00A808E2" w:rsidP="009760FB">
      <w:pPr>
        <w:spacing w:line="360" w:lineRule="auto"/>
        <w:jc w:val="both"/>
        <w:rPr>
          <w:rFonts w:cs="Times New Roman"/>
        </w:rPr>
      </w:pPr>
      <w:r w:rsidRPr="008176A7">
        <w:rPr>
          <w:rFonts w:cs="Times New Roman"/>
        </w:rPr>
        <w:t>ISO/IEC 27001 provides requirements for establishing and continually improving an Information Security Management System, while ISO/IEC 27002 supports control implementation</w:t>
      </w:r>
      <w:r w:rsidR="008176A7" w:rsidRPr="008176A7">
        <w:rPr>
          <w:rFonts w:cs="Times New Roman"/>
        </w:rPr>
        <w:t xml:space="preserve"> </w:t>
      </w:r>
      <w:r w:rsidR="002C1770" w:rsidRPr="008176A7">
        <w:rPr>
          <w:rFonts w:cs="Times New Roman"/>
        </w:rPr>
        <w:fldChar w:fldCharType="begin" w:fldLock="1"/>
      </w:r>
      <w:r w:rsidR="008176A7">
        <w:rPr>
          <w:rFonts w:cs="Times New Roman"/>
        </w:rPr>
        <w:instrText>ADDIN CSL_CITATION {"citationItems":[{"id":"ITEM-1","itemData":{"ISSN":"2071-1050","abstract":"In order to handle their regulatory and legal responsibilities and to retain trustworthy strategic partnerships, enterprises need to be dedicated to guaranteeing the privacy, accessibility, and authenticity of the data at their disposal. Companies can become more resilient in the face of information security threats and cyberattacks by effectively integrating security strategies. The goal of this article is to describe a plan that a corporation has implemented in the information technology industry in order to ensure compliance with International Organization for Standardization (ISO) 27001. This research demonstrates an examination of the reasons that force enterprises to make a investment in ISO 27001 in addition to the incentives that might be acquired from having undergone this process. In addition, the research examines the reasons that push firms to make an investment in ISO 27001. More particularly, the research investigates an international IT consulting services institution that is responsible for the implementation of large-scale business assistance insertion and projects. It demonstrates the risk management framework and the administrative structure of the appropriate situations so that its procedures are adequate and also in line with the guidelines founded by ISO 27001. In conclusion, it discusses the problems and difficulties that were experienced.","author":[{"dropping-particle":"","family":"Kitsios","given":"Fotis","non-dropping-particle":"","parse-names":false,"suffix":""},{"dropping-particle":"","family":"Chatzidimitriou","given":"Elpiniki","non-dropping-particle":"","parse-names":false,"suffix":""},{"dropping-particle":"","family":"Kamariotou","given":"Maria","non-dropping-particle":"","parse-names":false,"suffix":""}],"container-title":"Sustainability 2023, Vol. 15, Page 5828","id":"ITEM-1","issue":"7","issued":{"date-parts":[["2023","3","27"]]},"page":"5828","publisher":"Multidisciplinary Digital Publishing Institute","title":"The ISO/IEC 27001 Information Security Management Standard: How to Extract Value from Data in the IT Sector","type":"article-journal","volume":"15"},"uris":["http://www.mendeley.com/documents/?uuid=6f3901f1-113a-3009-abe5-13a9887f2b78"]}],"mendeley":{"formattedCitation":"(Kitsios, Chatzidimitriou and Kamariotou, 2023)","plainTextFormattedCitation":"(Kitsios, Chatzidimitriou and Kamariotou, 2023)","previouslyFormattedCitation":"(Kitsios, Chatzidimitriou and Kamariotou, 2023)"},"properties":{"noteIndex":0},"schema":"https://github.com/citation-style-language/schema/raw/master/csl-citation.json"}</w:instrText>
      </w:r>
      <w:r w:rsidR="002C1770" w:rsidRPr="008176A7">
        <w:rPr>
          <w:rFonts w:cs="Times New Roman"/>
        </w:rPr>
        <w:fldChar w:fldCharType="separate"/>
      </w:r>
      <w:r w:rsidR="008176A7" w:rsidRPr="008176A7">
        <w:rPr>
          <w:rFonts w:cs="Times New Roman"/>
          <w:noProof/>
        </w:rPr>
        <w:t xml:space="preserve">(Kitsios, </w:t>
      </w:r>
      <w:r w:rsidR="008176A7" w:rsidRPr="008176A7">
        <w:rPr>
          <w:rFonts w:cs="Times New Roman"/>
          <w:noProof/>
        </w:rPr>
        <w:lastRenderedPageBreak/>
        <w:t>Chatzidimitriou and Kamariotou, 2023)</w:t>
      </w:r>
      <w:r w:rsidR="002C1770" w:rsidRPr="008176A7">
        <w:rPr>
          <w:rFonts w:cs="Times New Roman"/>
        </w:rPr>
        <w:fldChar w:fldCharType="end"/>
      </w:r>
      <w:r w:rsidRPr="008176A7">
        <w:rPr>
          <w:rFonts w:cs="Times New Roman"/>
        </w:rPr>
        <w:t xml:space="preserve">. </w:t>
      </w:r>
      <w:r w:rsidR="00C72FE4" w:rsidRPr="008176A7">
        <w:rPr>
          <w:rFonts w:cs="Times New Roman"/>
        </w:rPr>
        <w:t xml:space="preserve">Their combined efforts would give </w:t>
      </w:r>
      <w:proofErr w:type="spellStart"/>
      <w:r w:rsidR="00C72FE4" w:rsidRPr="008176A7">
        <w:rPr>
          <w:rFonts w:cs="Times New Roman"/>
        </w:rPr>
        <w:t>AeroLink</w:t>
      </w:r>
      <w:proofErr w:type="spellEnd"/>
      <w:r w:rsidR="00C72FE4" w:rsidRPr="008176A7">
        <w:rPr>
          <w:rFonts w:cs="Times New Roman"/>
        </w:rPr>
        <w:t xml:space="preserve"> a risk-based, auditable basis for policies, access control, supplier management, cryptography, incident management and continuity.</w:t>
      </w:r>
    </w:p>
    <w:p w:rsidR="00C72FE4" w:rsidRPr="00C72FE4" w:rsidRDefault="00044CE0" w:rsidP="009760FB">
      <w:pPr>
        <w:spacing w:line="360" w:lineRule="auto"/>
        <w:jc w:val="both"/>
        <w:rPr>
          <w:rFonts w:cs="Times New Roman"/>
        </w:rPr>
      </w:pPr>
      <w:r w:rsidRPr="008176A7">
        <w:rPr>
          <w:rFonts w:cs="Times New Roman"/>
        </w:rPr>
        <w:t xml:space="preserve">Their main strength is traceability between risks, controls, owners and evidence through mechanisms such as the Statement of Applicability. </w:t>
      </w:r>
      <w:r w:rsidR="002538E3" w:rsidRPr="002538E3">
        <w:rPr>
          <w:rFonts w:cs="Times New Roman"/>
        </w:rPr>
        <w:t>However, certification does not guarantee effective security.</w:t>
      </w:r>
      <w:r w:rsidR="00C72FE4" w:rsidRPr="00C72FE4">
        <w:rPr>
          <w:rFonts w:cs="Times New Roman"/>
        </w:rPr>
        <w:t xml:space="preserve"> If the scope is too narrow or focus too much on documentation, it may be possible that it does not include critical suppliers or regional systems.</w:t>
      </w:r>
      <w:r w:rsidR="00232681">
        <w:rPr>
          <w:rFonts w:cs="Times New Roman"/>
        </w:rPr>
        <w:t xml:space="preserve"> </w:t>
      </w:r>
      <w:r w:rsidR="00232681" w:rsidRPr="00232681">
        <w:rPr>
          <w:rFonts w:cs="Times New Roman"/>
        </w:rPr>
        <w:t xml:space="preserve">ISO should therefore provide </w:t>
      </w:r>
      <w:proofErr w:type="spellStart"/>
      <w:r w:rsidR="00232681" w:rsidRPr="00232681">
        <w:rPr>
          <w:rFonts w:cs="Times New Roman"/>
        </w:rPr>
        <w:t>AeroLink’s</w:t>
      </w:r>
      <w:proofErr w:type="spellEnd"/>
      <w:r w:rsidR="00232681" w:rsidRPr="00232681">
        <w:rPr>
          <w:rFonts w:cs="Times New Roman"/>
        </w:rPr>
        <w:t xml:space="preserve"> management and assurance foundation rather than operate as its complete security framework.</w:t>
      </w:r>
    </w:p>
    <w:p w:rsidR="00676E9C" w:rsidRPr="008E0E80" w:rsidRDefault="0017574C" w:rsidP="009760FB">
      <w:pPr>
        <w:pStyle w:val="Heading2"/>
        <w:spacing w:line="360" w:lineRule="auto"/>
        <w:rPr>
          <w:rFonts w:cs="Times New Roman"/>
          <w:color w:val="auto"/>
        </w:rPr>
      </w:pPr>
      <w:bookmarkStart w:id="13" w:name="_Toc236305924"/>
      <w:r w:rsidRPr="008E0E80">
        <w:rPr>
          <w:rFonts w:cs="Times New Roman"/>
          <w:color w:val="auto"/>
        </w:rPr>
        <w:t>3.3 COBIT 2019</w:t>
      </w:r>
      <w:bookmarkEnd w:id="13"/>
    </w:p>
    <w:p w:rsidR="00B572E0" w:rsidRPr="007763FF" w:rsidRDefault="000C45B5" w:rsidP="009760FB">
      <w:pPr>
        <w:spacing w:line="360" w:lineRule="auto"/>
        <w:jc w:val="both"/>
        <w:rPr>
          <w:rFonts w:cs="Times New Roman"/>
        </w:rPr>
      </w:pPr>
      <w:r w:rsidRPr="008176A7">
        <w:rPr>
          <w:rFonts w:cs="Times New Roman"/>
        </w:rPr>
        <w:t xml:space="preserve">COBIT 2019 </w:t>
      </w:r>
      <w:proofErr w:type="gramStart"/>
      <w:r w:rsidRPr="008176A7">
        <w:rPr>
          <w:rFonts w:cs="Times New Roman"/>
        </w:rPr>
        <w:t>links</w:t>
      </w:r>
      <w:proofErr w:type="gramEnd"/>
      <w:r w:rsidRPr="008176A7">
        <w:rPr>
          <w:rFonts w:cs="Times New Roman"/>
        </w:rPr>
        <w:t xml:space="preserve"> the governance and management of information and technology with </w:t>
      </w:r>
      <w:proofErr w:type="spellStart"/>
      <w:r w:rsidRPr="008176A7">
        <w:rPr>
          <w:rFonts w:cs="Times New Roman"/>
        </w:rPr>
        <w:t>organisational</w:t>
      </w:r>
      <w:proofErr w:type="spellEnd"/>
      <w:r w:rsidRPr="008176A7">
        <w:rPr>
          <w:rFonts w:cs="Times New Roman"/>
        </w:rPr>
        <w:t xml:space="preserve"> objectives.</w:t>
      </w:r>
      <w:r w:rsidR="007763FF" w:rsidRPr="008176A7">
        <w:rPr>
          <w:rFonts w:cs="Times New Roman"/>
        </w:rPr>
        <w:t xml:space="preserve"> It distinguishes between governance (sets direction and monitors outcomes) and management (plans and operates activities)</w:t>
      </w:r>
      <w:r w:rsidR="008176A7" w:rsidRPr="008176A7">
        <w:rPr>
          <w:rFonts w:cs="Times New Roman"/>
        </w:rPr>
        <w:t xml:space="preserve"> </w:t>
      </w:r>
      <w:r w:rsidR="002C1770" w:rsidRPr="008176A7">
        <w:rPr>
          <w:rFonts w:cs="Times New Roman"/>
        </w:rPr>
        <w:fldChar w:fldCharType="begin" w:fldLock="1"/>
      </w:r>
      <w:r w:rsidR="005F3A63">
        <w:rPr>
          <w:rFonts w:cs="Times New Roman"/>
        </w:rPr>
        <w:instrText>ADDIN CSL_CITATION {"citationItems":[{"id":"ITEM-1","itemData":{"ISSN":"2056497X","abstract":"Purpose – This paper aims to examine three cybersecurity and governance frameworks, namely, NIST Cybersecurity Framework (CSF) 2.0, ISO/IEC 27001:2022 and COBIT 2019, in relation to South Africa’s e-government systems. It explores how context-sensitive integration of global standards may inform cyber resilience thinking in developing-country public-sector environments, with relevance to reducing digital inequalities (SDG 10) and supporting sustainable urban digital infrastructure (SDG 11). Design/methodology/approach – A qualitative, literature-based comparative evaluation is used. The frameworks are assessed against analytically derived dimensions, including governance alignment, operational usability, adaptability, resource and capacity sensitivity, resilience orientation and performance monitoring. Peer-reviewed literature, framework documentation and policy sources inform the conceptual comparative analysis. Findings – The analysis indicates that no single framework is sufficient in isolation. NIST CSF 2.0 contributes modularity and adaptability, ISO/IEC 27001 provides structured controls and continuous improvement mechanisms, and COBIT 2019 embeds governance and oversight. Their complementary characteristics inform the development of a conceptual hybrid cyber resilience framework. Research limitations/implications – The study is conceptual and literature-based. An empirical investigation through practitioner engagement or case-based analysis is required to examine contextual feasibility and operational relevance. Practical implications – The proposed hybrid framework serves as a conceptual reference model to inform policy dialogue, institutional analysis and future empirical research on cybersecurity governance. Social implications – The study contributes to discussions on inclusive access to secure e-government services and resilient digital public infrastructure, with relevance to SDG 10 and SDG 11. Originality/value – To the best of the authors’ knowledge, this study provides one of the first literature-based comparative evaluations of NIST CSF 2.0, ISO/IEC 27001:2022 and COBIT 2019 within a developing-country e-government context, contributing a conceptually grounded hybrid framework for cyber resilience analysis.","author":[{"dropping-particle":"","family":"Rambau","given":"Thifhindulwi Maxwell","non-dropping-particle":"","parse-names":false,"suffix":""},{"dropping-particle":"","family":"Munyoka","given":"Willard","non-dropping-particle":"","parse-names":false,"suffix":""},{"dropping-particle":"","family":"Phahlamohlaka","given":"Letlibe Jacob","non-dropping-particle":"","parse-names":false,"suffix":""},{"dropping-particle":"","family":"Kadyamatimba","given":"Armstrong","non-dropping-particle":"","parse-names":false,"suffix":""}],"container-title":"Information and Computer Security","id":"ITEM-1","issued":{"date-parts":[["2026"]]},"page":"1-22","publisher":"Emerald Publishing","title":"Evaluating cyber resilience frameworks for e-government: applicability of NIST CSF, ISO/IEC 27001 and COBIT 2019 in developing country contexts","type":"paper-conference"},"uris":["http://www.mendeley.com/documents/?uuid=da0f8a18-6feb-32f5-b3c5-2c9d6434bc6a"]}],"mendeley":{"formattedCitation":"(Rambau &lt;i&gt;et al.&lt;/i&gt;, 2026)","plainTextFormattedCitation":"(Rambau et al., 2026)","previouslyFormattedCitation":"(Rambau &lt;i&gt;et al.&lt;/i&gt;, 2026)"},"properties":{"noteIndex":0},"schema":"https://github.com/citation-style-language/schema/raw/master/csl-citation.json"}</w:instrText>
      </w:r>
      <w:r w:rsidR="002C1770" w:rsidRPr="008176A7">
        <w:rPr>
          <w:rFonts w:cs="Times New Roman"/>
        </w:rPr>
        <w:fldChar w:fldCharType="separate"/>
      </w:r>
      <w:r w:rsidR="008176A7" w:rsidRPr="008176A7">
        <w:rPr>
          <w:rFonts w:cs="Times New Roman"/>
          <w:noProof/>
        </w:rPr>
        <w:t xml:space="preserve">(Rambau </w:t>
      </w:r>
      <w:r w:rsidR="008176A7" w:rsidRPr="008176A7">
        <w:rPr>
          <w:rFonts w:cs="Times New Roman"/>
          <w:i/>
          <w:noProof/>
        </w:rPr>
        <w:t>et al.</w:t>
      </w:r>
      <w:r w:rsidR="008176A7" w:rsidRPr="008176A7">
        <w:rPr>
          <w:rFonts w:cs="Times New Roman"/>
          <w:noProof/>
        </w:rPr>
        <w:t>, 2026)</w:t>
      </w:r>
      <w:r w:rsidR="002C1770" w:rsidRPr="008176A7">
        <w:rPr>
          <w:rFonts w:cs="Times New Roman"/>
        </w:rPr>
        <w:fldChar w:fldCharType="end"/>
      </w:r>
      <w:r w:rsidR="007763FF" w:rsidRPr="008176A7">
        <w:rPr>
          <w:rFonts w:cs="Times New Roman"/>
        </w:rPr>
        <w:t>.</w:t>
      </w:r>
      <w:r w:rsidR="008176A7">
        <w:rPr>
          <w:rFonts w:cs="Times New Roman"/>
        </w:rPr>
        <w:t xml:space="preserve"> </w:t>
      </w:r>
      <w:r w:rsidR="00CA14E4" w:rsidRPr="00CA14E4">
        <w:rPr>
          <w:rFonts w:cs="Times New Roman"/>
        </w:rPr>
        <w:t xml:space="preserve">COBIT can be used to optimize risk, ensure security, </w:t>
      </w:r>
      <w:proofErr w:type="gramStart"/>
      <w:r w:rsidR="00CA14E4" w:rsidRPr="00CA14E4">
        <w:rPr>
          <w:rFonts w:cs="Times New Roman"/>
        </w:rPr>
        <w:t>monitor</w:t>
      </w:r>
      <w:proofErr w:type="gramEnd"/>
      <w:r w:rsidR="00CA14E4" w:rsidRPr="00CA14E4">
        <w:rPr>
          <w:rFonts w:cs="Times New Roman"/>
        </w:rPr>
        <w:t xml:space="preserve"> continuity and compliance. It is also more comprehensive than a </w:t>
      </w:r>
      <w:proofErr w:type="spellStart"/>
      <w:r w:rsidR="00CA14E4" w:rsidRPr="00CA14E4">
        <w:rPr>
          <w:rFonts w:cs="Times New Roman"/>
        </w:rPr>
        <w:t>cybersecurity</w:t>
      </w:r>
      <w:proofErr w:type="spellEnd"/>
      <w:r w:rsidR="00CA14E4" w:rsidRPr="00CA14E4">
        <w:rPr>
          <w:rFonts w:cs="Times New Roman"/>
        </w:rPr>
        <w:t xml:space="preserve"> control framework, and the goal of implementing all of the objectives could lead to undue complexity. The greatest impact is in board level accountability, strategic alignment and performance oversight.</w:t>
      </w:r>
    </w:p>
    <w:p w:rsidR="004C6A63" w:rsidRDefault="004C6A63" w:rsidP="009760FB">
      <w:pPr>
        <w:pStyle w:val="Heading2"/>
        <w:spacing w:line="360" w:lineRule="auto"/>
        <w:rPr>
          <w:rFonts w:cs="Times New Roman"/>
          <w:color w:val="auto"/>
        </w:rPr>
      </w:pPr>
      <w:bookmarkStart w:id="14" w:name="_Toc236305925"/>
      <w:r w:rsidRPr="008E0E80">
        <w:rPr>
          <w:rFonts w:cs="Times New Roman"/>
          <w:color w:val="auto"/>
        </w:rPr>
        <w:t>3.4 ITIL 4</w:t>
      </w:r>
      <w:bookmarkEnd w:id="14"/>
    </w:p>
    <w:p w:rsidR="0026161A" w:rsidRPr="005F3A63" w:rsidRDefault="0026161A" w:rsidP="004017EB">
      <w:pPr>
        <w:spacing w:line="360" w:lineRule="auto"/>
        <w:jc w:val="both"/>
        <w:rPr>
          <w:color w:val="EE0000"/>
        </w:rPr>
      </w:pPr>
      <w:r w:rsidRPr="005F3A63">
        <w:t xml:space="preserve">ITIL 4 focuses on managing and continually improving technology-enabled services. Its supplier, service-level, incident, problem and change-management practices are highly relevant because </w:t>
      </w:r>
      <w:proofErr w:type="spellStart"/>
      <w:r w:rsidRPr="005F3A63">
        <w:t>AeroLink</w:t>
      </w:r>
      <w:proofErr w:type="spellEnd"/>
      <w:r w:rsidRPr="005F3A63">
        <w:t xml:space="preserve"> depends extensively on </w:t>
      </w:r>
      <w:proofErr w:type="spellStart"/>
      <w:r w:rsidRPr="005F3A63">
        <w:t>IaaS</w:t>
      </w:r>
      <w:proofErr w:type="spellEnd"/>
      <w:r w:rsidRPr="005F3A63">
        <w:t xml:space="preserve"> and </w:t>
      </w:r>
      <w:proofErr w:type="spellStart"/>
      <w:r w:rsidRPr="005F3A63">
        <w:t>SaaS</w:t>
      </w:r>
      <w:proofErr w:type="spellEnd"/>
      <w:r w:rsidRPr="005F3A63">
        <w:t xml:space="preserve"> providers</w:t>
      </w:r>
      <w:r w:rsidR="005F3A63" w:rsidRPr="005F3A63">
        <w:t xml:space="preserve"> </w:t>
      </w:r>
      <w:r w:rsidR="002C1770" w:rsidRPr="005F3A63">
        <w:fldChar w:fldCharType="begin" w:fldLock="1"/>
      </w:r>
      <w:r w:rsidR="005F3A63">
        <w:instrText>ADDIN CSL_CITATION {"citationItems":[{"id":"ITEM-1","itemData":{"abstract":"In today's dynamic landscape, the rapid evolution of information technology and the pursuit of excellent technological services have become universal aspirations. Organizations, institutions, and universities are increasingly relying on advanced technology to support their activities, streamline tasks, and enhance business processes. To align with current IT trends, enterprise organizations must adopt centralized methods that prioritize consumers' perspectives on IT services in the context of overall business objectives. XYZ Company exemplifies this approach, having implemented bespoke information technology solutions geared towards managing service activities and processing administrative data efficiently. The Service Operation phase, a crucial lifecycle component encompassing day-today IT service management operations, has been a focal point of XYZ Company's endeavors. The research, focusing on three pivotal processes-Event Management, Request Fulfillment, and Problem Management-reveals a pressing need to enhance hardware, software, and infrastructure to meet XYZ Company's evolving requirements for more effective operations. Moreover, the implementation of Standard Operating Procedures (SOP) and specialized modules for employees emerges as a critical necessity. These strategic enhancements are poised to augment efficiency, ensuring that employees can harness the full potential of information technology in their daily tasks. As XYZ Company navigates the evolving IT landscape, this research underscores the imperative to adapt hardware, software, and procedural frameworks to foster a more effective and streamlined work environment.","author":[{"dropping-particle":"","family":"Shidqi","given":"Shafirina Arsydini","non-dropping-particle":"","parse-names":false,"suffix":""}],"container-title":"IJIIS: International Journal of Informatics and Information Systems","id":"ITEM-1","issue":"4","issued":{"date-parts":[["2023","12","10"]]},"page":"159-168","publisher":"Bright Publisher","title":"Analysis of Information Technology Service Management Using ITIL V3 Domain Service Operation at Company XYZ","type":"article-journal","volume":"6"},"uris":["http://www.mendeley.com/documents/?uuid=8efcb6b0-001b-3b21-ab4b-e3f2f895fd70"]}],"mendeley":{"formattedCitation":"(Shidqi, 2023)","plainTextFormattedCitation":"(Shidqi, 2023)","previouslyFormattedCitation":"(Shidqi, 2023)"},"properties":{"noteIndex":0},"schema":"https://github.com/citation-style-language/schema/raw/master/csl-citation.json"}</w:instrText>
      </w:r>
      <w:r w:rsidR="002C1770" w:rsidRPr="005F3A63">
        <w:fldChar w:fldCharType="separate"/>
      </w:r>
      <w:r w:rsidR="005F3A63" w:rsidRPr="005F3A63">
        <w:rPr>
          <w:noProof/>
        </w:rPr>
        <w:t>(Shidqi, 2023)</w:t>
      </w:r>
      <w:r w:rsidR="002C1770" w:rsidRPr="005F3A63">
        <w:fldChar w:fldCharType="end"/>
      </w:r>
      <w:r w:rsidRPr="005F3A63">
        <w:t>.</w:t>
      </w:r>
      <w:r w:rsidR="005F3A63" w:rsidRPr="005F3A63">
        <w:t xml:space="preserve"> </w:t>
      </w:r>
      <w:r w:rsidRPr="005F3A63">
        <w:t xml:space="preserve">ITIL </w:t>
      </w:r>
      <w:r w:rsidRPr="0026161A">
        <w:t>can translate security requirements into measurable service obligations, including incident-notification periods, recovery objectives and supplier reviews. However, it is not a complete security or compliance framework. Its value lies in embedding governance and security requirements within daily service operations.</w:t>
      </w:r>
    </w:p>
    <w:p w:rsidR="00A30F6D" w:rsidRPr="008E0E80" w:rsidRDefault="00A30F6D" w:rsidP="009760FB">
      <w:pPr>
        <w:pStyle w:val="Heading2"/>
        <w:spacing w:line="360" w:lineRule="auto"/>
        <w:rPr>
          <w:rFonts w:cs="Times New Roman"/>
          <w:color w:val="auto"/>
        </w:rPr>
      </w:pPr>
      <w:bookmarkStart w:id="15" w:name="_Toc236305926"/>
      <w:r w:rsidRPr="008E0E80">
        <w:rPr>
          <w:rFonts w:cs="Times New Roman"/>
          <w:color w:val="auto"/>
        </w:rPr>
        <w:t>3.5 Comparative Evaluation and Framework Selection</w:t>
      </w:r>
      <w:bookmarkEnd w:id="15"/>
    </w:p>
    <w:p w:rsidR="003F0FCE" w:rsidRPr="008E0E80" w:rsidRDefault="006D4620" w:rsidP="009760FB">
      <w:pPr>
        <w:pStyle w:val="Caption"/>
        <w:spacing w:line="360" w:lineRule="auto"/>
        <w:rPr>
          <w:rFonts w:cs="Times New Roman"/>
          <w:color w:val="auto"/>
        </w:rPr>
      </w:pPr>
      <w:bookmarkStart w:id="16" w:name="_Toc236305942"/>
      <w:r w:rsidRPr="008E0E80">
        <w:rPr>
          <w:rFonts w:cs="Times New Roman"/>
          <w:color w:val="auto"/>
        </w:rPr>
        <w:t xml:space="preserve">Table </w:t>
      </w:r>
      <w:r w:rsidR="002C1770" w:rsidRPr="008E0E80">
        <w:rPr>
          <w:rFonts w:cs="Times New Roman"/>
          <w:color w:val="auto"/>
        </w:rPr>
        <w:fldChar w:fldCharType="begin"/>
      </w:r>
      <w:r w:rsidRPr="008E0E80">
        <w:rPr>
          <w:rFonts w:cs="Times New Roman"/>
          <w:color w:val="auto"/>
        </w:rPr>
        <w:instrText xml:space="preserve"> SEQ Table \* ARABIC </w:instrText>
      </w:r>
      <w:r w:rsidR="002C1770" w:rsidRPr="008E0E80">
        <w:rPr>
          <w:rFonts w:cs="Times New Roman"/>
          <w:color w:val="auto"/>
        </w:rPr>
        <w:fldChar w:fldCharType="separate"/>
      </w:r>
      <w:r w:rsidR="00F9465D">
        <w:rPr>
          <w:rFonts w:cs="Times New Roman"/>
          <w:noProof/>
          <w:color w:val="auto"/>
        </w:rPr>
        <w:t>2</w:t>
      </w:r>
      <w:r w:rsidR="002C1770" w:rsidRPr="008E0E80">
        <w:rPr>
          <w:rFonts w:cs="Times New Roman"/>
          <w:color w:val="auto"/>
        </w:rPr>
        <w:fldChar w:fldCharType="end"/>
      </w:r>
      <w:r w:rsidRPr="008E0E80">
        <w:rPr>
          <w:rFonts w:cs="Times New Roman"/>
          <w:color w:val="auto"/>
        </w:rPr>
        <w:t xml:space="preserve">: Comparative </w:t>
      </w:r>
      <w:r w:rsidR="00107185" w:rsidRPr="00107185">
        <w:rPr>
          <w:rFonts w:cs="Times New Roman"/>
          <w:color w:val="auto"/>
        </w:rPr>
        <w:t xml:space="preserve">Evaluation </w:t>
      </w:r>
      <w:r w:rsidRPr="008E0E80">
        <w:rPr>
          <w:rFonts w:cs="Times New Roman"/>
          <w:color w:val="auto"/>
        </w:rPr>
        <w:t xml:space="preserve">of the </w:t>
      </w:r>
      <w:r w:rsidR="00AA44B7" w:rsidRPr="008E0E80">
        <w:rPr>
          <w:rFonts w:cs="Times New Roman"/>
          <w:color w:val="auto"/>
        </w:rPr>
        <w:t>S</w:t>
      </w:r>
      <w:r w:rsidRPr="008E0E80">
        <w:rPr>
          <w:rFonts w:cs="Times New Roman"/>
          <w:color w:val="auto"/>
        </w:rPr>
        <w:t xml:space="preserve">elected </w:t>
      </w:r>
      <w:r w:rsidR="00AA44B7" w:rsidRPr="008E0E80">
        <w:rPr>
          <w:rFonts w:cs="Times New Roman"/>
          <w:color w:val="auto"/>
        </w:rPr>
        <w:t>F</w:t>
      </w:r>
      <w:r w:rsidRPr="008E0E80">
        <w:rPr>
          <w:rFonts w:cs="Times New Roman"/>
          <w:color w:val="auto"/>
        </w:rPr>
        <w:t>rameworks</w:t>
      </w:r>
      <w:bookmarkEnd w:id="16"/>
    </w:p>
    <w:tbl>
      <w:tblPr>
        <w:tblStyle w:val="GridTableLight"/>
        <w:tblW w:w="5000" w:type="pct"/>
        <w:tblLook w:val="04A0"/>
      </w:tblPr>
      <w:tblGrid>
        <w:gridCol w:w="1835"/>
        <w:gridCol w:w="2792"/>
        <w:gridCol w:w="2729"/>
        <w:gridCol w:w="2220"/>
      </w:tblGrid>
      <w:tr w:rsidR="00907B1E" w:rsidRPr="00907B1E" w:rsidTr="00BE585F">
        <w:tc>
          <w:tcPr>
            <w:tcW w:w="958" w:type="pct"/>
            <w:hideMark/>
          </w:tcPr>
          <w:p w:rsidR="00907B1E" w:rsidRPr="00907B1E" w:rsidRDefault="00907B1E" w:rsidP="00B52C0F">
            <w:pPr>
              <w:spacing w:after="160" w:line="360" w:lineRule="auto"/>
              <w:rPr>
                <w:rFonts w:cs="Times New Roman"/>
                <w:b/>
                <w:bCs/>
              </w:rPr>
            </w:pPr>
            <w:r w:rsidRPr="00907B1E">
              <w:rPr>
                <w:rFonts w:cs="Times New Roman"/>
                <w:b/>
                <w:bCs/>
              </w:rPr>
              <w:lastRenderedPageBreak/>
              <w:t>Framework</w:t>
            </w:r>
          </w:p>
        </w:tc>
        <w:tc>
          <w:tcPr>
            <w:tcW w:w="1458" w:type="pct"/>
            <w:hideMark/>
          </w:tcPr>
          <w:p w:rsidR="00907B1E" w:rsidRPr="00907B1E" w:rsidRDefault="00907B1E" w:rsidP="00B52C0F">
            <w:pPr>
              <w:spacing w:after="160" w:line="360" w:lineRule="auto"/>
              <w:rPr>
                <w:rFonts w:cs="Times New Roman"/>
                <w:b/>
                <w:bCs/>
              </w:rPr>
            </w:pPr>
            <w:r w:rsidRPr="00907B1E">
              <w:rPr>
                <w:rFonts w:cs="Times New Roman"/>
                <w:b/>
                <w:bCs/>
              </w:rPr>
              <w:t>Primary strength</w:t>
            </w:r>
          </w:p>
        </w:tc>
        <w:tc>
          <w:tcPr>
            <w:tcW w:w="1425" w:type="pct"/>
            <w:hideMark/>
          </w:tcPr>
          <w:p w:rsidR="00907B1E" w:rsidRPr="00907B1E" w:rsidRDefault="00907B1E" w:rsidP="00B52C0F">
            <w:pPr>
              <w:spacing w:after="160" w:line="360" w:lineRule="auto"/>
              <w:rPr>
                <w:rFonts w:cs="Times New Roman"/>
                <w:b/>
                <w:bCs/>
              </w:rPr>
            </w:pPr>
            <w:r w:rsidRPr="00907B1E">
              <w:rPr>
                <w:rFonts w:cs="Times New Roman"/>
                <w:b/>
                <w:bCs/>
              </w:rPr>
              <w:t>Limitation if used alone</w:t>
            </w:r>
          </w:p>
        </w:tc>
        <w:tc>
          <w:tcPr>
            <w:tcW w:w="1159" w:type="pct"/>
            <w:hideMark/>
          </w:tcPr>
          <w:p w:rsidR="00907B1E" w:rsidRPr="00907B1E" w:rsidRDefault="00907B1E" w:rsidP="00B52C0F">
            <w:pPr>
              <w:spacing w:after="160" w:line="360" w:lineRule="auto"/>
              <w:rPr>
                <w:rFonts w:cs="Times New Roman"/>
                <w:b/>
                <w:bCs/>
              </w:rPr>
            </w:pPr>
            <w:r w:rsidRPr="00907B1E">
              <w:rPr>
                <w:rFonts w:cs="Times New Roman"/>
                <w:b/>
                <w:bCs/>
              </w:rPr>
              <w:t xml:space="preserve">Proposed </w:t>
            </w:r>
            <w:proofErr w:type="spellStart"/>
            <w:r w:rsidRPr="00907B1E">
              <w:rPr>
                <w:rFonts w:cs="Times New Roman"/>
                <w:b/>
                <w:bCs/>
              </w:rPr>
              <w:t>AeroLink</w:t>
            </w:r>
            <w:proofErr w:type="spellEnd"/>
            <w:r w:rsidRPr="00907B1E">
              <w:rPr>
                <w:rFonts w:cs="Times New Roman"/>
                <w:b/>
                <w:bCs/>
              </w:rPr>
              <w:t xml:space="preserve"> role</w:t>
            </w:r>
          </w:p>
        </w:tc>
      </w:tr>
      <w:tr w:rsidR="00907B1E" w:rsidRPr="00907B1E" w:rsidTr="00BE585F">
        <w:tc>
          <w:tcPr>
            <w:tcW w:w="958" w:type="pct"/>
            <w:hideMark/>
          </w:tcPr>
          <w:p w:rsidR="00907B1E" w:rsidRPr="00907B1E" w:rsidRDefault="00907B1E" w:rsidP="00B52C0F">
            <w:pPr>
              <w:spacing w:after="160" w:line="360" w:lineRule="auto"/>
              <w:rPr>
                <w:rFonts w:cs="Times New Roman"/>
              </w:rPr>
            </w:pPr>
            <w:r w:rsidRPr="00907B1E">
              <w:rPr>
                <w:rFonts w:cs="Times New Roman"/>
              </w:rPr>
              <w:t>COBIT 2019</w:t>
            </w:r>
          </w:p>
        </w:tc>
        <w:tc>
          <w:tcPr>
            <w:tcW w:w="1458" w:type="pct"/>
            <w:hideMark/>
          </w:tcPr>
          <w:p w:rsidR="00907B1E" w:rsidRPr="00907B1E" w:rsidRDefault="00907B1E" w:rsidP="00B52C0F">
            <w:pPr>
              <w:spacing w:after="160" w:line="360" w:lineRule="auto"/>
              <w:rPr>
                <w:rFonts w:cs="Times New Roman"/>
              </w:rPr>
            </w:pPr>
            <w:r w:rsidRPr="00907B1E">
              <w:rPr>
                <w:rFonts w:cs="Times New Roman"/>
              </w:rPr>
              <w:t>Governance, accountability and strategic alignment</w:t>
            </w:r>
          </w:p>
        </w:tc>
        <w:tc>
          <w:tcPr>
            <w:tcW w:w="1425" w:type="pct"/>
            <w:hideMark/>
          </w:tcPr>
          <w:p w:rsidR="00907B1E" w:rsidRPr="00907B1E" w:rsidRDefault="00907B1E" w:rsidP="00B52C0F">
            <w:pPr>
              <w:spacing w:after="160" w:line="360" w:lineRule="auto"/>
              <w:rPr>
                <w:rFonts w:cs="Times New Roman"/>
              </w:rPr>
            </w:pPr>
            <w:r w:rsidRPr="00907B1E">
              <w:rPr>
                <w:rFonts w:cs="Times New Roman"/>
              </w:rPr>
              <w:t>Limited detailed technical controls</w:t>
            </w:r>
          </w:p>
        </w:tc>
        <w:tc>
          <w:tcPr>
            <w:tcW w:w="1159" w:type="pct"/>
            <w:hideMark/>
          </w:tcPr>
          <w:p w:rsidR="00907B1E" w:rsidRPr="00907B1E" w:rsidRDefault="00907B1E" w:rsidP="00B52C0F">
            <w:pPr>
              <w:spacing w:after="160" w:line="360" w:lineRule="auto"/>
              <w:rPr>
                <w:rFonts w:cs="Times New Roman"/>
              </w:rPr>
            </w:pPr>
            <w:r w:rsidRPr="00907B1E">
              <w:rPr>
                <w:rFonts w:cs="Times New Roman"/>
              </w:rPr>
              <w:t>Enterprise governance layer</w:t>
            </w:r>
          </w:p>
        </w:tc>
      </w:tr>
      <w:tr w:rsidR="00907B1E" w:rsidRPr="00907B1E" w:rsidTr="00BE585F">
        <w:tc>
          <w:tcPr>
            <w:tcW w:w="958" w:type="pct"/>
            <w:hideMark/>
          </w:tcPr>
          <w:p w:rsidR="00907B1E" w:rsidRPr="00907B1E" w:rsidRDefault="00907B1E" w:rsidP="00B52C0F">
            <w:pPr>
              <w:spacing w:after="160" w:line="360" w:lineRule="auto"/>
              <w:rPr>
                <w:rFonts w:cs="Times New Roman"/>
              </w:rPr>
            </w:pPr>
            <w:r w:rsidRPr="00907B1E">
              <w:rPr>
                <w:rFonts w:cs="Times New Roman"/>
              </w:rPr>
              <w:t>ISO/IEC 27001 and 27002</w:t>
            </w:r>
          </w:p>
        </w:tc>
        <w:tc>
          <w:tcPr>
            <w:tcW w:w="1458" w:type="pct"/>
            <w:hideMark/>
          </w:tcPr>
          <w:p w:rsidR="00907B1E" w:rsidRPr="00907B1E" w:rsidRDefault="00907B1E" w:rsidP="00B52C0F">
            <w:pPr>
              <w:spacing w:after="160" w:line="360" w:lineRule="auto"/>
              <w:rPr>
                <w:rFonts w:cs="Times New Roman"/>
              </w:rPr>
            </w:pPr>
            <w:r w:rsidRPr="00907B1E">
              <w:rPr>
                <w:rFonts w:cs="Times New Roman"/>
              </w:rPr>
              <w:t>Auditable ISMS and risk-based control selection</w:t>
            </w:r>
          </w:p>
        </w:tc>
        <w:tc>
          <w:tcPr>
            <w:tcW w:w="1425" w:type="pct"/>
            <w:hideMark/>
          </w:tcPr>
          <w:p w:rsidR="00907B1E" w:rsidRPr="00907B1E" w:rsidRDefault="00907B1E" w:rsidP="00B52C0F">
            <w:pPr>
              <w:spacing w:after="160" w:line="360" w:lineRule="auto"/>
              <w:rPr>
                <w:rFonts w:cs="Times New Roman"/>
              </w:rPr>
            </w:pPr>
            <w:r w:rsidRPr="00907B1E">
              <w:rPr>
                <w:rFonts w:cs="Times New Roman"/>
              </w:rPr>
              <w:t>May become documentation-led or narrowly scoped</w:t>
            </w:r>
          </w:p>
        </w:tc>
        <w:tc>
          <w:tcPr>
            <w:tcW w:w="1159" w:type="pct"/>
            <w:hideMark/>
          </w:tcPr>
          <w:p w:rsidR="00907B1E" w:rsidRPr="00907B1E" w:rsidRDefault="00907B1E" w:rsidP="00B52C0F">
            <w:pPr>
              <w:spacing w:after="160" w:line="360" w:lineRule="auto"/>
              <w:rPr>
                <w:rFonts w:cs="Times New Roman"/>
              </w:rPr>
            </w:pPr>
            <w:r w:rsidRPr="00907B1E">
              <w:rPr>
                <w:rFonts w:cs="Times New Roman"/>
              </w:rPr>
              <w:t>Management and assurance foundation</w:t>
            </w:r>
          </w:p>
        </w:tc>
      </w:tr>
      <w:tr w:rsidR="00907B1E" w:rsidRPr="00907B1E" w:rsidTr="00BE585F">
        <w:tc>
          <w:tcPr>
            <w:tcW w:w="958" w:type="pct"/>
            <w:hideMark/>
          </w:tcPr>
          <w:p w:rsidR="00907B1E" w:rsidRPr="00907B1E" w:rsidRDefault="00907B1E" w:rsidP="00B52C0F">
            <w:pPr>
              <w:spacing w:after="160" w:line="360" w:lineRule="auto"/>
              <w:rPr>
                <w:rFonts w:cs="Times New Roman"/>
              </w:rPr>
            </w:pPr>
            <w:r w:rsidRPr="00907B1E">
              <w:rPr>
                <w:rFonts w:cs="Times New Roman"/>
              </w:rPr>
              <w:t>NIST CSF 2.0</w:t>
            </w:r>
          </w:p>
        </w:tc>
        <w:tc>
          <w:tcPr>
            <w:tcW w:w="1458" w:type="pct"/>
            <w:hideMark/>
          </w:tcPr>
          <w:p w:rsidR="00907B1E" w:rsidRPr="00907B1E" w:rsidRDefault="00907B1E" w:rsidP="00B52C0F">
            <w:pPr>
              <w:spacing w:after="160" w:line="360" w:lineRule="auto"/>
              <w:rPr>
                <w:rFonts w:cs="Times New Roman"/>
              </w:rPr>
            </w:pPr>
            <w:r w:rsidRPr="00907B1E">
              <w:rPr>
                <w:rFonts w:cs="Times New Roman"/>
              </w:rPr>
              <w:t xml:space="preserve">Flexible </w:t>
            </w:r>
            <w:proofErr w:type="spellStart"/>
            <w:r w:rsidRPr="00907B1E">
              <w:rPr>
                <w:rFonts w:cs="Times New Roman"/>
              </w:rPr>
              <w:t>cybersecurity</w:t>
            </w:r>
            <w:proofErr w:type="spellEnd"/>
            <w:r w:rsidRPr="00907B1E">
              <w:rPr>
                <w:rFonts w:cs="Times New Roman"/>
              </w:rPr>
              <w:t xml:space="preserve"> lifecycle and maturity improvement</w:t>
            </w:r>
          </w:p>
        </w:tc>
        <w:tc>
          <w:tcPr>
            <w:tcW w:w="1425" w:type="pct"/>
            <w:hideMark/>
          </w:tcPr>
          <w:p w:rsidR="00907B1E" w:rsidRPr="00907B1E" w:rsidRDefault="00907B1E" w:rsidP="00B52C0F">
            <w:pPr>
              <w:spacing w:after="160" w:line="360" w:lineRule="auto"/>
              <w:rPr>
                <w:rFonts w:cs="Times New Roman"/>
              </w:rPr>
            </w:pPr>
            <w:r w:rsidRPr="00907B1E">
              <w:rPr>
                <w:rFonts w:cs="Times New Roman"/>
              </w:rPr>
              <w:t>Does not prescribe implementation or certification</w:t>
            </w:r>
          </w:p>
        </w:tc>
        <w:tc>
          <w:tcPr>
            <w:tcW w:w="1159" w:type="pct"/>
            <w:hideMark/>
          </w:tcPr>
          <w:p w:rsidR="00907B1E" w:rsidRPr="00907B1E" w:rsidRDefault="00907B1E" w:rsidP="00B52C0F">
            <w:pPr>
              <w:spacing w:after="160" w:line="360" w:lineRule="auto"/>
              <w:rPr>
                <w:rFonts w:cs="Times New Roman"/>
              </w:rPr>
            </w:pPr>
            <w:r w:rsidRPr="00907B1E">
              <w:rPr>
                <w:rFonts w:cs="Times New Roman"/>
              </w:rPr>
              <w:t xml:space="preserve">Operational </w:t>
            </w:r>
            <w:proofErr w:type="spellStart"/>
            <w:r w:rsidRPr="00907B1E">
              <w:rPr>
                <w:rFonts w:cs="Times New Roman"/>
              </w:rPr>
              <w:t>cybersecurity</w:t>
            </w:r>
            <w:proofErr w:type="spellEnd"/>
            <w:r w:rsidRPr="00907B1E">
              <w:rPr>
                <w:rFonts w:cs="Times New Roman"/>
              </w:rPr>
              <w:t xml:space="preserve"> structure</w:t>
            </w:r>
          </w:p>
        </w:tc>
      </w:tr>
      <w:tr w:rsidR="00907B1E" w:rsidRPr="00907B1E" w:rsidTr="00BE585F">
        <w:tc>
          <w:tcPr>
            <w:tcW w:w="958" w:type="pct"/>
            <w:hideMark/>
          </w:tcPr>
          <w:p w:rsidR="00907B1E" w:rsidRPr="00907B1E" w:rsidRDefault="00907B1E" w:rsidP="00B52C0F">
            <w:pPr>
              <w:spacing w:after="160" w:line="360" w:lineRule="auto"/>
              <w:rPr>
                <w:rFonts w:cs="Times New Roman"/>
              </w:rPr>
            </w:pPr>
            <w:r w:rsidRPr="00907B1E">
              <w:rPr>
                <w:rFonts w:cs="Times New Roman"/>
              </w:rPr>
              <w:t>ITIL 4</w:t>
            </w:r>
          </w:p>
        </w:tc>
        <w:tc>
          <w:tcPr>
            <w:tcW w:w="1458" w:type="pct"/>
            <w:hideMark/>
          </w:tcPr>
          <w:p w:rsidR="00907B1E" w:rsidRPr="00907B1E" w:rsidRDefault="00907B1E" w:rsidP="00B52C0F">
            <w:pPr>
              <w:spacing w:after="160" w:line="360" w:lineRule="auto"/>
              <w:rPr>
                <w:rFonts w:cs="Times New Roman"/>
              </w:rPr>
            </w:pPr>
            <w:r w:rsidRPr="00907B1E">
              <w:rPr>
                <w:rFonts w:cs="Times New Roman"/>
              </w:rPr>
              <w:t>Service, supplier, incident and change management</w:t>
            </w:r>
          </w:p>
        </w:tc>
        <w:tc>
          <w:tcPr>
            <w:tcW w:w="1425" w:type="pct"/>
            <w:hideMark/>
          </w:tcPr>
          <w:p w:rsidR="00907B1E" w:rsidRPr="00907B1E" w:rsidRDefault="00907B1E" w:rsidP="00B52C0F">
            <w:pPr>
              <w:spacing w:after="160" w:line="360" w:lineRule="auto"/>
              <w:rPr>
                <w:rFonts w:cs="Times New Roman"/>
              </w:rPr>
            </w:pPr>
            <w:r w:rsidRPr="00907B1E">
              <w:rPr>
                <w:rFonts w:cs="Times New Roman"/>
              </w:rPr>
              <w:t>Not a complete security or legal framework</w:t>
            </w:r>
          </w:p>
        </w:tc>
        <w:tc>
          <w:tcPr>
            <w:tcW w:w="1159" w:type="pct"/>
            <w:hideMark/>
          </w:tcPr>
          <w:p w:rsidR="00907B1E" w:rsidRPr="00907B1E" w:rsidRDefault="00907B1E" w:rsidP="00B52C0F">
            <w:pPr>
              <w:spacing w:after="160" w:line="360" w:lineRule="auto"/>
              <w:rPr>
                <w:rFonts w:cs="Times New Roman"/>
              </w:rPr>
            </w:pPr>
            <w:r w:rsidRPr="00907B1E">
              <w:rPr>
                <w:rFonts w:cs="Times New Roman"/>
              </w:rPr>
              <w:t>Service-management integration</w:t>
            </w:r>
          </w:p>
        </w:tc>
      </w:tr>
    </w:tbl>
    <w:p w:rsidR="00EB3306" w:rsidRDefault="00EB3306" w:rsidP="009760FB">
      <w:pPr>
        <w:spacing w:line="360" w:lineRule="auto"/>
        <w:jc w:val="both"/>
        <w:rPr>
          <w:rFonts w:cs="Times New Roman"/>
        </w:rPr>
      </w:pPr>
    </w:p>
    <w:p w:rsidR="00EB3306" w:rsidRPr="008E0E80" w:rsidRDefault="00EB3306" w:rsidP="009760FB">
      <w:pPr>
        <w:spacing w:line="360" w:lineRule="auto"/>
        <w:jc w:val="both"/>
        <w:rPr>
          <w:rFonts w:cs="Times New Roman"/>
        </w:rPr>
      </w:pPr>
      <w:r w:rsidRPr="005F3A63">
        <w:rPr>
          <w:rFonts w:cs="Times New Roman"/>
        </w:rPr>
        <w:t xml:space="preserve">No single framework addresses </w:t>
      </w:r>
      <w:proofErr w:type="spellStart"/>
      <w:r w:rsidRPr="005F3A63">
        <w:rPr>
          <w:rFonts w:cs="Times New Roman"/>
        </w:rPr>
        <w:t>AeroLink’s</w:t>
      </w:r>
      <w:proofErr w:type="spellEnd"/>
      <w:r w:rsidRPr="005F3A63">
        <w:rPr>
          <w:rFonts w:cs="Times New Roman"/>
        </w:rPr>
        <w:t xml:space="preserve"> combined governance, operational and compliance needs</w:t>
      </w:r>
      <w:r w:rsidR="005F3A63">
        <w:rPr>
          <w:rFonts w:cs="Times New Roman"/>
        </w:rPr>
        <w:t xml:space="preserve"> </w:t>
      </w:r>
      <w:r w:rsidR="002C1770">
        <w:rPr>
          <w:rFonts w:cs="Times New Roman"/>
        </w:rPr>
        <w:fldChar w:fldCharType="begin" w:fldLock="1"/>
      </w:r>
      <w:r w:rsidR="005F3A63">
        <w:rPr>
          <w:rFonts w:cs="Times New Roman"/>
        </w:rPr>
        <w:instrText>ADDIN CSL_CITATION {"citationItems":[{"id":"ITEM-1","itemData":{"URL":"https://aerolink.dev/governance","accessed":{"date-parts":[["2026","7","30"]]},"author":[{"dropping-particle":"","family":"Aerolink","given":"","non-dropping-particle":"","parse-names":false,"suffix":""}],"id":"ITEM-1","issued":{"date-parts":[["2026"]]},"title":"AeroLink — Post-Quantum Secure Airspace Coordination Infrastructure","type":"webpage"},"uris":["http://www.mendeley.com/documents/?uuid=c26c4fd8-16c5-3f12-8bb2-a63f78f06dec"]}],"mendeley":{"formattedCitation":"(Aerolink, 2026)","plainTextFormattedCitation":"(Aerolink, 2026)","previouslyFormattedCitation":"(Aerolink, 2026)"},"properties":{"noteIndex":0},"schema":"https://github.com/citation-style-language/schema/raw/master/csl-citation.json"}</w:instrText>
      </w:r>
      <w:r w:rsidR="002C1770">
        <w:rPr>
          <w:rFonts w:cs="Times New Roman"/>
        </w:rPr>
        <w:fldChar w:fldCharType="separate"/>
      </w:r>
      <w:r w:rsidR="005F3A63" w:rsidRPr="005F3A63">
        <w:rPr>
          <w:rFonts w:cs="Times New Roman"/>
          <w:noProof/>
        </w:rPr>
        <w:t>(Aerolink, 2026)</w:t>
      </w:r>
      <w:r w:rsidR="002C1770">
        <w:rPr>
          <w:rFonts w:cs="Times New Roman"/>
        </w:rPr>
        <w:fldChar w:fldCharType="end"/>
      </w:r>
      <w:r w:rsidRPr="005F3A63">
        <w:rPr>
          <w:rFonts w:cs="Times New Roman"/>
        </w:rPr>
        <w:t xml:space="preserve">. </w:t>
      </w:r>
      <w:r w:rsidRPr="00EB3306">
        <w:rPr>
          <w:rFonts w:cs="Times New Roman"/>
        </w:rPr>
        <w:t xml:space="preserve">COBIT should provide strategic direction and accountability, ISO/IEC 27001 and 27002 should establish the ISMS and control-assurance foundation, NIST CSF should structure operational </w:t>
      </w:r>
      <w:proofErr w:type="spellStart"/>
      <w:r w:rsidRPr="00EB3306">
        <w:rPr>
          <w:rFonts w:cs="Times New Roman"/>
        </w:rPr>
        <w:t>cybersecurity</w:t>
      </w:r>
      <w:proofErr w:type="spellEnd"/>
      <w:r w:rsidRPr="00EB3306">
        <w:rPr>
          <w:rFonts w:cs="Times New Roman"/>
        </w:rPr>
        <w:t xml:space="preserve"> outcomes, and ITIL should integrate requirements into services and supplier relationships. </w:t>
      </w:r>
      <w:proofErr w:type="spellStart"/>
      <w:r w:rsidRPr="00EB3306">
        <w:rPr>
          <w:rFonts w:cs="Times New Roman"/>
        </w:rPr>
        <w:t>AeroLink</w:t>
      </w:r>
      <w:proofErr w:type="spellEnd"/>
      <w:r w:rsidRPr="00EB3306">
        <w:rPr>
          <w:rFonts w:cs="Times New Roman"/>
        </w:rPr>
        <w:t xml:space="preserve"> should avoid operating four separate </w:t>
      </w:r>
      <w:proofErr w:type="spellStart"/>
      <w:r w:rsidRPr="00EB3306">
        <w:rPr>
          <w:rFonts w:cs="Times New Roman"/>
        </w:rPr>
        <w:t>programmes</w:t>
      </w:r>
      <w:proofErr w:type="spellEnd"/>
      <w:r w:rsidRPr="00EB3306">
        <w:rPr>
          <w:rFonts w:cs="Times New Roman"/>
        </w:rPr>
        <w:t xml:space="preserve"> by maintaining one risk register, control library and assurance schedule mapped across the frameworks</w:t>
      </w:r>
      <w:r w:rsidR="00736A27">
        <w:rPr>
          <w:rFonts w:cs="Times New Roman"/>
        </w:rPr>
        <w:t>.</w:t>
      </w:r>
    </w:p>
    <w:p w:rsidR="00C60C43" w:rsidRPr="008E0E80" w:rsidRDefault="00EE31E9" w:rsidP="009760FB">
      <w:pPr>
        <w:pStyle w:val="Heading1"/>
        <w:spacing w:line="360" w:lineRule="auto"/>
        <w:rPr>
          <w:rFonts w:cs="Times New Roman"/>
          <w:b w:val="0"/>
          <w:bCs/>
          <w:color w:val="auto"/>
          <w:szCs w:val="32"/>
        </w:rPr>
      </w:pPr>
      <w:bookmarkStart w:id="17" w:name="_Toc236305927"/>
      <w:r w:rsidRPr="008E0E80">
        <w:rPr>
          <w:rFonts w:cs="Times New Roman"/>
          <w:bCs/>
          <w:color w:val="auto"/>
          <w:szCs w:val="32"/>
        </w:rPr>
        <w:lastRenderedPageBreak/>
        <w:t>4.</w:t>
      </w:r>
      <w:r w:rsidR="004D3EF7" w:rsidRPr="008E0E80">
        <w:rPr>
          <w:rFonts w:cs="Times New Roman"/>
          <w:bCs/>
          <w:color w:val="auto"/>
          <w:szCs w:val="32"/>
        </w:rPr>
        <w:t xml:space="preserve"> Proposed Integrated Security, Governance and Compliance Approach for </w:t>
      </w:r>
      <w:proofErr w:type="spellStart"/>
      <w:r w:rsidR="004D3EF7" w:rsidRPr="008E0E80">
        <w:rPr>
          <w:rFonts w:cs="Times New Roman"/>
          <w:bCs/>
          <w:color w:val="auto"/>
          <w:szCs w:val="32"/>
        </w:rPr>
        <w:t>AeroLink</w:t>
      </w:r>
      <w:proofErr w:type="spellEnd"/>
      <w:r w:rsidR="004D3EF7" w:rsidRPr="008E0E80">
        <w:rPr>
          <w:rFonts w:cs="Times New Roman"/>
          <w:bCs/>
          <w:color w:val="auto"/>
          <w:szCs w:val="32"/>
        </w:rPr>
        <w:t xml:space="preserve"> Logistics</w:t>
      </w:r>
      <w:bookmarkEnd w:id="17"/>
    </w:p>
    <w:p w:rsidR="008338CC" w:rsidRDefault="008338CC" w:rsidP="009760FB">
      <w:pPr>
        <w:pStyle w:val="Heading2"/>
        <w:spacing w:line="360" w:lineRule="auto"/>
        <w:rPr>
          <w:rFonts w:cs="Times New Roman"/>
          <w:color w:val="auto"/>
        </w:rPr>
      </w:pPr>
      <w:bookmarkStart w:id="18" w:name="_Toc236305928"/>
      <w:r w:rsidRPr="008E0E80">
        <w:rPr>
          <w:rFonts w:cs="Times New Roman"/>
          <w:color w:val="auto"/>
        </w:rPr>
        <w:t xml:space="preserve">4.1 </w:t>
      </w:r>
      <w:r w:rsidR="00F42FB3" w:rsidRPr="008E0E80">
        <w:rPr>
          <w:rFonts w:cs="Times New Roman"/>
          <w:color w:val="auto"/>
        </w:rPr>
        <w:t>Design Principles and Architecture</w:t>
      </w:r>
      <w:bookmarkEnd w:id="18"/>
    </w:p>
    <w:p w:rsidR="008D2194" w:rsidRPr="002152B7" w:rsidRDefault="002027CB" w:rsidP="003A53FE">
      <w:pPr>
        <w:spacing w:line="360" w:lineRule="auto"/>
        <w:jc w:val="both"/>
      </w:pPr>
      <w:r w:rsidRPr="002027CB">
        <w:t>The proposed integrated model instead assigns each framework a distinct role within one risk-based system.</w:t>
      </w:r>
      <w:r w:rsidR="009342B4">
        <w:t xml:space="preserve"> </w:t>
      </w:r>
      <w:r w:rsidR="006D5473" w:rsidRPr="002152B7">
        <w:t xml:space="preserve">The design follows five principles: </w:t>
      </w:r>
      <w:proofErr w:type="spellStart"/>
      <w:r w:rsidR="006D5473" w:rsidRPr="002152B7">
        <w:t>prioritising</w:t>
      </w:r>
      <w:proofErr w:type="spellEnd"/>
      <w:r w:rsidR="006D5473" w:rsidRPr="002152B7">
        <w:t xml:space="preserve"> controls according to business impact; assigning accountability to board, business, system and supplier owners; applying zero-trust and </w:t>
      </w:r>
      <w:proofErr w:type="spellStart"/>
      <w:r w:rsidR="006D5473" w:rsidRPr="002152B7">
        <w:t>defence</w:t>
      </w:r>
      <w:proofErr w:type="spellEnd"/>
      <w:r w:rsidR="006D5473" w:rsidRPr="002152B7">
        <w:t>-in-depth access; requiring evidence-based supplier assurance; and using incidents, audits, regulatory developments and technology changes to drive continual improvement.</w:t>
      </w:r>
    </w:p>
    <w:p w:rsidR="005263C4" w:rsidRPr="008D2194" w:rsidRDefault="001C7543" w:rsidP="003A53FE">
      <w:pPr>
        <w:spacing w:line="360" w:lineRule="auto"/>
        <w:jc w:val="both"/>
      </w:pPr>
      <w:r w:rsidRPr="008D2194">
        <w:t xml:space="preserve">For instance, unmanaged-device access would be controlled via COBIT accountability and </w:t>
      </w:r>
      <w:r w:rsidR="001A34EA" w:rsidRPr="001A34EA">
        <w:t>assessed and treated through the ISO/IEC 27001 risk process</w:t>
      </w:r>
      <w:r w:rsidRPr="008D2194">
        <w:t>, implemented through NIST Protect and Detect outcomes and enforced via ITIL supplier and service-management practices.</w:t>
      </w:r>
    </w:p>
    <w:p w:rsidR="0076208A" w:rsidRDefault="0076208A" w:rsidP="0076208A">
      <w:pPr>
        <w:spacing w:line="360" w:lineRule="auto"/>
        <w:jc w:val="center"/>
        <w:rPr>
          <w:rFonts w:cs="Times New Roman"/>
        </w:rPr>
      </w:pPr>
      <w:r w:rsidRPr="008E0E80">
        <w:rPr>
          <w:rFonts w:cs="Times New Roman"/>
          <w:noProof/>
        </w:rPr>
        <w:lastRenderedPageBreak/>
        <w:drawing>
          <wp:inline distT="0" distB="0" distL="0" distR="0">
            <wp:extent cx="5943600" cy="5300345"/>
            <wp:effectExtent l="0" t="0" r="0" b="0"/>
            <wp:docPr id="1226758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758653" name="Picture 1226758653"/>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5300345"/>
                    </a:xfrm>
                    <a:prstGeom prst="rect">
                      <a:avLst/>
                    </a:prstGeom>
                  </pic:spPr>
                </pic:pic>
              </a:graphicData>
            </a:graphic>
          </wp:inline>
        </w:drawing>
      </w:r>
    </w:p>
    <w:p w:rsidR="0076208A" w:rsidRDefault="0076208A" w:rsidP="0076208A">
      <w:pPr>
        <w:pStyle w:val="Figure"/>
      </w:pPr>
      <w:bookmarkStart w:id="19" w:name="_Toc236305940"/>
      <w:r w:rsidRPr="008E0E80">
        <w:t xml:space="preserve">Figure </w:t>
      </w:r>
      <w:r w:rsidR="002C1770">
        <w:fldChar w:fldCharType="begin"/>
      </w:r>
      <w:r>
        <w:instrText xml:space="preserve"> SEQ Figure \* ARABIC </w:instrText>
      </w:r>
      <w:r w:rsidR="002C1770">
        <w:fldChar w:fldCharType="separate"/>
      </w:r>
      <w:r w:rsidRPr="008E0E80">
        <w:t>2</w:t>
      </w:r>
      <w:r w:rsidR="002C1770">
        <w:fldChar w:fldCharType="end"/>
      </w:r>
      <w:r w:rsidRPr="008E0E80">
        <w:t xml:space="preserve">: </w:t>
      </w:r>
      <w:proofErr w:type="spellStart"/>
      <w:r w:rsidRPr="008E0E80">
        <w:t>AeroLink</w:t>
      </w:r>
      <w:proofErr w:type="spellEnd"/>
      <w:r w:rsidRPr="008E0E80">
        <w:t xml:space="preserve"> Integrated Security Governance and Compliance Model</w:t>
      </w:r>
      <w:bookmarkEnd w:id="19"/>
    </w:p>
    <w:p w:rsidR="00C01719" w:rsidRDefault="008338CC" w:rsidP="00F624A3">
      <w:pPr>
        <w:pStyle w:val="Heading2"/>
        <w:spacing w:line="360" w:lineRule="auto"/>
        <w:rPr>
          <w:rFonts w:cs="Times New Roman"/>
          <w:color w:val="auto"/>
        </w:rPr>
      </w:pPr>
      <w:bookmarkStart w:id="20" w:name="_Toc236305929"/>
      <w:r w:rsidRPr="008E0E80">
        <w:rPr>
          <w:rFonts w:cs="Times New Roman"/>
          <w:color w:val="auto"/>
        </w:rPr>
        <w:t xml:space="preserve">4.2 </w:t>
      </w:r>
      <w:r w:rsidR="00584312" w:rsidRPr="00584312">
        <w:rPr>
          <w:rFonts w:cs="Times New Roman"/>
          <w:color w:val="auto"/>
        </w:rPr>
        <w:t>Governance, Risk Management and Compliance</w:t>
      </w:r>
      <w:bookmarkEnd w:id="20"/>
    </w:p>
    <w:p w:rsidR="00BD4A17" w:rsidRDefault="000754ED" w:rsidP="00F624A3">
      <w:pPr>
        <w:spacing w:line="360" w:lineRule="auto"/>
        <w:jc w:val="both"/>
      </w:pPr>
      <w:proofErr w:type="spellStart"/>
      <w:r w:rsidRPr="000754ED">
        <w:t>AeroLink's</w:t>
      </w:r>
      <w:proofErr w:type="spellEnd"/>
      <w:r w:rsidRPr="000754ED">
        <w:t xml:space="preserve"> security strategy and risk appetite, as well as material risks, should be approved by the Board of Directors. A Board Risk and Audit Committee should be responsible for watching for major incidents, high-risk suppliers, audit results and remediation that is overdue. Co-ordination of operations should be facilitated by an Information Security Steering Committee of security personnel, legal, privacy, procurement, IT, business continuity and logistics operations.</w:t>
      </w:r>
    </w:p>
    <w:p w:rsidR="00BD4A17" w:rsidRDefault="000754ED" w:rsidP="00F624A3">
      <w:pPr>
        <w:spacing w:line="360" w:lineRule="auto"/>
        <w:jc w:val="both"/>
      </w:pPr>
      <w:r w:rsidRPr="000754ED">
        <w:t xml:space="preserve">The CISO should be the driver of the security </w:t>
      </w:r>
      <w:proofErr w:type="spellStart"/>
      <w:r w:rsidRPr="000754ED">
        <w:t>programme</w:t>
      </w:r>
      <w:proofErr w:type="spellEnd"/>
      <w:r w:rsidRPr="000754ED">
        <w:t xml:space="preserve">, but business and service owners should retain responsibility for any risks to their systems. </w:t>
      </w:r>
      <w:r w:rsidR="003C1258" w:rsidRPr="005F3A63">
        <w:t xml:space="preserve">A privacy lead or Data Protection </w:t>
      </w:r>
      <w:r w:rsidR="003C1258" w:rsidRPr="005F3A63">
        <w:lastRenderedPageBreak/>
        <w:t>Officer should advise on personal-data processing, Data Protection Impact Assessments and breach-notification obligations where applicable</w:t>
      </w:r>
      <w:r w:rsidR="005F3A63">
        <w:t xml:space="preserve"> </w:t>
      </w:r>
      <w:r w:rsidR="002C1770">
        <w:fldChar w:fldCharType="begin" w:fldLock="1"/>
      </w:r>
      <w:r w:rsidR="005F3A63">
        <w:instrText>ADDIN CSL_CITATION {"citationItems":[{"id":"ITEM-1","itemData":{"ISSN":"2380-7571","abstract":"The EU General Data Protection Regulation (GDPR) introduced new standards for data breach notification. Articles 33 and 34 of the Regulation require that in the event of a data breach, the supervisory authority and data subjects must be informed. This paper discusses the European legal framework for data breach notification and its implications for organizations, data subjects, and supervisory authorities. By analyzing the main provisions, deadlines, and requirements of the Regulation, it examines the problems and possibilities of the data breach notification system provided for in the Regulation. It highlights the transformative impact of the breach notification provisions on data security, privacy, and liability. By examining breaches from the perspectives of legal obligations, organizational responsibilities, and individual and user rights, we aim to shed light on the complex dimensions of this critical element of data protection and its profound impact on data protection practices in the digital age. Ultimately, this study serves as a benchmark for the GDPR’s breach notification provisions with the US California Consumer Protection Act and the Canadian Privacy and Electronic Documents Act. As technology continues to evolve with artificial intelligence, big data, blockchains, and the Internet of Things, new security gaps and data processing methods will emerge that will set new standards for data breach notification.","author":[{"dropping-particle":"","family":"De-Yolande","given":"M’Bia Hortense","non-dropping-particle":"","parse-names":false,"suffix":""},{"dropping-particle":"","family":"Doh-Djanhoundji","given":"Théo","non-dropping-particle":"","parse-names":false,"suffix":""},{"dropping-particle":"","family":"Constant","given":"Gabo Yves","non-dropping-particle":"","parse-names":false,"suffix":""}],"container-title":"Voice of the Publisher","id":"ITEM-1","issue":"04","issued":{"date-parts":[["2023"]]},"page":"334-347","publisher":"Scientific Research Publishing, Inc.","title":"Breach Notification in the General Data Protection Regulation","type":"article-journal","volume":"09"},"uris":["http://www.mendeley.com/documents/?uuid=caf98b6c-203c-3b00-ba92-6529879ccc80"]}],"mendeley":{"formattedCitation":"(De-Yolande, Doh-Djanhoundji and Constant, 2023)","plainTextFormattedCitation":"(De-Yolande, Doh-Djanhoundji and Constant, 2023)","previouslyFormattedCitation":"(De-Yolande, Doh-Djanhoundji and Constant, 2023)"},"properties":{"noteIndex":0},"schema":"https://github.com/citation-style-language/schema/raw/master/csl-citation.json"}</w:instrText>
      </w:r>
      <w:r w:rsidR="002C1770">
        <w:fldChar w:fldCharType="separate"/>
      </w:r>
      <w:r w:rsidR="005F3A63" w:rsidRPr="005F3A63">
        <w:rPr>
          <w:noProof/>
        </w:rPr>
        <w:t>(De-Yolande, Doh-Djanhoundji and Constant, 2023)</w:t>
      </w:r>
      <w:r w:rsidR="002C1770">
        <w:fldChar w:fldCharType="end"/>
      </w:r>
      <w:r w:rsidR="003C1258" w:rsidRPr="005F3A63">
        <w:t>.</w:t>
      </w:r>
      <w:r w:rsidR="003C1258">
        <w:t xml:space="preserve"> </w:t>
      </w:r>
      <w:r w:rsidR="00145B02" w:rsidRPr="00145B02">
        <w:t>This separates strategic direction from operational implementation while preventing unclear security ownership.</w:t>
      </w:r>
    </w:p>
    <w:p w:rsidR="000754ED" w:rsidRPr="005F3A63" w:rsidRDefault="000754ED" w:rsidP="00F624A3">
      <w:pPr>
        <w:spacing w:line="360" w:lineRule="auto"/>
        <w:jc w:val="both"/>
      </w:pPr>
      <w:proofErr w:type="spellStart"/>
      <w:r w:rsidRPr="005F3A63">
        <w:t>AeroLink</w:t>
      </w:r>
      <w:proofErr w:type="spellEnd"/>
      <w:r w:rsidRPr="005F3A63">
        <w:t xml:space="preserve"> needs to have a single Enterprise risk register for internal systems, cloud services, </w:t>
      </w:r>
      <w:proofErr w:type="spellStart"/>
      <w:r w:rsidRPr="005F3A63">
        <w:t>IoT</w:t>
      </w:r>
      <w:proofErr w:type="spellEnd"/>
      <w:r w:rsidRPr="005F3A63">
        <w:t xml:space="preserve"> platforms, AI processing and critical vendors. The risks should be evaluated in terms of the probability of them occurring and the effects they may have on confidentiality, integrity, availability, legal requirements, customers and logistics operations</w:t>
      </w:r>
      <w:r w:rsidR="005F3A63" w:rsidRPr="005F3A63">
        <w:t xml:space="preserve"> </w:t>
      </w:r>
      <w:r w:rsidR="002C1770" w:rsidRPr="005F3A63">
        <w:fldChar w:fldCharType="begin" w:fldLock="1"/>
      </w:r>
      <w:r w:rsidR="005F3A63">
        <w:instrText>ADDIN CSL_CITATION {"citationItems":[{"id":"ITEM-1","itemData":{"ISSN":"2071-1050","abstract":"Organizations must be committed to ensuring the confidentiality, availability, and integrity of the information in their possession to manage legal and regulatory obligations and to maintain trusted business relationships. Information security management systems (ISMSs) support companies to better deal with information security risks and cyber-attacks. Although there are many different approaches to successfully implementing an ISMS in a company, the most important and time-consuming part of establishing an ISMS is a risk assessment. The purpose of this paper was to develop a risk assessment framework that a company followed in the information technology sector to conduct the risk assessment process to comply with International Organization for Standardization (ISO) 27001. The findings analyze the conditions that force organizations to invest in protecting information and the benefits they can derive from this process. In particular, the paper delves into a multinational IT consulting services company that undertakes and implements large business support installation and customization projects. It explains the risk assessment process and the management of the necessary configurations so that its functions are acceptable and in line with information security standards. Finally, it presents the difficulties and challenges encountered.","author":[{"dropping-particle":"","family":"Marhavilas","given":"K","non-dropping-particle":"","parse-names":false,"suffix":""},{"dropping-particle":"","family":"Boustras","given":"George","non-dropping-particle":"","parse-names":false,"suffix":""},{"dropping-particle":"","family":"Koulouriotis","given":"Dimitrios E","non-dropping-particle":"","parse-names":false,"suffix":""},{"dropping-particle":"","family":"Tajani","given":"Francesco","non-dropping-particle":"","parse-names":false,"suffix":""},{"dropping-particle":"","family":"Kitsios","given":"Fotis","non-dropping-particle":"","parse-names":false,"suffix":""},{"dropping-particle":"","family":"Chatzidimitriou","given":"Elpiniki","non-dropping-particle":"","parse-names":false,"suffix":""},{"dropping-particle":"","family":"Kamariotou","given":"Maria","non-dropping-particle":"","parse-names":false,"suffix":""}],"container-title":"Sustainability 2022, Vol. 14, Page 1269","id":"ITEM-1","issue":"3","issued":{"date-parts":[["2022","1","24"]]},"page":"1269","publisher":"Multidisciplinary Digital Publishing Institute","title":"Developing a Risk Analysis Strategy Framework for Impact Assessment in Information Security Management Systems: A Case Study in IT Consulting Industry","type":"article-journal","volume":"14"},"uris":["http://www.mendeley.com/documents/?uuid=31112bec-7bef-3eed-9938-7d744b066cf5"]}],"mendeley":{"formattedCitation":"(Marhavilas &lt;i&gt;et al.&lt;/i&gt;, 2022)","plainTextFormattedCitation":"(Marhavilas et al., 2022)","previouslyFormattedCitation":"(Marhavilas &lt;i&gt;et al.&lt;/i&gt;, 2022)"},"properties":{"noteIndex":0},"schema":"https://github.com/citation-style-language/schema/raw/master/csl-citation.json"}</w:instrText>
      </w:r>
      <w:r w:rsidR="002C1770" w:rsidRPr="005F3A63">
        <w:fldChar w:fldCharType="separate"/>
      </w:r>
      <w:r w:rsidR="005F3A63" w:rsidRPr="005F3A63">
        <w:rPr>
          <w:noProof/>
        </w:rPr>
        <w:t xml:space="preserve">(Marhavilas </w:t>
      </w:r>
      <w:r w:rsidR="005F3A63" w:rsidRPr="005F3A63">
        <w:rPr>
          <w:i/>
          <w:noProof/>
        </w:rPr>
        <w:t>et al.</w:t>
      </w:r>
      <w:r w:rsidR="005F3A63" w:rsidRPr="005F3A63">
        <w:rPr>
          <w:noProof/>
        </w:rPr>
        <w:t>, 2022)</w:t>
      </w:r>
      <w:r w:rsidR="002C1770" w:rsidRPr="005F3A63">
        <w:fldChar w:fldCharType="end"/>
      </w:r>
      <w:r w:rsidRPr="005F3A63">
        <w:t xml:space="preserve">. </w:t>
      </w:r>
      <w:r w:rsidR="00F51B3A" w:rsidRPr="005F3A63">
        <w:t>Treatment options should include mitigation, avoidance, sharing and formally approved acceptance.</w:t>
      </w:r>
    </w:p>
    <w:p w:rsidR="009F55B9" w:rsidRDefault="000E1F7A" w:rsidP="000529B3">
      <w:pPr>
        <w:pStyle w:val="Caption"/>
        <w:spacing w:line="360" w:lineRule="auto"/>
        <w:rPr>
          <w:rFonts w:cs="Times New Roman"/>
          <w:color w:val="auto"/>
        </w:rPr>
      </w:pPr>
      <w:bookmarkStart w:id="21" w:name="_Toc236305943"/>
      <w:r w:rsidRPr="008E0E80">
        <w:rPr>
          <w:rFonts w:cs="Times New Roman"/>
          <w:color w:val="auto"/>
        </w:rPr>
        <w:t xml:space="preserve">Table </w:t>
      </w:r>
      <w:r w:rsidR="002C1770" w:rsidRPr="008E0E80">
        <w:rPr>
          <w:rFonts w:cs="Times New Roman"/>
          <w:color w:val="auto"/>
        </w:rPr>
        <w:fldChar w:fldCharType="begin"/>
      </w:r>
      <w:r w:rsidRPr="008E0E80">
        <w:rPr>
          <w:rFonts w:cs="Times New Roman"/>
          <w:color w:val="auto"/>
        </w:rPr>
        <w:instrText xml:space="preserve"> SEQ Table \* ARABIC </w:instrText>
      </w:r>
      <w:r w:rsidR="002C1770" w:rsidRPr="008E0E80">
        <w:rPr>
          <w:rFonts w:cs="Times New Roman"/>
          <w:color w:val="auto"/>
        </w:rPr>
        <w:fldChar w:fldCharType="separate"/>
      </w:r>
      <w:r w:rsidR="006946CD">
        <w:rPr>
          <w:rFonts w:cs="Times New Roman"/>
          <w:noProof/>
          <w:color w:val="auto"/>
        </w:rPr>
        <w:t>3</w:t>
      </w:r>
      <w:r w:rsidR="002C1770" w:rsidRPr="008E0E80">
        <w:rPr>
          <w:rFonts w:cs="Times New Roman"/>
          <w:color w:val="auto"/>
        </w:rPr>
        <w:fldChar w:fldCharType="end"/>
      </w:r>
      <w:r w:rsidRPr="008E0E80">
        <w:rPr>
          <w:rFonts w:cs="Times New Roman"/>
          <w:color w:val="auto"/>
        </w:rPr>
        <w:t xml:space="preserve">: </w:t>
      </w:r>
      <w:r w:rsidR="005354EA" w:rsidRPr="005354EA">
        <w:rPr>
          <w:rFonts w:cs="Times New Roman"/>
          <w:color w:val="auto"/>
        </w:rPr>
        <w:t>Priority Risks and Integrated Treatments</w:t>
      </w:r>
      <w:bookmarkEnd w:id="21"/>
    </w:p>
    <w:tbl>
      <w:tblPr>
        <w:tblStyle w:val="GridTableLight"/>
        <w:tblW w:w="5000" w:type="pct"/>
        <w:tblLook w:val="04A0"/>
      </w:tblPr>
      <w:tblGrid>
        <w:gridCol w:w="3411"/>
        <w:gridCol w:w="4267"/>
        <w:gridCol w:w="1898"/>
      </w:tblGrid>
      <w:tr w:rsidR="000529B3" w:rsidRPr="000529B3" w:rsidTr="000529B3">
        <w:tc>
          <w:tcPr>
            <w:tcW w:w="1781" w:type="pct"/>
            <w:hideMark/>
          </w:tcPr>
          <w:p w:rsidR="000529B3" w:rsidRPr="000529B3" w:rsidRDefault="000529B3" w:rsidP="000529B3">
            <w:pPr>
              <w:spacing w:after="160" w:line="278" w:lineRule="auto"/>
              <w:rPr>
                <w:b/>
                <w:bCs/>
              </w:rPr>
            </w:pPr>
            <w:r w:rsidRPr="000529B3">
              <w:rPr>
                <w:b/>
                <w:bCs/>
              </w:rPr>
              <w:t>Priority risk</w:t>
            </w:r>
          </w:p>
        </w:tc>
        <w:tc>
          <w:tcPr>
            <w:tcW w:w="2228" w:type="pct"/>
            <w:hideMark/>
          </w:tcPr>
          <w:p w:rsidR="000529B3" w:rsidRPr="000529B3" w:rsidRDefault="000529B3" w:rsidP="000529B3">
            <w:pPr>
              <w:spacing w:after="160" w:line="278" w:lineRule="auto"/>
              <w:rPr>
                <w:b/>
                <w:bCs/>
              </w:rPr>
            </w:pPr>
            <w:r w:rsidRPr="000529B3">
              <w:rPr>
                <w:b/>
                <w:bCs/>
              </w:rPr>
              <w:t>Principal treatment</w:t>
            </w:r>
          </w:p>
        </w:tc>
        <w:tc>
          <w:tcPr>
            <w:tcW w:w="991" w:type="pct"/>
            <w:hideMark/>
          </w:tcPr>
          <w:p w:rsidR="000529B3" w:rsidRPr="000529B3" w:rsidRDefault="000529B3" w:rsidP="000529B3">
            <w:pPr>
              <w:spacing w:after="160" w:line="278" w:lineRule="auto"/>
              <w:rPr>
                <w:b/>
                <w:bCs/>
              </w:rPr>
            </w:pPr>
            <w:r w:rsidRPr="000529B3">
              <w:rPr>
                <w:b/>
                <w:bCs/>
              </w:rPr>
              <w:t>Accountable owner</w:t>
            </w:r>
          </w:p>
        </w:tc>
      </w:tr>
      <w:tr w:rsidR="000529B3" w:rsidRPr="000529B3" w:rsidTr="000529B3">
        <w:tc>
          <w:tcPr>
            <w:tcW w:w="1781" w:type="pct"/>
            <w:hideMark/>
          </w:tcPr>
          <w:p w:rsidR="000529B3" w:rsidRPr="000529B3" w:rsidRDefault="000529B3" w:rsidP="000529B3">
            <w:pPr>
              <w:spacing w:after="160" w:line="360" w:lineRule="auto"/>
            </w:pPr>
            <w:r w:rsidRPr="000529B3">
              <w:t>Stolen credentials used from an unmanaged partner device</w:t>
            </w:r>
          </w:p>
        </w:tc>
        <w:tc>
          <w:tcPr>
            <w:tcW w:w="2228" w:type="pct"/>
            <w:hideMark/>
          </w:tcPr>
          <w:p w:rsidR="000529B3" w:rsidRPr="000529B3" w:rsidRDefault="000529B3" w:rsidP="000529B3">
            <w:pPr>
              <w:spacing w:after="160" w:line="360" w:lineRule="auto"/>
            </w:pPr>
            <w:r w:rsidRPr="000529B3">
              <w:t xml:space="preserve">MFA, conditional access, device verification and </w:t>
            </w:r>
            <w:proofErr w:type="spellStart"/>
            <w:r w:rsidRPr="000529B3">
              <w:t>behavioural</w:t>
            </w:r>
            <w:proofErr w:type="spellEnd"/>
            <w:r w:rsidRPr="000529B3">
              <w:t xml:space="preserve"> monitoring</w:t>
            </w:r>
          </w:p>
        </w:tc>
        <w:tc>
          <w:tcPr>
            <w:tcW w:w="991" w:type="pct"/>
            <w:hideMark/>
          </w:tcPr>
          <w:p w:rsidR="000529B3" w:rsidRPr="000529B3" w:rsidRDefault="000529B3" w:rsidP="000529B3">
            <w:pPr>
              <w:spacing w:after="160" w:line="360" w:lineRule="auto"/>
            </w:pPr>
            <w:r w:rsidRPr="000529B3">
              <w:t>CISO and service owner</w:t>
            </w:r>
          </w:p>
        </w:tc>
      </w:tr>
      <w:tr w:rsidR="000529B3" w:rsidRPr="000529B3" w:rsidTr="000529B3">
        <w:tc>
          <w:tcPr>
            <w:tcW w:w="1781" w:type="pct"/>
            <w:hideMark/>
          </w:tcPr>
          <w:p w:rsidR="000529B3" w:rsidRPr="000529B3" w:rsidRDefault="000529B3" w:rsidP="000529B3">
            <w:pPr>
              <w:spacing w:after="160" w:line="360" w:lineRule="auto"/>
            </w:pPr>
            <w:r w:rsidRPr="000529B3">
              <w:t xml:space="preserve">Cloud </w:t>
            </w:r>
            <w:proofErr w:type="spellStart"/>
            <w:r w:rsidRPr="000529B3">
              <w:t>misconfiguration</w:t>
            </w:r>
            <w:proofErr w:type="spellEnd"/>
            <w:r w:rsidRPr="000529B3">
              <w:t xml:space="preserve"> exposes customer PII</w:t>
            </w:r>
          </w:p>
        </w:tc>
        <w:tc>
          <w:tcPr>
            <w:tcW w:w="2228" w:type="pct"/>
            <w:hideMark/>
          </w:tcPr>
          <w:p w:rsidR="000529B3" w:rsidRPr="000529B3" w:rsidRDefault="000529B3" w:rsidP="000529B3">
            <w:pPr>
              <w:spacing w:after="160" w:line="360" w:lineRule="auto"/>
            </w:pPr>
            <w:r w:rsidRPr="000529B3">
              <w:t>Secure baselines, automated posture monitoring, encryption and review</w:t>
            </w:r>
          </w:p>
        </w:tc>
        <w:tc>
          <w:tcPr>
            <w:tcW w:w="991" w:type="pct"/>
            <w:hideMark/>
          </w:tcPr>
          <w:p w:rsidR="000529B3" w:rsidRPr="000529B3" w:rsidRDefault="000529B3" w:rsidP="000529B3">
            <w:pPr>
              <w:spacing w:after="160" w:line="360" w:lineRule="auto"/>
            </w:pPr>
            <w:r w:rsidRPr="000529B3">
              <w:t>Cloud service owner</w:t>
            </w:r>
          </w:p>
        </w:tc>
      </w:tr>
      <w:tr w:rsidR="000529B3" w:rsidRPr="000529B3" w:rsidTr="000529B3">
        <w:tc>
          <w:tcPr>
            <w:tcW w:w="1781" w:type="pct"/>
            <w:hideMark/>
          </w:tcPr>
          <w:p w:rsidR="000529B3" w:rsidRPr="000529B3" w:rsidRDefault="000529B3" w:rsidP="000529B3">
            <w:pPr>
              <w:spacing w:after="160" w:line="360" w:lineRule="auto"/>
            </w:pPr>
            <w:r w:rsidRPr="000529B3">
              <w:t xml:space="preserve">Critical </w:t>
            </w:r>
            <w:proofErr w:type="spellStart"/>
            <w:r w:rsidRPr="000529B3">
              <w:t>SaaS</w:t>
            </w:r>
            <w:proofErr w:type="spellEnd"/>
            <w:r w:rsidRPr="000529B3">
              <w:t xml:space="preserve"> provider suffers </w:t>
            </w:r>
            <w:proofErr w:type="spellStart"/>
            <w:r w:rsidRPr="000529B3">
              <w:t>ransomware</w:t>
            </w:r>
            <w:proofErr w:type="spellEnd"/>
            <w:r w:rsidRPr="000529B3">
              <w:t xml:space="preserve"> or prolonged outage</w:t>
            </w:r>
          </w:p>
        </w:tc>
        <w:tc>
          <w:tcPr>
            <w:tcW w:w="2228" w:type="pct"/>
            <w:hideMark/>
          </w:tcPr>
          <w:p w:rsidR="000529B3" w:rsidRPr="000529B3" w:rsidRDefault="000529B3" w:rsidP="000529B3">
            <w:pPr>
              <w:spacing w:after="160" w:line="360" w:lineRule="auto"/>
            </w:pPr>
            <w:r w:rsidRPr="000529B3">
              <w:t>Tested recovery, exportable backups, alternative procedures and exit planning</w:t>
            </w:r>
          </w:p>
        </w:tc>
        <w:tc>
          <w:tcPr>
            <w:tcW w:w="991" w:type="pct"/>
            <w:hideMark/>
          </w:tcPr>
          <w:p w:rsidR="000529B3" w:rsidRPr="000529B3" w:rsidRDefault="000529B3" w:rsidP="000529B3">
            <w:pPr>
              <w:spacing w:after="160" w:line="360" w:lineRule="auto"/>
            </w:pPr>
            <w:r w:rsidRPr="000529B3">
              <w:t>Business service owner</w:t>
            </w:r>
          </w:p>
        </w:tc>
      </w:tr>
      <w:tr w:rsidR="000529B3" w:rsidRPr="000529B3" w:rsidTr="000529B3">
        <w:tc>
          <w:tcPr>
            <w:tcW w:w="1781" w:type="pct"/>
            <w:hideMark/>
          </w:tcPr>
          <w:p w:rsidR="000529B3" w:rsidRPr="000529B3" w:rsidRDefault="000529B3" w:rsidP="000529B3">
            <w:pPr>
              <w:spacing w:after="160" w:line="360" w:lineRule="auto"/>
            </w:pPr>
            <w:proofErr w:type="spellStart"/>
            <w:r w:rsidRPr="000529B3">
              <w:t>IoT</w:t>
            </w:r>
            <w:proofErr w:type="spellEnd"/>
            <w:r w:rsidRPr="000529B3">
              <w:t xml:space="preserve"> sensors transmit manipulated location data</w:t>
            </w:r>
          </w:p>
        </w:tc>
        <w:tc>
          <w:tcPr>
            <w:tcW w:w="2228" w:type="pct"/>
            <w:hideMark/>
          </w:tcPr>
          <w:p w:rsidR="000529B3" w:rsidRPr="000529B3" w:rsidRDefault="000529B3" w:rsidP="000529B3">
            <w:pPr>
              <w:spacing w:after="160" w:line="360" w:lineRule="auto"/>
            </w:pPr>
            <w:r w:rsidRPr="000529B3">
              <w:t>Unique device identity, authenticated communication, segmentation and anomaly detection</w:t>
            </w:r>
          </w:p>
        </w:tc>
        <w:tc>
          <w:tcPr>
            <w:tcW w:w="991" w:type="pct"/>
            <w:hideMark/>
          </w:tcPr>
          <w:p w:rsidR="000529B3" w:rsidRPr="000529B3" w:rsidRDefault="000529B3" w:rsidP="000529B3">
            <w:pPr>
              <w:spacing w:after="160" w:line="360" w:lineRule="auto"/>
            </w:pPr>
            <w:proofErr w:type="spellStart"/>
            <w:r w:rsidRPr="000529B3">
              <w:t>IoT</w:t>
            </w:r>
            <w:proofErr w:type="spellEnd"/>
            <w:r w:rsidRPr="000529B3">
              <w:t xml:space="preserve"> platform owner</w:t>
            </w:r>
          </w:p>
        </w:tc>
      </w:tr>
      <w:tr w:rsidR="003C7BBE" w:rsidRPr="000529B3" w:rsidTr="000529B3">
        <w:tc>
          <w:tcPr>
            <w:tcW w:w="1781" w:type="pct"/>
          </w:tcPr>
          <w:p w:rsidR="003C7BBE" w:rsidRPr="000529B3" w:rsidRDefault="003C7BBE" w:rsidP="000529B3">
            <w:pPr>
              <w:spacing w:line="360" w:lineRule="auto"/>
            </w:pPr>
            <w:r w:rsidRPr="003C7BBE">
              <w:t>AI analytics produce manipulated or unreliable operational decisions</w:t>
            </w:r>
          </w:p>
        </w:tc>
        <w:tc>
          <w:tcPr>
            <w:tcW w:w="2228" w:type="pct"/>
          </w:tcPr>
          <w:p w:rsidR="003C7BBE" w:rsidRPr="000529B3" w:rsidRDefault="003C7BBE" w:rsidP="000529B3">
            <w:pPr>
              <w:spacing w:line="360" w:lineRule="auto"/>
            </w:pPr>
            <w:r w:rsidRPr="003C7BBE">
              <w:t>Validate data, monitor model performance, control changes and require human oversight</w:t>
            </w:r>
          </w:p>
        </w:tc>
        <w:tc>
          <w:tcPr>
            <w:tcW w:w="991" w:type="pct"/>
          </w:tcPr>
          <w:p w:rsidR="003C7BBE" w:rsidRPr="000529B3" w:rsidRDefault="003C7BBE" w:rsidP="000529B3">
            <w:pPr>
              <w:spacing w:line="360" w:lineRule="auto"/>
            </w:pPr>
            <w:r w:rsidRPr="003C7BBE">
              <w:t>Analytics service owner</w:t>
            </w:r>
          </w:p>
        </w:tc>
      </w:tr>
    </w:tbl>
    <w:p w:rsidR="003562AB" w:rsidRDefault="003562AB" w:rsidP="004B170B">
      <w:pPr>
        <w:spacing w:line="360" w:lineRule="auto"/>
        <w:jc w:val="both"/>
        <w:rPr>
          <w:color w:val="EE0000"/>
        </w:rPr>
      </w:pPr>
    </w:p>
    <w:p w:rsidR="000529B3" w:rsidRPr="003562AB" w:rsidRDefault="003562AB" w:rsidP="004B170B">
      <w:pPr>
        <w:spacing w:line="360" w:lineRule="auto"/>
        <w:jc w:val="both"/>
      </w:pPr>
      <w:r w:rsidRPr="005F3A63">
        <w:t xml:space="preserve">Risk management should be linked to a compliance obligations register with details of relevant legislation, contracts, standards, owners, evidence required and when to review it. The register </w:t>
      </w:r>
      <w:r w:rsidRPr="005F3A63">
        <w:lastRenderedPageBreak/>
        <w:t xml:space="preserve">shall include the processing of data in compliance with the law, the </w:t>
      </w:r>
      <w:proofErr w:type="spellStart"/>
      <w:r w:rsidRPr="005F3A63">
        <w:t>minimisation</w:t>
      </w:r>
      <w:proofErr w:type="spellEnd"/>
      <w:r w:rsidRPr="005F3A63">
        <w:t xml:space="preserve"> of data, retention, notification of data breaches, transfers of data and contractual obligations with other entities with regard to the data. </w:t>
      </w:r>
      <w:proofErr w:type="spellStart"/>
      <w:r w:rsidRPr="005F3A63">
        <w:t>AeroLink</w:t>
      </w:r>
      <w:proofErr w:type="spellEnd"/>
      <w:r w:rsidRPr="005F3A63">
        <w:t xml:space="preserve"> should complete a DPIA before implementation in cases where there is likely to be a high privacy risk involved in the processing, for example if the processing involves large-scale tracking or AI analysis. </w:t>
      </w:r>
      <w:r w:rsidRPr="003562AB">
        <w:t xml:space="preserve">Then, internal audits, supplier audits, access recertification, technical testing and recovery exercises should be used to </w:t>
      </w:r>
      <w:r w:rsidR="00125B61" w:rsidRPr="00125B61">
        <w:t>verify whether controls operate effectively rather than merely exist as policies.</w:t>
      </w:r>
    </w:p>
    <w:p w:rsidR="008338CC" w:rsidRPr="008E0E80" w:rsidRDefault="008338CC" w:rsidP="009760FB">
      <w:pPr>
        <w:pStyle w:val="Heading2"/>
        <w:spacing w:line="360" w:lineRule="auto"/>
        <w:rPr>
          <w:rFonts w:cs="Times New Roman"/>
          <w:color w:val="auto"/>
        </w:rPr>
      </w:pPr>
      <w:bookmarkStart w:id="22" w:name="_Toc236305930"/>
      <w:r w:rsidRPr="008E0E80">
        <w:rPr>
          <w:rFonts w:cs="Times New Roman"/>
          <w:color w:val="auto"/>
        </w:rPr>
        <w:t xml:space="preserve">4.3 </w:t>
      </w:r>
      <w:r w:rsidR="008B5438" w:rsidRPr="008B5438">
        <w:rPr>
          <w:rFonts w:cs="Times New Roman"/>
          <w:color w:val="auto"/>
        </w:rPr>
        <w:t>Policies, Protection Mechanisms and Access Controls</w:t>
      </w:r>
      <w:bookmarkEnd w:id="22"/>
    </w:p>
    <w:p w:rsidR="007A6F5B" w:rsidRPr="00516351" w:rsidRDefault="00516351" w:rsidP="007A6F5B">
      <w:pPr>
        <w:spacing w:line="360" w:lineRule="auto"/>
        <w:jc w:val="both"/>
        <w:rPr>
          <w:rFonts w:cs="Times New Roman"/>
        </w:rPr>
      </w:pPr>
      <w:proofErr w:type="spellStart"/>
      <w:r w:rsidRPr="00516351">
        <w:rPr>
          <w:rFonts w:cs="Times New Roman"/>
        </w:rPr>
        <w:t>AeroLink</w:t>
      </w:r>
      <w:proofErr w:type="spellEnd"/>
      <w:r w:rsidRPr="00516351">
        <w:rPr>
          <w:rFonts w:cs="Times New Roman"/>
        </w:rPr>
        <w:t xml:space="preserve"> should establish a policy hierarchy, which includes an enterprise information-security policy, topic-specific policies, technical standards and operational procedures. Data classification, identity and access management, cloud security, supplier security, encryption, remote access, </w:t>
      </w:r>
      <w:proofErr w:type="spellStart"/>
      <w:r w:rsidRPr="00516351">
        <w:rPr>
          <w:rFonts w:cs="Times New Roman"/>
        </w:rPr>
        <w:t>IoT</w:t>
      </w:r>
      <w:proofErr w:type="spellEnd"/>
      <w:r w:rsidRPr="00516351">
        <w:rPr>
          <w:rFonts w:cs="Times New Roman"/>
        </w:rPr>
        <w:t>, AI governance and incident response and business continuity are among the priority areas that require consideration. Ownership of each policy, its approval date, its review cycle and time-limited exception process should be required.</w:t>
      </w:r>
    </w:p>
    <w:p w:rsidR="007A6F5B" w:rsidRPr="007A6F5B" w:rsidRDefault="007A6F5B" w:rsidP="007A6F5B">
      <w:pPr>
        <w:spacing w:line="360" w:lineRule="auto"/>
        <w:jc w:val="both"/>
        <w:rPr>
          <w:rFonts w:cs="Times New Roman"/>
        </w:rPr>
      </w:pPr>
      <w:r w:rsidRPr="00BA1B26">
        <w:rPr>
          <w:rFonts w:cs="Times New Roman"/>
        </w:rPr>
        <w:t xml:space="preserve">Access should follow a zero-trust approach in which no user, device or connection is trusted automatically because of its location or </w:t>
      </w:r>
      <w:proofErr w:type="spellStart"/>
      <w:r w:rsidRPr="00BA1B26">
        <w:rPr>
          <w:rFonts w:cs="Times New Roman"/>
        </w:rPr>
        <w:t>organisational</w:t>
      </w:r>
      <w:proofErr w:type="spellEnd"/>
      <w:r w:rsidRPr="00BA1B26">
        <w:rPr>
          <w:rFonts w:cs="Times New Roman"/>
        </w:rPr>
        <w:t xml:space="preserve"> relationship</w:t>
      </w:r>
      <w:r w:rsidR="005F3A63" w:rsidRPr="00BA1B26">
        <w:rPr>
          <w:rFonts w:cs="Times New Roman"/>
        </w:rPr>
        <w:t xml:space="preserve"> </w:t>
      </w:r>
      <w:r w:rsidR="002C1770" w:rsidRPr="00BA1B26">
        <w:rPr>
          <w:rFonts w:cs="Times New Roman"/>
        </w:rPr>
        <w:fldChar w:fldCharType="begin" w:fldLock="1"/>
      </w:r>
      <w:r w:rsidR="00865C76">
        <w:rPr>
          <w:rFonts w:cs="Times New Roman"/>
        </w:rPr>
        <w:instrText>ADDIN CSL_CITATION {"citationItems":[{"id":"ITEM-1","itemData":{"ISSN":"2673-8392","abstract":"In response to the increasing complexity and sophistication of cyber threats, particularly those enhanced by advancements in artificial intelligence, traditional security methods are proving insufficient. This paper provides an overview of the zero-trust cybersecurity framework, which operates on the principle of “never trust, always verify” to mitigate vulnerabilities within organizations. Specifically, this paper examines the applicability of zero-trust principles in environments where large volumes of information are exchanged, such as schools and libraries, highlighting the importance of continuous authentication (proving who users are within the network), least privilege access (providing only access to what users specifically need), and breach assumption (assuming a breach has or will occur and thus operating to limit the spread through the use of multiple checkpoints throughout the network). The analysis highlights avenues for future research that may help preserve the security of vulnerable organizations.","author":[{"dropping-particle":"","family":"Lund","given":"Brady D.","non-dropping-particle":"","parse-names":false,"suffix":""},{"dropping-particle":"","family":"Lee","given":"Tae Hee","non-dropping-particle":"","parse-names":false,"suffix":""},{"dropping-particle":"","family":"Wang","given":"Ziang","non-dropping-particle":"","parse-names":false,"suffix":""},{"dropping-particle":"","family":"Wang","given":"Ting","non-dropping-particle":"","parse-names":false,"suffix":""},{"dropping-particle":"","family":"Mannuru","given":"Nishith Reddy","non-dropping-particle":"","parse-names":false,"suffix":""}],"container-title":"Encyclopedia 2024, Vol. 4, Pages 1520-1533","id":"ITEM-1","issue":"4","issued":{"date-parts":[["2024","10","11"]]},"page":"1520-1533","publisher":"Multidisciplinary Digital Publishing Institute","title":"Zero Trust Cybersecurity: Procedures and Considerations in Context","type":"article-journal","volume":"4"},"uris":["http://www.mendeley.com/documents/?uuid=0afcd2e4-92a3-3636-9211-1a878f851463"]}],"mendeley":{"formattedCitation":"(Lund &lt;i&gt;et al.&lt;/i&gt;, 2024)","plainTextFormattedCitation":"(Lund et al., 2024)","previouslyFormattedCitation":"(Lund &lt;i&gt;et al.&lt;/i&gt;, 2024)"},"properties":{"noteIndex":0},"schema":"https://github.com/citation-style-language/schema/raw/master/csl-citation.json"}</w:instrText>
      </w:r>
      <w:r w:rsidR="002C1770" w:rsidRPr="00BA1B26">
        <w:rPr>
          <w:rFonts w:cs="Times New Roman"/>
        </w:rPr>
        <w:fldChar w:fldCharType="separate"/>
      </w:r>
      <w:r w:rsidR="005F3A63" w:rsidRPr="00BA1B26">
        <w:rPr>
          <w:rFonts w:cs="Times New Roman"/>
          <w:noProof/>
        </w:rPr>
        <w:t xml:space="preserve">(Lund </w:t>
      </w:r>
      <w:r w:rsidR="005F3A63" w:rsidRPr="00BA1B26">
        <w:rPr>
          <w:rFonts w:cs="Times New Roman"/>
          <w:i/>
          <w:noProof/>
        </w:rPr>
        <w:t>et al.</w:t>
      </w:r>
      <w:r w:rsidR="005F3A63" w:rsidRPr="00BA1B26">
        <w:rPr>
          <w:rFonts w:cs="Times New Roman"/>
          <w:noProof/>
        </w:rPr>
        <w:t>, 2024)</w:t>
      </w:r>
      <w:r w:rsidR="002C1770" w:rsidRPr="00BA1B26">
        <w:rPr>
          <w:rFonts w:cs="Times New Roman"/>
        </w:rPr>
        <w:fldChar w:fldCharType="end"/>
      </w:r>
      <w:r w:rsidRPr="00BA1B26">
        <w:rPr>
          <w:rFonts w:cs="Times New Roman"/>
        </w:rPr>
        <w:t>.</w:t>
      </w:r>
      <w:r w:rsidR="00BF0097" w:rsidRPr="00BA1B26">
        <w:t xml:space="preserve"> </w:t>
      </w:r>
      <w:proofErr w:type="spellStart"/>
      <w:r w:rsidRPr="007A6F5B">
        <w:rPr>
          <w:rFonts w:cs="Times New Roman"/>
        </w:rPr>
        <w:t>AeroLink</w:t>
      </w:r>
      <w:proofErr w:type="spellEnd"/>
      <w:r w:rsidRPr="007A6F5B">
        <w:rPr>
          <w:rFonts w:cs="Times New Roman"/>
        </w:rPr>
        <w:t xml:space="preserve"> should </w:t>
      </w:r>
      <w:proofErr w:type="spellStart"/>
      <w:r w:rsidRPr="007A6F5B">
        <w:rPr>
          <w:rFonts w:cs="Times New Roman"/>
        </w:rPr>
        <w:t>prioritise</w:t>
      </w:r>
      <w:proofErr w:type="spellEnd"/>
      <w:r w:rsidRPr="007A6F5B">
        <w:rPr>
          <w:rFonts w:cs="Times New Roman"/>
        </w:rPr>
        <w:t>:</w:t>
      </w:r>
    </w:p>
    <w:p w:rsidR="007A6F5B" w:rsidRPr="007A6F5B" w:rsidRDefault="007A6F5B" w:rsidP="0040384D">
      <w:pPr>
        <w:pStyle w:val="ListParagraph"/>
        <w:numPr>
          <w:ilvl w:val="0"/>
          <w:numId w:val="1"/>
        </w:numPr>
        <w:spacing w:line="360" w:lineRule="auto"/>
        <w:jc w:val="both"/>
        <w:rPr>
          <w:rFonts w:cs="Times New Roman"/>
        </w:rPr>
      </w:pPr>
      <w:r w:rsidRPr="007A6F5B">
        <w:rPr>
          <w:rFonts w:cs="Times New Roman"/>
        </w:rPr>
        <w:t xml:space="preserve">Multifactor authentication for remote, supplier and privileged access. </w:t>
      </w:r>
    </w:p>
    <w:p w:rsidR="007A6F5B" w:rsidRPr="007A6F5B" w:rsidRDefault="007A6F5B" w:rsidP="0040384D">
      <w:pPr>
        <w:pStyle w:val="ListParagraph"/>
        <w:numPr>
          <w:ilvl w:val="0"/>
          <w:numId w:val="1"/>
        </w:numPr>
        <w:spacing w:line="360" w:lineRule="auto"/>
        <w:jc w:val="both"/>
        <w:rPr>
          <w:rFonts w:cs="Times New Roman"/>
        </w:rPr>
      </w:pPr>
      <w:r w:rsidRPr="007A6F5B">
        <w:rPr>
          <w:rFonts w:cs="Times New Roman"/>
        </w:rPr>
        <w:t xml:space="preserve">Least privilege and role-based access. </w:t>
      </w:r>
    </w:p>
    <w:p w:rsidR="007A6F5B" w:rsidRPr="007A6F5B" w:rsidRDefault="007A6F5B" w:rsidP="0040384D">
      <w:pPr>
        <w:pStyle w:val="ListParagraph"/>
        <w:numPr>
          <w:ilvl w:val="0"/>
          <w:numId w:val="1"/>
        </w:numPr>
        <w:spacing w:line="360" w:lineRule="auto"/>
        <w:jc w:val="both"/>
        <w:rPr>
          <w:rFonts w:cs="Times New Roman"/>
        </w:rPr>
      </w:pPr>
      <w:r w:rsidRPr="007A6F5B">
        <w:rPr>
          <w:rFonts w:cs="Times New Roman"/>
        </w:rPr>
        <w:t xml:space="preserve">Time-limited vendor accounts. </w:t>
      </w:r>
    </w:p>
    <w:p w:rsidR="007A6F5B" w:rsidRPr="007A6F5B" w:rsidRDefault="007A6F5B" w:rsidP="0040384D">
      <w:pPr>
        <w:pStyle w:val="ListParagraph"/>
        <w:numPr>
          <w:ilvl w:val="0"/>
          <w:numId w:val="1"/>
        </w:numPr>
        <w:spacing w:line="360" w:lineRule="auto"/>
        <w:jc w:val="both"/>
        <w:rPr>
          <w:rFonts w:cs="Times New Roman"/>
        </w:rPr>
      </w:pPr>
      <w:r w:rsidRPr="007A6F5B">
        <w:rPr>
          <w:rFonts w:cs="Times New Roman"/>
        </w:rPr>
        <w:t xml:space="preserve">Separate administrative accounts. </w:t>
      </w:r>
    </w:p>
    <w:p w:rsidR="007A6F5B" w:rsidRPr="007A6F5B" w:rsidRDefault="007A6F5B" w:rsidP="0040384D">
      <w:pPr>
        <w:pStyle w:val="ListParagraph"/>
        <w:numPr>
          <w:ilvl w:val="0"/>
          <w:numId w:val="1"/>
        </w:numPr>
        <w:spacing w:line="360" w:lineRule="auto"/>
        <w:jc w:val="both"/>
        <w:rPr>
          <w:rFonts w:cs="Times New Roman"/>
        </w:rPr>
      </w:pPr>
      <w:r w:rsidRPr="007A6F5B">
        <w:rPr>
          <w:rFonts w:cs="Times New Roman"/>
        </w:rPr>
        <w:t xml:space="preserve">Regular privileged-access reviews. </w:t>
      </w:r>
    </w:p>
    <w:p w:rsidR="007A6F5B" w:rsidRPr="007A6F5B" w:rsidRDefault="007A6F5B" w:rsidP="0040384D">
      <w:pPr>
        <w:pStyle w:val="ListParagraph"/>
        <w:numPr>
          <w:ilvl w:val="0"/>
          <w:numId w:val="1"/>
        </w:numPr>
        <w:spacing w:line="360" w:lineRule="auto"/>
        <w:jc w:val="both"/>
        <w:rPr>
          <w:rFonts w:cs="Times New Roman"/>
        </w:rPr>
      </w:pPr>
      <w:r w:rsidRPr="007A6F5B">
        <w:rPr>
          <w:rFonts w:cs="Times New Roman"/>
        </w:rPr>
        <w:t xml:space="preserve">Immediate removal of access following termination. </w:t>
      </w:r>
    </w:p>
    <w:p w:rsidR="007A6F5B" w:rsidRPr="007A6F5B" w:rsidRDefault="007A6F5B" w:rsidP="0040384D">
      <w:pPr>
        <w:pStyle w:val="ListParagraph"/>
        <w:numPr>
          <w:ilvl w:val="0"/>
          <w:numId w:val="1"/>
        </w:numPr>
        <w:spacing w:line="360" w:lineRule="auto"/>
        <w:jc w:val="both"/>
        <w:rPr>
          <w:rFonts w:cs="Times New Roman"/>
        </w:rPr>
      </w:pPr>
      <w:r w:rsidRPr="007A6F5B">
        <w:rPr>
          <w:rFonts w:cs="Times New Roman"/>
        </w:rPr>
        <w:t>Restricted access from unmanaged devices.</w:t>
      </w:r>
    </w:p>
    <w:p w:rsidR="00927B07" w:rsidRPr="002152B7" w:rsidRDefault="00927B07" w:rsidP="009760FB">
      <w:pPr>
        <w:spacing w:line="360" w:lineRule="auto"/>
        <w:jc w:val="both"/>
        <w:rPr>
          <w:rFonts w:cs="Times New Roman"/>
        </w:rPr>
      </w:pPr>
      <w:r w:rsidRPr="002152B7">
        <w:rPr>
          <w:rFonts w:cs="Times New Roman"/>
        </w:rPr>
        <w:t xml:space="preserve">A complete ban on unmanaged devices could disrupt legitimate logistics operations. </w:t>
      </w:r>
      <w:proofErr w:type="spellStart"/>
      <w:r w:rsidRPr="002152B7">
        <w:rPr>
          <w:rFonts w:cs="Times New Roman"/>
        </w:rPr>
        <w:t>AeroLink</w:t>
      </w:r>
      <w:proofErr w:type="spellEnd"/>
      <w:r w:rsidRPr="002152B7">
        <w:rPr>
          <w:rFonts w:cs="Times New Roman"/>
        </w:rPr>
        <w:t xml:space="preserve"> should therefore provide controlled alternatives, such as browser-isolated portals or virtual desktops, while requiring managed devices for access to customer PII, cloud administration and other high-risk resources.</w:t>
      </w:r>
    </w:p>
    <w:p w:rsidR="00E2786E" w:rsidRPr="009A503B" w:rsidRDefault="00E2786E" w:rsidP="00E2786E">
      <w:pPr>
        <w:spacing w:line="360" w:lineRule="auto"/>
        <w:jc w:val="both"/>
        <w:rPr>
          <w:rFonts w:cs="Times New Roman"/>
        </w:rPr>
      </w:pPr>
      <w:r w:rsidRPr="009A503B">
        <w:rPr>
          <w:rFonts w:cs="Times New Roman"/>
        </w:rPr>
        <w:lastRenderedPageBreak/>
        <w:t xml:space="preserve">Sensitive information needs to be classified and encrypted when stored and shared. API secrets and certificates (as well as keys) must be restricted, kept separate and rotated. This is because even if the information is encrypted, it can still be accessed from the compromised </w:t>
      </w:r>
      <w:proofErr w:type="spellStart"/>
      <w:r w:rsidRPr="009A503B">
        <w:rPr>
          <w:rFonts w:cs="Times New Roman"/>
        </w:rPr>
        <w:t>authorised</w:t>
      </w:r>
      <w:proofErr w:type="spellEnd"/>
      <w:r w:rsidRPr="009A503B">
        <w:rPr>
          <w:rFonts w:cs="Times New Roman"/>
        </w:rPr>
        <w:t xml:space="preserve"> accounts. It should then be a part of the identity controls, monitoring and data-loss prevention.</w:t>
      </w:r>
    </w:p>
    <w:p w:rsidR="00E2786E" w:rsidRPr="005A272A" w:rsidRDefault="00E2786E" w:rsidP="00E2786E">
      <w:pPr>
        <w:spacing w:line="360" w:lineRule="auto"/>
        <w:jc w:val="both"/>
        <w:rPr>
          <w:rFonts w:cs="Times New Roman"/>
          <w:color w:val="EE0000"/>
        </w:rPr>
      </w:pPr>
      <w:r w:rsidRPr="009A503B">
        <w:rPr>
          <w:rFonts w:cs="Times New Roman"/>
        </w:rPr>
        <w:t xml:space="preserve">Cloud services should be configured using approved configuration baselines, central logging and automated public exposure/privilege detection. Unique identification, segmentation and updating of </w:t>
      </w:r>
      <w:proofErr w:type="spellStart"/>
      <w:r w:rsidRPr="009A503B">
        <w:rPr>
          <w:rFonts w:cs="Times New Roman"/>
        </w:rPr>
        <w:t>IoT</w:t>
      </w:r>
      <w:proofErr w:type="spellEnd"/>
      <w:r w:rsidRPr="009A503B">
        <w:rPr>
          <w:rFonts w:cs="Times New Roman"/>
        </w:rPr>
        <w:t xml:space="preserve"> devices, where feasible, should be achieved. An inventory of </w:t>
      </w:r>
      <w:proofErr w:type="spellStart"/>
      <w:r w:rsidRPr="009A503B">
        <w:rPr>
          <w:rFonts w:cs="Times New Roman"/>
        </w:rPr>
        <w:t>IoT</w:t>
      </w:r>
      <w:proofErr w:type="spellEnd"/>
      <w:r w:rsidRPr="009A503B">
        <w:rPr>
          <w:rFonts w:cs="Times New Roman"/>
        </w:rPr>
        <w:t xml:space="preserve"> devices should be unique identified, segmented and updated if technically feasible. Unsupported devices should be replaced or isolated by the use of compensating controls. AI systems that provide support should be clearly defined for their purpose, sourced with well-documented data, and assigned owners, with human oversight and monitoring for incorrect or manipulated results.</w:t>
      </w:r>
    </w:p>
    <w:p w:rsidR="00E2786E" w:rsidRPr="00CF2ED0" w:rsidRDefault="00E2786E" w:rsidP="00E2786E">
      <w:pPr>
        <w:spacing w:line="360" w:lineRule="auto"/>
        <w:jc w:val="both"/>
        <w:rPr>
          <w:rFonts w:cs="Times New Roman"/>
        </w:rPr>
      </w:pPr>
      <w:r w:rsidRPr="00E2786E">
        <w:rPr>
          <w:rFonts w:cs="Times New Roman"/>
        </w:rPr>
        <w:t xml:space="preserve">Any unusual privilege escalation, authentication, security control disabling, data transfer, modification of the cloud or </w:t>
      </w:r>
      <w:proofErr w:type="spellStart"/>
      <w:r w:rsidRPr="00E2786E">
        <w:rPr>
          <w:rFonts w:cs="Times New Roman"/>
        </w:rPr>
        <w:t>IoT</w:t>
      </w:r>
      <w:proofErr w:type="spellEnd"/>
      <w:r w:rsidRPr="00E2786E">
        <w:rPr>
          <w:rFonts w:cs="Times New Roman"/>
        </w:rPr>
        <w:t xml:space="preserve"> interaction should be prioritized when central monitoring.</w:t>
      </w:r>
    </w:p>
    <w:p w:rsidR="008338CC" w:rsidRPr="008E0E80" w:rsidRDefault="008338CC" w:rsidP="009760FB">
      <w:pPr>
        <w:pStyle w:val="Heading2"/>
        <w:spacing w:line="360" w:lineRule="auto"/>
        <w:rPr>
          <w:rFonts w:cs="Times New Roman"/>
          <w:color w:val="auto"/>
        </w:rPr>
      </w:pPr>
      <w:bookmarkStart w:id="23" w:name="_Toc236305931"/>
      <w:r w:rsidRPr="008E0E80">
        <w:rPr>
          <w:rFonts w:cs="Times New Roman"/>
          <w:color w:val="auto"/>
        </w:rPr>
        <w:t xml:space="preserve">4.4 </w:t>
      </w:r>
      <w:r w:rsidR="000A7FD1" w:rsidRPr="000A7FD1">
        <w:rPr>
          <w:rFonts w:cs="Times New Roman"/>
          <w:color w:val="auto"/>
        </w:rPr>
        <w:t>Vendor Management, Incident Response and Resilience</w:t>
      </w:r>
      <w:bookmarkEnd w:id="23"/>
    </w:p>
    <w:p w:rsidR="001859E9" w:rsidRPr="002152B7" w:rsidRDefault="009A411E" w:rsidP="009760FB">
      <w:pPr>
        <w:spacing w:line="360" w:lineRule="auto"/>
        <w:jc w:val="both"/>
        <w:rPr>
          <w:rFonts w:cs="Times New Roman"/>
        </w:rPr>
      </w:pPr>
      <w:r w:rsidRPr="00865C76">
        <w:rPr>
          <w:rFonts w:cs="Times New Roman"/>
        </w:rPr>
        <w:t xml:space="preserve">Vendor management is central to the proposed model because about 88% of </w:t>
      </w:r>
      <w:proofErr w:type="spellStart"/>
      <w:r w:rsidRPr="00865C76">
        <w:rPr>
          <w:rFonts w:cs="Times New Roman"/>
        </w:rPr>
        <w:t>AeroLink’s</w:t>
      </w:r>
      <w:proofErr w:type="spellEnd"/>
      <w:r w:rsidRPr="00865C76">
        <w:rPr>
          <w:rFonts w:cs="Times New Roman"/>
        </w:rPr>
        <w:t xml:space="preserve"> infrastructure is outsourced. Suppliers should be classified according to data sensitivity, privileged access, service criticality, </w:t>
      </w:r>
      <w:proofErr w:type="spellStart"/>
      <w:r w:rsidRPr="00865C76">
        <w:rPr>
          <w:rFonts w:cs="Times New Roman"/>
        </w:rPr>
        <w:t>subprocessor</w:t>
      </w:r>
      <w:proofErr w:type="spellEnd"/>
      <w:r w:rsidRPr="00865C76">
        <w:rPr>
          <w:rFonts w:cs="Times New Roman"/>
        </w:rPr>
        <w:t xml:space="preserve"> use, jurisdiction and </w:t>
      </w:r>
      <w:proofErr w:type="spellStart"/>
      <w:r w:rsidRPr="00865C76">
        <w:rPr>
          <w:rFonts w:cs="Times New Roman"/>
        </w:rPr>
        <w:t>replaceability</w:t>
      </w:r>
      <w:proofErr w:type="spellEnd"/>
      <w:r w:rsidR="00865C76" w:rsidRPr="00865C76">
        <w:rPr>
          <w:rFonts w:cs="Times New Roman"/>
        </w:rPr>
        <w:t xml:space="preserve"> </w:t>
      </w:r>
      <w:r w:rsidR="002C1770" w:rsidRPr="00865C76">
        <w:rPr>
          <w:rFonts w:cs="Times New Roman"/>
        </w:rPr>
        <w:fldChar w:fldCharType="begin" w:fldLock="1"/>
      </w:r>
      <w:r w:rsidR="00865C76">
        <w:rPr>
          <w:rFonts w:cs="Times New Roman"/>
        </w:rPr>
        <w:instrText>ADDIN CSL_CITATION {"citationItems":[{"id":"ITEM-1","itemData":{"ISSN":"2192113X","abstract":"Vendor lock-in is a major barrier to the adoption of cloud computing, due to the lack of standardization. Current solutions and efforts tackling the vendor lock-in problem are predominantly technology-oriented. Limited studies exist to analyse and highlight the complexity of vendor lock-in problem in the cloud environment. Consequently, most customers are unaware of proprietary standards which inhibit interoperability and portability of applications when taking services from vendors. This paper provides a critical analysis of the vendor lock-in problem, from a business perspective. A survey based on qualitative and quantitative approaches conducted in this study has identified the main risk factors that give rise to lock-in situations. The analysis of our survey of 114 participants shows that, as computing resources migrate from on-premise to the cloud, the vendor lock-in problem is exacerbated. Furthermore, the findings exemplify the importance of interoperability, portability and standards in cloud computing. A number of strategies are proposed on how to avoid and mitigate lock-in risks when migrating to cloud computing. The strategies relate to contracts, selection of vendors that support standardised formats and protocols regarding standard data structures and APIs, developing awareness of commonalities and dependencies among cloud-based solutions. We strongly believe that the implementation of these strategies has a great potential to reduce the risks of vendor lock-in.","author":[{"dropping-particle":"","family":"Opara-Martins","given":"Justice","non-dropping-particle":"","parse-names":false,"suffix":""},{"dropping-particle":"","family":"Sahandi","given":"Reza","non-dropping-particle":"","parse-names":false,"suffix":""},{"dropping-particle":"","family":"Tian","given":"Feng","non-dropping-particle":"","parse-names":false,"suffix":""}],"container-title":"Journal of Cloud Computing","id":"ITEM-1","issue":"1","issued":{"date-parts":[["2016","12","1"]]},"publisher":"Springer Verlag","title":"Critical analysis of vendor lock-in and its impact on cloud computing migration: a business perspective","type":"article-journal","volume":"5"},"uris":["http://www.mendeley.com/documents/?uuid=f9ba082c-73b0-3459-b5d8-3d652d968255"]}],"mendeley":{"formattedCitation":"(Opara-Martins, Sahandi and Tian, 2016)","plainTextFormattedCitation":"(Opara-Martins, Sahandi and Tian, 2016)","previouslyFormattedCitation":"(Opara-Martins, Sahandi and Tian, 2016)"},"properties":{"noteIndex":0},"schema":"https://github.com/citation-style-language/schema/raw/master/csl-citation.json"}</w:instrText>
      </w:r>
      <w:r w:rsidR="002C1770" w:rsidRPr="00865C76">
        <w:rPr>
          <w:rFonts w:cs="Times New Roman"/>
        </w:rPr>
        <w:fldChar w:fldCharType="separate"/>
      </w:r>
      <w:r w:rsidR="00865C76" w:rsidRPr="00865C76">
        <w:rPr>
          <w:rFonts w:cs="Times New Roman"/>
          <w:noProof/>
        </w:rPr>
        <w:t>(Opara-Martins, Sahandi and Tian, 2016)</w:t>
      </w:r>
      <w:r w:rsidR="002C1770" w:rsidRPr="00865C76">
        <w:rPr>
          <w:rFonts w:cs="Times New Roman"/>
        </w:rPr>
        <w:fldChar w:fldCharType="end"/>
      </w:r>
      <w:r w:rsidRPr="00865C76">
        <w:rPr>
          <w:rFonts w:cs="Times New Roman"/>
        </w:rPr>
        <w:t>. Critical suppliers should undergo detailed due diligence and periodic reassessment.</w:t>
      </w:r>
      <w:r w:rsidR="00865C76">
        <w:rPr>
          <w:rFonts w:cs="Times New Roman"/>
        </w:rPr>
        <w:t xml:space="preserve"> </w:t>
      </w:r>
      <w:r w:rsidR="001859E9" w:rsidRPr="002152B7">
        <w:rPr>
          <w:rFonts w:cs="Times New Roman"/>
        </w:rPr>
        <w:t>Contracts and security SLAs should define measurable obligations rather than use vague terms such as “industry-standard security.”</w:t>
      </w:r>
    </w:p>
    <w:p w:rsidR="00634D99" w:rsidRPr="008E0E80" w:rsidRDefault="0025078D" w:rsidP="009760FB">
      <w:pPr>
        <w:pStyle w:val="Caption"/>
        <w:spacing w:line="360" w:lineRule="auto"/>
        <w:rPr>
          <w:rFonts w:cs="Times New Roman"/>
          <w:color w:val="auto"/>
        </w:rPr>
      </w:pPr>
      <w:bookmarkStart w:id="24" w:name="_Toc236305944"/>
      <w:r w:rsidRPr="008E0E80">
        <w:rPr>
          <w:rFonts w:cs="Times New Roman"/>
          <w:color w:val="auto"/>
        </w:rPr>
        <w:t xml:space="preserve">Table </w:t>
      </w:r>
      <w:r w:rsidR="002C1770" w:rsidRPr="008E0E80">
        <w:rPr>
          <w:rFonts w:cs="Times New Roman"/>
          <w:color w:val="auto"/>
        </w:rPr>
        <w:fldChar w:fldCharType="begin"/>
      </w:r>
      <w:r w:rsidRPr="008E0E80">
        <w:rPr>
          <w:rFonts w:cs="Times New Roman"/>
          <w:color w:val="auto"/>
        </w:rPr>
        <w:instrText xml:space="preserve"> SEQ Table \* ARABIC </w:instrText>
      </w:r>
      <w:r w:rsidR="002C1770" w:rsidRPr="008E0E80">
        <w:rPr>
          <w:rFonts w:cs="Times New Roman"/>
          <w:color w:val="auto"/>
        </w:rPr>
        <w:fldChar w:fldCharType="separate"/>
      </w:r>
      <w:r w:rsidR="006946CD">
        <w:rPr>
          <w:rFonts w:cs="Times New Roman"/>
          <w:noProof/>
          <w:color w:val="auto"/>
        </w:rPr>
        <w:t>4</w:t>
      </w:r>
      <w:r w:rsidR="002C1770" w:rsidRPr="008E0E80">
        <w:rPr>
          <w:rFonts w:cs="Times New Roman"/>
          <w:color w:val="auto"/>
        </w:rPr>
        <w:fldChar w:fldCharType="end"/>
      </w:r>
      <w:r w:rsidRPr="008E0E80">
        <w:rPr>
          <w:rFonts w:cs="Times New Roman"/>
          <w:color w:val="auto"/>
        </w:rPr>
        <w:t xml:space="preserve">: </w:t>
      </w:r>
      <w:r w:rsidR="003703AC" w:rsidRPr="003703AC">
        <w:rPr>
          <w:rFonts w:cs="Times New Roman"/>
          <w:color w:val="auto"/>
        </w:rPr>
        <w:t>Critical Supplier and SLA Requirements</w:t>
      </w:r>
      <w:bookmarkEnd w:id="24"/>
    </w:p>
    <w:tbl>
      <w:tblPr>
        <w:tblStyle w:val="GridTableLight"/>
        <w:tblW w:w="5000" w:type="pct"/>
        <w:tblLook w:val="04A0"/>
      </w:tblPr>
      <w:tblGrid>
        <w:gridCol w:w="5194"/>
        <w:gridCol w:w="4382"/>
      </w:tblGrid>
      <w:tr w:rsidR="004870F3" w:rsidRPr="004870F3" w:rsidTr="004870F3">
        <w:tc>
          <w:tcPr>
            <w:tcW w:w="2712" w:type="pct"/>
            <w:hideMark/>
          </w:tcPr>
          <w:p w:rsidR="004870F3" w:rsidRPr="004870F3" w:rsidRDefault="004870F3" w:rsidP="004870F3">
            <w:pPr>
              <w:spacing w:after="160" w:line="360" w:lineRule="auto"/>
              <w:jc w:val="both"/>
              <w:rPr>
                <w:rFonts w:cs="Times New Roman"/>
                <w:b/>
                <w:bCs/>
              </w:rPr>
            </w:pPr>
            <w:r w:rsidRPr="004870F3">
              <w:rPr>
                <w:rFonts w:cs="Times New Roman"/>
                <w:b/>
                <w:bCs/>
              </w:rPr>
              <w:t>Requirement</w:t>
            </w:r>
          </w:p>
        </w:tc>
        <w:tc>
          <w:tcPr>
            <w:tcW w:w="2288" w:type="pct"/>
            <w:hideMark/>
          </w:tcPr>
          <w:p w:rsidR="004870F3" w:rsidRPr="004870F3" w:rsidRDefault="004870F3" w:rsidP="004870F3">
            <w:pPr>
              <w:spacing w:after="160" w:line="360" w:lineRule="auto"/>
              <w:jc w:val="both"/>
              <w:rPr>
                <w:rFonts w:cs="Times New Roman"/>
                <w:b/>
                <w:bCs/>
              </w:rPr>
            </w:pPr>
            <w:r w:rsidRPr="004870F3">
              <w:rPr>
                <w:rFonts w:cs="Times New Roman"/>
                <w:b/>
                <w:bCs/>
              </w:rPr>
              <w:t>Required evidence</w:t>
            </w:r>
          </w:p>
        </w:tc>
      </w:tr>
      <w:tr w:rsidR="004870F3" w:rsidRPr="004870F3" w:rsidTr="004870F3">
        <w:tc>
          <w:tcPr>
            <w:tcW w:w="2712" w:type="pct"/>
            <w:hideMark/>
          </w:tcPr>
          <w:p w:rsidR="004870F3" w:rsidRPr="004870F3" w:rsidRDefault="004870F3" w:rsidP="004870F3">
            <w:pPr>
              <w:spacing w:after="160" w:line="360" w:lineRule="auto"/>
              <w:jc w:val="both"/>
              <w:rPr>
                <w:rFonts w:cs="Times New Roman"/>
              </w:rPr>
            </w:pPr>
            <w:r w:rsidRPr="004870F3">
              <w:rPr>
                <w:rFonts w:cs="Times New Roman"/>
              </w:rPr>
              <w:t>Incident notification within an agreed maximum period</w:t>
            </w:r>
          </w:p>
        </w:tc>
        <w:tc>
          <w:tcPr>
            <w:tcW w:w="2288" w:type="pct"/>
            <w:hideMark/>
          </w:tcPr>
          <w:p w:rsidR="004870F3" w:rsidRPr="004870F3" w:rsidRDefault="004870F3" w:rsidP="004870F3">
            <w:pPr>
              <w:spacing w:after="160" w:line="360" w:lineRule="auto"/>
              <w:jc w:val="both"/>
              <w:rPr>
                <w:rFonts w:cs="Times New Roman"/>
              </w:rPr>
            </w:pPr>
            <w:r w:rsidRPr="004870F3">
              <w:rPr>
                <w:rFonts w:cs="Times New Roman"/>
              </w:rPr>
              <w:t>Notification and incident records</w:t>
            </w:r>
          </w:p>
        </w:tc>
      </w:tr>
      <w:tr w:rsidR="004870F3" w:rsidRPr="004870F3" w:rsidTr="004870F3">
        <w:tc>
          <w:tcPr>
            <w:tcW w:w="2712" w:type="pct"/>
            <w:hideMark/>
          </w:tcPr>
          <w:p w:rsidR="004870F3" w:rsidRPr="004870F3" w:rsidRDefault="004870F3" w:rsidP="004870F3">
            <w:pPr>
              <w:spacing w:after="160" w:line="360" w:lineRule="auto"/>
              <w:jc w:val="both"/>
              <w:rPr>
                <w:rFonts w:cs="Times New Roman"/>
              </w:rPr>
            </w:pPr>
            <w:r w:rsidRPr="004870F3">
              <w:rPr>
                <w:rFonts w:cs="Times New Roman"/>
              </w:rPr>
              <w:t>Critical vulnerability remediation within defined deadlines</w:t>
            </w:r>
          </w:p>
        </w:tc>
        <w:tc>
          <w:tcPr>
            <w:tcW w:w="2288" w:type="pct"/>
            <w:hideMark/>
          </w:tcPr>
          <w:p w:rsidR="004870F3" w:rsidRPr="004870F3" w:rsidRDefault="004870F3" w:rsidP="004870F3">
            <w:pPr>
              <w:spacing w:after="160" w:line="360" w:lineRule="auto"/>
              <w:jc w:val="both"/>
              <w:rPr>
                <w:rFonts w:cs="Times New Roman"/>
              </w:rPr>
            </w:pPr>
            <w:r w:rsidRPr="004870F3">
              <w:rPr>
                <w:rFonts w:cs="Times New Roman"/>
              </w:rPr>
              <w:t>Vulnerability reports and closure evidence</w:t>
            </w:r>
          </w:p>
        </w:tc>
      </w:tr>
      <w:tr w:rsidR="004870F3" w:rsidRPr="004870F3" w:rsidTr="004870F3">
        <w:tc>
          <w:tcPr>
            <w:tcW w:w="2712" w:type="pct"/>
            <w:hideMark/>
          </w:tcPr>
          <w:p w:rsidR="004870F3" w:rsidRPr="004870F3" w:rsidRDefault="004870F3" w:rsidP="004870F3">
            <w:pPr>
              <w:spacing w:after="160" w:line="360" w:lineRule="auto"/>
              <w:jc w:val="both"/>
              <w:rPr>
                <w:rFonts w:cs="Times New Roman"/>
              </w:rPr>
            </w:pPr>
            <w:r w:rsidRPr="004870F3">
              <w:rPr>
                <w:rFonts w:cs="Times New Roman"/>
              </w:rPr>
              <w:t>Encryption and controlled privileged access</w:t>
            </w:r>
          </w:p>
        </w:tc>
        <w:tc>
          <w:tcPr>
            <w:tcW w:w="2288" w:type="pct"/>
            <w:hideMark/>
          </w:tcPr>
          <w:p w:rsidR="004870F3" w:rsidRPr="004870F3" w:rsidRDefault="004870F3" w:rsidP="004870F3">
            <w:pPr>
              <w:spacing w:after="160" w:line="360" w:lineRule="auto"/>
              <w:jc w:val="both"/>
              <w:rPr>
                <w:rFonts w:cs="Times New Roman"/>
              </w:rPr>
            </w:pPr>
            <w:r w:rsidRPr="004870F3">
              <w:rPr>
                <w:rFonts w:cs="Times New Roman"/>
              </w:rPr>
              <w:t>Configuration and access-review records</w:t>
            </w:r>
          </w:p>
        </w:tc>
      </w:tr>
      <w:tr w:rsidR="004870F3" w:rsidRPr="004870F3" w:rsidTr="004870F3">
        <w:tc>
          <w:tcPr>
            <w:tcW w:w="2712" w:type="pct"/>
            <w:hideMark/>
          </w:tcPr>
          <w:p w:rsidR="004870F3" w:rsidRPr="004870F3" w:rsidRDefault="004870F3" w:rsidP="004870F3">
            <w:pPr>
              <w:spacing w:after="160" w:line="360" w:lineRule="auto"/>
              <w:jc w:val="both"/>
              <w:rPr>
                <w:rFonts w:cs="Times New Roman"/>
              </w:rPr>
            </w:pPr>
            <w:r w:rsidRPr="004870F3">
              <w:rPr>
                <w:rFonts w:cs="Times New Roman"/>
              </w:rPr>
              <w:lastRenderedPageBreak/>
              <w:t>Tested recovery objectives</w:t>
            </w:r>
          </w:p>
        </w:tc>
        <w:tc>
          <w:tcPr>
            <w:tcW w:w="2288" w:type="pct"/>
            <w:hideMark/>
          </w:tcPr>
          <w:p w:rsidR="004870F3" w:rsidRPr="004870F3" w:rsidRDefault="004870F3" w:rsidP="004870F3">
            <w:pPr>
              <w:spacing w:after="160" w:line="360" w:lineRule="auto"/>
              <w:jc w:val="both"/>
              <w:rPr>
                <w:rFonts w:cs="Times New Roman"/>
              </w:rPr>
            </w:pPr>
            <w:r w:rsidRPr="004870F3">
              <w:rPr>
                <w:rFonts w:cs="Times New Roman"/>
              </w:rPr>
              <w:t>Backup restoration and disaster-recovery reports</w:t>
            </w:r>
          </w:p>
        </w:tc>
      </w:tr>
      <w:tr w:rsidR="004870F3" w:rsidRPr="004870F3" w:rsidTr="004870F3">
        <w:tc>
          <w:tcPr>
            <w:tcW w:w="2712" w:type="pct"/>
            <w:hideMark/>
          </w:tcPr>
          <w:p w:rsidR="004870F3" w:rsidRPr="004870F3" w:rsidRDefault="004870F3" w:rsidP="004870F3">
            <w:pPr>
              <w:spacing w:after="160" w:line="360" w:lineRule="auto"/>
              <w:jc w:val="both"/>
              <w:rPr>
                <w:rFonts w:cs="Times New Roman"/>
              </w:rPr>
            </w:pPr>
            <w:r w:rsidRPr="004870F3">
              <w:rPr>
                <w:rFonts w:cs="Times New Roman"/>
              </w:rPr>
              <w:t>Data return, deletion and exit support</w:t>
            </w:r>
          </w:p>
        </w:tc>
        <w:tc>
          <w:tcPr>
            <w:tcW w:w="2288" w:type="pct"/>
            <w:hideMark/>
          </w:tcPr>
          <w:p w:rsidR="004870F3" w:rsidRPr="004870F3" w:rsidRDefault="004870F3" w:rsidP="004870F3">
            <w:pPr>
              <w:spacing w:after="160" w:line="360" w:lineRule="auto"/>
              <w:jc w:val="both"/>
              <w:rPr>
                <w:rFonts w:cs="Times New Roman"/>
              </w:rPr>
            </w:pPr>
            <w:r w:rsidRPr="004870F3">
              <w:rPr>
                <w:rFonts w:cs="Times New Roman"/>
              </w:rPr>
              <w:t>Tested exit plan and deletion confirmation</w:t>
            </w:r>
          </w:p>
        </w:tc>
      </w:tr>
    </w:tbl>
    <w:p w:rsidR="00AB41DE" w:rsidRDefault="00AB41DE" w:rsidP="009760FB">
      <w:pPr>
        <w:spacing w:line="360" w:lineRule="auto"/>
        <w:jc w:val="both"/>
        <w:rPr>
          <w:rFonts w:cs="Times New Roman"/>
        </w:rPr>
      </w:pPr>
    </w:p>
    <w:p w:rsidR="004870F3" w:rsidRPr="002152B7" w:rsidRDefault="00AB41DE" w:rsidP="009760FB">
      <w:pPr>
        <w:spacing w:line="360" w:lineRule="auto"/>
        <w:jc w:val="both"/>
        <w:rPr>
          <w:rFonts w:cs="Times New Roman"/>
        </w:rPr>
      </w:pPr>
      <w:r w:rsidRPr="002152B7">
        <w:rPr>
          <w:rFonts w:cs="Times New Roman"/>
        </w:rPr>
        <w:t xml:space="preserve">Critical contracts should also provide right-to-audit provisions, prior notification of </w:t>
      </w:r>
      <w:proofErr w:type="spellStart"/>
      <w:r w:rsidRPr="002152B7">
        <w:rPr>
          <w:rFonts w:cs="Times New Roman"/>
        </w:rPr>
        <w:t>subprocessor</w:t>
      </w:r>
      <w:proofErr w:type="spellEnd"/>
      <w:r w:rsidRPr="002152B7">
        <w:rPr>
          <w:rFonts w:cs="Times New Roman"/>
        </w:rPr>
        <w:t xml:space="preserve"> changes and restrictions on unapproved data locations.</w:t>
      </w:r>
    </w:p>
    <w:p w:rsidR="00F94081" w:rsidRPr="00865C76" w:rsidRDefault="00894B98" w:rsidP="00597F56">
      <w:pPr>
        <w:spacing w:line="360" w:lineRule="auto"/>
        <w:jc w:val="both"/>
        <w:rPr>
          <w:rFonts w:cs="Times New Roman"/>
        </w:rPr>
      </w:pPr>
      <w:r w:rsidRPr="00865C76">
        <w:rPr>
          <w:rFonts w:cs="Times New Roman"/>
        </w:rPr>
        <w:t xml:space="preserve">Concentration risk also needs to be considered by </w:t>
      </w:r>
      <w:proofErr w:type="spellStart"/>
      <w:r w:rsidRPr="00865C76">
        <w:rPr>
          <w:rFonts w:cs="Times New Roman"/>
        </w:rPr>
        <w:t>AeroLink</w:t>
      </w:r>
      <w:proofErr w:type="spellEnd"/>
      <w:r w:rsidRPr="00865C76">
        <w:rPr>
          <w:rFonts w:cs="Times New Roman"/>
        </w:rPr>
        <w:t xml:space="preserve">, given that multiple seemingly distinct </w:t>
      </w:r>
      <w:proofErr w:type="spellStart"/>
      <w:r w:rsidRPr="00865C76">
        <w:rPr>
          <w:rFonts w:cs="Times New Roman"/>
        </w:rPr>
        <w:t>SaaS</w:t>
      </w:r>
      <w:proofErr w:type="spellEnd"/>
      <w:r w:rsidRPr="00865C76">
        <w:rPr>
          <w:rFonts w:cs="Times New Roman"/>
        </w:rPr>
        <w:t xml:space="preserve"> services could rely on the same cloud, identity and network provider. Exit planning should ensure that data can be exported in a meaningful way, and that access to data can be terminated in a secure manner with the supplier.</w:t>
      </w:r>
    </w:p>
    <w:p w:rsidR="00F94081" w:rsidRPr="00865C76" w:rsidRDefault="00894B98" w:rsidP="00597F56">
      <w:pPr>
        <w:spacing w:line="360" w:lineRule="auto"/>
        <w:jc w:val="both"/>
        <w:rPr>
          <w:rFonts w:cs="Times New Roman"/>
        </w:rPr>
      </w:pPr>
      <w:r w:rsidRPr="00865C76">
        <w:rPr>
          <w:rFonts w:cs="Times New Roman"/>
        </w:rPr>
        <w:t>Incident response team shall be coordinated among the cross-functional team including security, IT, privacy, legal, communications, business continuity and the affected service owners</w:t>
      </w:r>
      <w:r w:rsidR="00865C76">
        <w:rPr>
          <w:rFonts w:cs="Times New Roman"/>
        </w:rPr>
        <w:t xml:space="preserve"> </w:t>
      </w:r>
      <w:r w:rsidR="002C1770">
        <w:rPr>
          <w:rFonts w:cs="Times New Roman"/>
        </w:rPr>
        <w:fldChar w:fldCharType="begin" w:fldLock="1"/>
      </w:r>
      <w:r w:rsidR="00865C76">
        <w:rPr>
          <w:rFonts w:cs="Times New Roman"/>
        </w:rPr>
        <w:instrText>ADDIN CSL_CITATION {"citationItems":[{"id":"ITEM-1","itemData":{"ISSN":"1615-5270","abstract":"Cyberattacks are increasingly affecting the safe operation of critical infrastructure (e.g., energy, manufacturing) and potentially endangering production, people, equipment, and the environment. A cyber-incident with physical consequences requires personnel responsible for aggregating log information, analyzing root cause (i.e., cybersecurity), and ensuring the production and safe operation of safety-critical systems (i.e., safety) to collaborate. For this, they must understand their own and each other’s roles in the incident response process, as well as when and how to interact with different roles. To address this problem, this paper proposes a framework that utilizes a model-based approach to illustrate the critical roles and their interactions within a security-safety incident response plan. To demonstrate its applicability, the framework was applied in a qualitative study within the Norwegian oil and gas industry, involving two companies. This research sheds light on the relevance of applying a model-based approach to developing security and safety incident response plans for organizations. It investigates the relevance of using two modeling languages: a general-purpose software systems modeling language, the Unified Modeling Language (UML), and an enterprise process workflow modeling language, the Business Process Modeling Notation (BPMN), for visualizing the security-safety incident response plan. The findings indicate that the modeling languages are suitable and relevant for understanding and discussing the collaboration and coordination of different personnel’s roles during security-safety incident response. The distinct diagrams highlight various aspects, including roles, transmitted information, tasks, and the sequence of tasks. Future work should consider how the diagrams can be applied during the training and learning of the incident response plans.","author":[{"dropping-particle":"","family":"Gnanasekaran","given":"Vahiny","non-dropping-particle":"","parse-names":false,"suffix":""},{"dropping-particle":"","family":"Fatima","given":"Urooj","non-dropping-particle":"","parse-names":false,"suffix":""},{"dropping-particle":"","family":"Glas","given":"Magdalena","non-dropping-particle":"","parse-names":false,"suffix":""},{"dropping-particle":"","family":"Heegaard","given":"Poul Einar","non-dropping-particle":"","parse-names":false,"suffix":""}],"container-title":"International Journal of Information Security 2025 24:6","id":"ITEM-1","issue":"6","issued":{"date-parts":[["2025","11","3"]]},"page":"229-","publisher":"Springer","title":"A Model-Based Framework for Developing Security-Safety Incident Response Plans","type":"article-journal","volume":"24"},"uris":["http://www.mendeley.com/documents/?uuid=c665d380-6706-38af-a3af-ab410267ded7"]}],"mendeley":{"formattedCitation":"(Gnanasekaran &lt;i&gt;et al.&lt;/i&gt;, 2025)","plainTextFormattedCitation":"(Gnanasekaran et al., 2025)","previouslyFormattedCitation":"(Gnanasekaran &lt;i&gt;et al.&lt;/i&gt;, 2025)"},"properties":{"noteIndex":0},"schema":"https://github.com/citation-style-language/schema/raw/master/csl-citation.json"}</w:instrText>
      </w:r>
      <w:r w:rsidR="002C1770">
        <w:rPr>
          <w:rFonts w:cs="Times New Roman"/>
        </w:rPr>
        <w:fldChar w:fldCharType="separate"/>
      </w:r>
      <w:r w:rsidR="00865C76" w:rsidRPr="00865C76">
        <w:rPr>
          <w:rFonts w:cs="Times New Roman"/>
          <w:noProof/>
        </w:rPr>
        <w:t xml:space="preserve">(Gnanasekaran </w:t>
      </w:r>
      <w:r w:rsidR="00865C76" w:rsidRPr="00865C76">
        <w:rPr>
          <w:rFonts w:cs="Times New Roman"/>
          <w:i/>
          <w:noProof/>
        </w:rPr>
        <w:t>et al.</w:t>
      </w:r>
      <w:r w:rsidR="00865C76" w:rsidRPr="00865C76">
        <w:rPr>
          <w:rFonts w:cs="Times New Roman"/>
          <w:noProof/>
        </w:rPr>
        <w:t>, 2025)</w:t>
      </w:r>
      <w:r w:rsidR="002C1770">
        <w:rPr>
          <w:rFonts w:cs="Times New Roman"/>
        </w:rPr>
        <w:fldChar w:fldCharType="end"/>
      </w:r>
      <w:r w:rsidRPr="00865C76">
        <w:rPr>
          <w:rFonts w:cs="Times New Roman"/>
        </w:rPr>
        <w:t>. It should include steps for preparation, detection, triage, containment, investigation, eradication, recovery, notification and lessons learned.</w:t>
      </w:r>
      <w:r w:rsidR="00435CCF" w:rsidRPr="00865C76">
        <w:rPr>
          <w:rFonts w:cs="Times New Roman"/>
        </w:rPr>
        <w:t xml:space="preserve"> </w:t>
      </w:r>
      <w:r w:rsidR="00365096" w:rsidRPr="00865C76">
        <w:rPr>
          <w:rFonts w:cs="Times New Roman"/>
        </w:rPr>
        <w:t xml:space="preserve">This operational impact should be taken into account when making containment decisions. </w:t>
      </w:r>
      <w:r w:rsidR="00841242" w:rsidRPr="00865C76">
        <w:rPr>
          <w:rFonts w:cs="Times New Roman"/>
        </w:rPr>
        <w:t>Containment decisions must consider operational impact. Disconnecting a compromised platform may restrict attacker activity but could also interrupt global logistics.</w:t>
      </w:r>
    </w:p>
    <w:p w:rsidR="00894B98" w:rsidRPr="008E0E80" w:rsidRDefault="00894B98" w:rsidP="00597F56">
      <w:pPr>
        <w:spacing w:line="360" w:lineRule="auto"/>
        <w:jc w:val="both"/>
        <w:rPr>
          <w:rFonts w:cs="Times New Roman"/>
        </w:rPr>
      </w:pPr>
      <w:r w:rsidRPr="00865C76">
        <w:rPr>
          <w:rFonts w:cs="Times New Roman"/>
        </w:rPr>
        <w:t xml:space="preserve">A Business Impact Analysis is a component of Business Continuity Planning that helps identify critical services and dependencies, and acceptable disruption. The shortest recovery times are likely to be for identity, shipment tracking, and warehouse systems. Each critical service should have Recovery Time Objectives and Recovery Point Objectives defined in the Business Impact Analysis. </w:t>
      </w:r>
      <w:r w:rsidR="002B6625" w:rsidRPr="00865C76">
        <w:rPr>
          <w:rFonts w:cs="Times New Roman"/>
        </w:rPr>
        <w:t>Backups should be encrypted, isolated from production credentials and tested through restoration rather than assumed to be usable.</w:t>
      </w:r>
      <w:r w:rsidRPr="00500DC4">
        <w:rPr>
          <w:rFonts w:cs="Times New Roman"/>
          <w:color w:val="EE0000"/>
        </w:rPr>
        <w:t xml:space="preserve"> </w:t>
      </w:r>
      <w:r w:rsidRPr="00894B98">
        <w:rPr>
          <w:rFonts w:cs="Times New Roman"/>
        </w:rPr>
        <w:t xml:space="preserve">Include </w:t>
      </w:r>
      <w:proofErr w:type="spellStart"/>
      <w:r w:rsidRPr="00894B98">
        <w:rPr>
          <w:rFonts w:cs="Times New Roman"/>
        </w:rPr>
        <w:t>ransomware</w:t>
      </w:r>
      <w:proofErr w:type="spellEnd"/>
      <w:r w:rsidRPr="00894B98">
        <w:rPr>
          <w:rFonts w:cs="Times New Roman"/>
        </w:rPr>
        <w:t>, provider outage, loss of communication services and simultaneous failures with providers in exercises.</w:t>
      </w:r>
    </w:p>
    <w:p w:rsidR="008338CC" w:rsidRDefault="008338CC" w:rsidP="009760FB">
      <w:pPr>
        <w:pStyle w:val="Heading2"/>
        <w:spacing w:line="360" w:lineRule="auto"/>
        <w:rPr>
          <w:rFonts w:cs="Times New Roman"/>
          <w:color w:val="auto"/>
        </w:rPr>
      </w:pPr>
      <w:bookmarkStart w:id="25" w:name="_Toc236305932"/>
      <w:r w:rsidRPr="008E0E80">
        <w:rPr>
          <w:rFonts w:cs="Times New Roman"/>
          <w:color w:val="auto"/>
        </w:rPr>
        <w:t>4.5</w:t>
      </w:r>
      <w:r w:rsidR="00AF1308" w:rsidRPr="008E0E80">
        <w:rPr>
          <w:rFonts w:cs="Times New Roman"/>
          <w:color w:val="auto"/>
        </w:rPr>
        <w:t xml:space="preserve"> </w:t>
      </w:r>
      <w:r w:rsidR="00597F56" w:rsidRPr="00597F56">
        <w:rPr>
          <w:rFonts w:cs="Times New Roman"/>
          <w:color w:val="auto"/>
        </w:rPr>
        <w:t>Implementation and Performance Measurement</w:t>
      </w:r>
      <w:bookmarkEnd w:id="25"/>
    </w:p>
    <w:p w:rsidR="00D22DDD" w:rsidRPr="00D22DDD" w:rsidRDefault="00D22DDD" w:rsidP="00D22DDD">
      <w:pPr>
        <w:spacing w:line="360" w:lineRule="auto"/>
      </w:pPr>
      <w:r w:rsidRPr="00D22DDD">
        <w:t>Implementation should be phased so that immediate exposure is reduced before formal certification or advanced automation is pursued.</w:t>
      </w:r>
    </w:p>
    <w:p w:rsidR="00C47E37" w:rsidRDefault="00E94029" w:rsidP="009760FB">
      <w:pPr>
        <w:pStyle w:val="Caption"/>
        <w:keepNext/>
        <w:spacing w:line="360" w:lineRule="auto"/>
        <w:jc w:val="both"/>
        <w:rPr>
          <w:rFonts w:cs="Times New Roman"/>
          <w:color w:val="auto"/>
        </w:rPr>
      </w:pPr>
      <w:bookmarkStart w:id="26" w:name="_Toc236305945"/>
      <w:r w:rsidRPr="008E0E80">
        <w:rPr>
          <w:rFonts w:cs="Times New Roman"/>
          <w:color w:val="auto"/>
        </w:rPr>
        <w:lastRenderedPageBreak/>
        <w:t xml:space="preserve">Table </w:t>
      </w:r>
      <w:r w:rsidR="002C1770" w:rsidRPr="008E0E80">
        <w:rPr>
          <w:rFonts w:cs="Times New Roman"/>
          <w:color w:val="auto"/>
        </w:rPr>
        <w:fldChar w:fldCharType="begin"/>
      </w:r>
      <w:r w:rsidRPr="008E0E80">
        <w:rPr>
          <w:rFonts w:cs="Times New Roman"/>
          <w:color w:val="auto"/>
        </w:rPr>
        <w:instrText xml:space="preserve"> SEQ Table \* ARABIC </w:instrText>
      </w:r>
      <w:r w:rsidR="002C1770" w:rsidRPr="008E0E80">
        <w:rPr>
          <w:rFonts w:cs="Times New Roman"/>
          <w:color w:val="auto"/>
        </w:rPr>
        <w:fldChar w:fldCharType="separate"/>
      </w:r>
      <w:r w:rsidR="006946CD">
        <w:rPr>
          <w:rFonts w:cs="Times New Roman"/>
          <w:noProof/>
          <w:color w:val="auto"/>
        </w:rPr>
        <w:t>5</w:t>
      </w:r>
      <w:r w:rsidR="002C1770" w:rsidRPr="008E0E80">
        <w:rPr>
          <w:rFonts w:cs="Times New Roman"/>
          <w:color w:val="auto"/>
        </w:rPr>
        <w:fldChar w:fldCharType="end"/>
      </w:r>
      <w:r w:rsidRPr="008E0E80">
        <w:rPr>
          <w:rFonts w:cs="Times New Roman"/>
          <w:color w:val="auto"/>
        </w:rPr>
        <w:t xml:space="preserve">: </w:t>
      </w:r>
      <w:r w:rsidR="002E2B16" w:rsidRPr="002E2B16">
        <w:rPr>
          <w:rFonts w:cs="Times New Roman"/>
          <w:color w:val="auto"/>
        </w:rPr>
        <w:t>Condensed Implementation Roadmap</w:t>
      </w:r>
      <w:bookmarkEnd w:id="26"/>
    </w:p>
    <w:tbl>
      <w:tblPr>
        <w:tblStyle w:val="GridTableLight"/>
        <w:tblW w:w="5000" w:type="pct"/>
        <w:tblLook w:val="04A0"/>
      </w:tblPr>
      <w:tblGrid>
        <w:gridCol w:w="1321"/>
        <w:gridCol w:w="8255"/>
      </w:tblGrid>
      <w:tr w:rsidR="00A756A7" w:rsidRPr="00A756A7" w:rsidTr="00A756A7">
        <w:tc>
          <w:tcPr>
            <w:tcW w:w="690" w:type="pct"/>
            <w:hideMark/>
          </w:tcPr>
          <w:p w:rsidR="00A756A7" w:rsidRPr="00A756A7" w:rsidRDefault="00A756A7" w:rsidP="00A756A7">
            <w:pPr>
              <w:spacing w:after="160" w:line="278" w:lineRule="auto"/>
              <w:rPr>
                <w:b/>
                <w:bCs/>
              </w:rPr>
            </w:pPr>
            <w:r w:rsidRPr="00A756A7">
              <w:rPr>
                <w:b/>
                <w:bCs/>
              </w:rPr>
              <w:t>Phase</w:t>
            </w:r>
          </w:p>
        </w:tc>
        <w:tc>
          <w:tcPr>
            <w:tcW w:w="4310" w:type="pct"/>
            <w:hideMark/>
          </w:tcPr>
          <w:p w:rsidR="00A756A7" w:rsidRPr="00A756A7" w:rsidRDefault="00A756A7" w:rsidP="00A756A7">
            <w:pPr>
              <w:spacing w:after="160" w:line="278" w:lineRule="auto"/>
              <w:rPr>
                <w:b/>
                <w:bCs/>
              </w:rPr>
            </w:pPr>
            <w:r w:rsidRPr="00A756A7">
              <w:rPr>
                <w:b/>
                <w:bCs/>
              </w:rPr>
              <w:t>Priority actions</w:t>
            </w:r>
          </w:p>
        </w:tc>
      </w:tr>
      <w:tr w:rsidR="00A756A7" w:rsidRPr="00A756A7" w:rsidTr="00A756A7">
        <w:tc>
          <w:tcPr>
            <w:tcW w:w="690" w:type="pct"/>
            <w:hideMark/>
          </w:tcPr>
          <w:p w:rsidR="00A756A7" w:rsidRPr="00A756A7" w:rsidRDefault="00A756A7" w:rsidP="00A756A7">
            <w:pPr>
              <w:spacing w:after="160" w:line="360" w:lineRule="auto"/>
            </w:pPr>
            <w:r w:rsidRPr="00A756A7">
              <w:t>0</w:t>
            </w:r>
            <w:r w:rsidR="00C72B29">
              <w:t xml:space="preserve"> - </w:t>
            </w:r>
            <w:r w:rsidRPr="00A756A7">
              <w:t>90 days</w:t>
            </w:r>
          </w:p>
        </w:tc>
        <w:tc>
          <w:tcPr>
            <w:tcW w:w="4310" w:type="pct"/>
            <w:hideMark/>
          </w:tcPr>
          <w:p w:rsidR="00A756A7" w:rsidRPr="00A756A7" w:rsidRDefault="00A756A7" w:rsidP="00A756A7">
            <w:pPr>
              <w:spacing w:after="160" w:line="360" w:lineRule="auto"/>
            </w:pPr>
            <w:r w:rsidRPr="00A756A7">
              <w:t>Investigate previous breaches, enforce MFA, review privileged and supplier accounts, test backups and establish the central risk register</w:t>
            </w:r>
          </w:p>
        </w:tc>
      </w:tr>
      <w:tr w:rsidR="00A756A7" w:rsidRPr="00A756A7" w:rsidTr="00A756A7">
        <w:tc>
          <w:tcPr>
            <w:tcW w:w="690" w:type="pct"/>
            <w:hideMark/>
          </w:tcPr>
          <w:p w:rsidR="00A756A7" w:rsidRPr="00A756A7" w:rsidRDefault="00A756A7" w:rsidP="00A756A7">
            <w:pPr>
              <w:spacing w:after="160" w:line="360" w:lineRule="auto"/>
            </w:pPr>
            <w:r w:rsidRPr="00A756A7">
              <w:t>3</w:t>
            </w:r>
            <w:r w:rsidR="00C72B29">
              <w:t xml:space="preserve"> - </w:t>
            </w:r>
            <w:r w:rsidRPr="00A756A7">
              <w:t>6 months</w:t>
            </w:r>
          </w:p>
        </w:tc>
        <w:tc>
          <w:tcPr>
            <w:tcW w:w="4310" w:type="pct"/>
            <w:hideMark/>
          </w:tcPr>
          <w:p w:rsidR="00A756A7" w:rsidRPr="00A756A7" w:rsidRDefault="00A756A7" w:rsidP="00A756A7">
            <w:pPr>
              <w:spacing w:after="160" w:line="360" w:lineRule="auto"/>
            </w:pPr>
            <w:r w:rsidRPr="00A756A7">
              <w:t>Approve governance roles, define ISMS scope, classify data and suppliers, establish policies and conduct business-impact analysis</w:t>
            </w:r>
          </w:p>
        </w:tc>
      </w:tr>
      <w:tr w:rsidR="00A756A7" w:rsidRPr="00A756A7" w:rsidTr="00A756A7">
        <w:tc>
          <w:tcPr>
            <w:tcW w:w="690" w:type="pct"/>
            <w:hideMark/>
          </w:tcPr>
          <w:p w:rsidR="00A756A7" w:rsidRPr="00A756A7" w:rsidRDefault="00A756A7" w:rsidP="00A756A7">
            <w:pPr>
              <w:spacing w:after="160" w:line="360" w:lineRule="auto"/>
            </w:pPr>
            <w:r w:rsidRPr="00A756A7">
              <w:t>6</w:t>
            </w:r>
            <w:r w:rsidR="00C72B29">
              <w:t xml:space="preserve"> - </w:t>
            </w:r>
            <w:r w:rsidRPr="00A756A7">
              <w:t>12 months</w:t>
            </w:r>
          </w:p>
        </w:tc>
        <w:tc>
          <w:tcPr>
            <w:tcW w:w="4310" w:type="pct"/>
            <w:hideMark/>
          </w:tcPr>
          <w:p w:rsidR="00A756A7" w:rsidRPr="00A756A7" w:rsidRDefault="00A756A7" w:rsidP="00A756A7">
            <w:pPr>
              <w:spacing w:after="160" w:line="360" w:lineRule="auto"/>
            </w:pPr>
            <w:r w:rsidRPr="00A756A7">
              <w:t xml:space="preserve">Deploy privileged-access management, </w:t>
            </w:r>
            <w:proofErr w:type="spellStart"/>
            <w:r w:rsidRPr="00A756A7">
              <w:t>centralise</w:t>
            </w:r>
            <w:proofErr w:type="spellEnd"/>
            <w:r w:rsidRPr="00A756A7">
              <w:t xml:space="preserve"> monitoring, strengthen contracts, conduct DPIAs and test incident and recovery plans</w:t>
            </w:r>
          </w:p>
        </w:tc>
      </w:tr>
      <w:tr w:rsidR="00A756A7" w:rsidRPr="00A756A7" w:rsidTr="00A756A7">
        <w:tc>
          <w:tcPr>
            <w:tcW w:w="690" w:type="pct"/>
            <w:hideMark/>
          </w:tcPr>
          <w:p w:rsidR="00A756A7" w:rsidRPr="00A756A7" w:rsidRDefault="00A756A7" w:rsidP="00A756A7">
            <w:pPr>
              <w:spacing w:after="160" w:line="360" w:lineRule="auto"/>
            </w:pPr>
            <w:r w:rsidRPr="00A756A7">
              <w:t>12</w:t>
            </w:r>
            <w:r w:rsidR="00C72B29">
              <w:t xml:space="preserve"> - </w:t>
            </w:r>
            <w:r w:rsidRPr="00A756A7">
              <w:t>18 months</w:t>
            </w:r>
          </w:p>
        </w:tc>
        <w:tc>
          <w:tcPr>
            <w:tcW w:w="4310" w:type="pct"/>
            <w:hideMark/>
          </w:tcPr>
          <w:p w:rsidR="00A756A7" w:rsidRPr="00A756A7" w:rsidRDefault="00A756A7" w:rsidP="00A756A7">
            <w:pPr>
              <w:spacing w:after="160" w:line="360" w:lineRule="auto"/>
            </w:pPr>
            <w:r w:rsidRPr="00A756A7">
              <w:t xml:space="preserve">Introduce continuous control monitoring, strengthen </w:t>
            </w:r>
            <w:proofErr w:type="spellStart"/>
            <w:r w:rsidRPr="00A756A7">
              <w:t>IoT</w:t>
            </w:r>
            <w:proofErr w:type="spellEnd"/>
            <w:r w:rsidRPr="00A756A7">
              <w:t xml:space="preserve"> and AI governance, test supplier exits and assess ISO/IEC 27001 readiness</w:t>
            </w:r>
          </w:p>
        </w:tc>
      </w:tr>
    </w:tbl>
    <w:p w:rsidR="000F7935" w:rsidRDefault="000F7935" w:rsidP="00AF04EB">
      <w:pPr>
        <w:spacing w:line="360" w:lineRule="auto"/>
        <w:jc w:val="both"/>
      </w:pPr>
    </w:p>
    <w:p w:rsidR="008F55BB" w:rsidRDefault="008F55BB" w:rsidP="009760FB">
      <w:pPr>
        <w:spacing w:line="360" w:lineRule="auto"/>
        <w:jc w:val="both"/>
      </w:pPr>
      <w:r w:rsidRPr="008F55BB">
        <w:t>A named owner and approved resources should be identified for each phase along with dependencies and evidence-based completion criteria prior to moving to the next phase.</w:t>
      </w:r>
    </w:p>
    <w:p w:rsidR="008F55BB" w:rsidRDefault="008F55BB" w:rsidP="009760FB">
      <w:pPr>
        <w:spacing w:line="360" w:lineRule="auto"/>
        <w:jc w:val="both"/>
      </w:pPr>
      <w:r w:rsidRPr="008F55BB">
        <w:t xml:space="preserve">Limited decision-focused metrics such as overdue critical vulnerabilities, privileged-access reviews, supplier assurance coverage, incident detection and containment time, successful recovery tests and overdue high-risk audit findings are recommended for measuring performance. Care needs to be taken with metrics as a low number of incidents could be due to deficiencies in detection; policy completion does not mean policy implementation. Targets should be set following baseline measurement and be related to </w:t>
      </w:r>
      <w:proofErr w:type="spellStart"/>
      <w:r w:rsidRPr="008F55BB">
        <w:t>AeroLink's</w:t>
      </w:r>
      <w:proofErr w:type="spellEnd"/>
      <w:r w:rsidRPr="008F55BB">
        <w:t xml:space="preserve"> appetite for risk, risk tolerance and escalation thresholds.</w:t>
      </w:r>
    </w:p>
    <w:p w:rsidR="00D0165B" w:rsidRPr="008E0E80" w:rsidRDefault="00A27610" w:rsidP="009760FB">
      <w:pPr>
        <w:pStyle w:val="Heading1"/>
        <w:spacing w:line="360" w:lineRule="auto"/>
        <w:rPr>
          <w:rFonts w:cs="Times New Roman"/>
          <w:b w:val="0"/>
          <w:bCs/>
          <w:color w:val="auto"/>
          <w:szCs w:val="32"/>
        </w:rPr>
      </w:pPr>
      <w:bookmarkStart w:id="27" w:name="_Toc236305933"/>
      <w:r w:rsidRPr="008E0E80">
        <w:rPr>
          <w:rFonts w:cs="Times New Roman"/>
          <w:bCs/>
          <w:color w:val="auto"/>
          <w:szCs w:val="32"/>
        </w:rPr>
        <w:t xml:space="preserve">5. </w:t>
      </w:r>
      <w:r w:rsidR="00E2398A" w:rsidRPr="008E0E80">
        <w:rPr>
          <w:rFonts w:cs="Times New Roman"/>
          <w:bCs/>
          <w:color w:val="auto"/>
          <w:szCs w:val="32"/>
        </w:rPr>
        <w:t>Critical Analysis of Continuous Updates to Regulations and Standards</w:t>
      </w:r>
      <w:bookmarkEnd w:id="27"/>
    </w:p>
    <w:p w:rsidR="0061304D" w:rsidRPr="008E0E80" w:rsidRDefault="0061304D" w:rsidP="009760FB">
      <w:pPr>
        <w:pStyle w:val="Heading2"/>
        <w:spacing w:line="360" w:lineRule="auto"/>
        <w:rPr>
          <w:rFonts w:cs="Times New Roman"/>
          <w:color w:val="auto"/>
        </w:rPr>
      </w:pPr>
      <w:bookmarkStart w:id="28" w:name="_Toc236305934"/>
      <w:r w:rsidRPr="008E0E80">
        <w:rPr>
          <w:rFonts w:cs="Times New Roman"/>
          <w:color w:val="auto"/>
        </w:rPr>
        <w:t xml:space="preserve">5.1 Emerging </w:t>
      </w:r>
      <w:r w:rsidR="002F2404">
        <w:rPr>
          <w:rFonts w:cs="Times New Roman"/>
          <w:color w:val="auto"/>
        </w:rPr>
        <w:t>T</w:t>
      </w:r>
      <w:r w:rsidRPr="008E0E80">
        <w:rPr>
          <w:rFonts w:cs="Times New Roman"/>
          <w:color w:val="auto"/>
        </w:rPr>
        <w:t xml:space="preserve">echnologies and </w:t>
      </w:r>
      <w:r w:rsidR="002F2404">
        <w:rPr>
          <w:rFonts w:cs="Times New Roman"/>
          <w:color w:val="auto"/>
        </w:rPr>
        <w:t>E</w:t>
      </w:r>
      <w:r w:rsidRPr="008E0E80">
        <w:rPr>
          <w:rFonts w:cs="Times New Roman"/>
          <w:color w:val="auto"/>
        </w:rPr>
        <w:t xml:space="preserve">volving </w:t>
      </w:r>
      <w:r w:rsidR="002F2404">
        <w:rPr>
          <w:rFonts w:cs="Times New Roman"/>
          <w:color w:val="auto"/>
        </w:rPr>
        <w:t>T</w:t>
      </w:r>
      <w:r w:rsidRPr="008E0E80">
        <w:rPr>
          <w:rFonts w:cs="Times New Roman"/>
          <w:color w:val="auto"/>
        </w:rPr>
        <w:t>hreats</w:t>
      </w:r>
      <w:bookmarkEnd w:id="28"/>
    </w:p>
    <w:p w:rsidR="002F2404" w:rsidRPr="00865C76" w:rsidRDefault="002F2404" w:rsidP="002F2404">
      <w:pPr>
        <w:spacing w:line="360" w:lineRule="auto"/>
        <w:jc w:val="both"/>
        <w:rPr>
          <w:rFonts w:cs="Times New Roman"/>
        </w:rPr>
      </w:pPr>
      <w:r w:rsidRPr="002F2404">
        <w:rPr>
          <w:rFonts w:cs="Times New Roman"/>
        </w:rPr>
        <w:t xml:space="preserve">Cloud services, </w:t>
      </w:r>
      <w:proofErr w:type="spellStart"/>
      <w:r w:rsidRPr="002F2404">
        <w:rPr>
          <w:rFonts w:cs="Times New Roman"/>
        </w:rPr>
        <w:t>IoT</w:t>
      </w:r>
      <w:proofErr w:type="spellEnd"/>
      <w:r w:rsidRPr="002F2404">
        <w:rPr>
          <w:rFonts w:cs="Times New Roman"/>
        </w:rPr>
        <w:t xml:space="preserve"> devices and AI analytics continually alter how information is collected, processed and shared. Existing policies may therefore fail to address new issues such as AI training data, model manipulation, automated decisions, shadow AI and unsupported </w:t>
      </w:r>
      <w:proofErr w:type="spellStart"/>
      <w:r w:rsidRPr="002F2404">
        <w:rPr>
          <w:rFonts w:cs="Times New Roman"/>
        </w:rPr>
        <w:t>IoT</w:t>
      </w:r>
      <w:proofErr w:type="spellEnd"/>
      <w:r w:rsidRPr="002F2404">
        <w:rPr>
          <w:rFonts w:cs="Times New Roman"/>
        </w:rPr>
        <w:t xml:space="preserve"> </w:t>
      </w:r>
      <w:r w:rsidRPr="002F2404">
        <w:rPr>
          <w:rFonts w:cs="Times New Roman"/>
        </w:rPr>
        <w:lastRenderedPageBreak/>
        <w:t>devices.</w:t>
      </w:r>
      <w:r w:rsidR="005A60F2">
        <w:t xml:space="preserve"> </w:t>
      </w:r>
      <w:r w:rsidRPr="00865C76">
        <w:rPr>
          <w:rFonts w:cs="Times New Roman"/>
        </w:rPr>
        <w:t>The phased application of the EU Artificial Intelligence Act demonstrates how obligations can emerge at different times and require continuing interpretation and implementation rather than a single compliance exercise.</w:t>
      </w:r>
    </w:p>
    <w:p w:rsidR="002F2404" w:rsidRPr="00865C76" w:rsidRDefault="002F2404" w:rsidP="009760FB">
      <w:pPr>
        <w:spacing w:line="360" w:lineRule="auto"/>
        <w:jc w:val="both"/>
        <w:rPr>
          <w:rFonts w:cs="Times New Roman"/>
        </w:rPr>
      </w:pPr>
      <w:r w:rsidRPr="00865C76">
        <w:rPr>
          <w:rFonts w:cs="Times New Roman"/>
        </w:rPr>
        <w:t xml:space="preserve">Threats also develop faster than normal policy-review and certification cycles. ENISA’s 2025 threat assessment </w:t>
      </w:r>
      <w:proofErr w:type="spellStart"/>
      <w:r w:rsidRPr="00865C76">
        <w:rPr>
          <w:rFonts w:cs="Times New Roman"/>
        </w:rPr>
        <w:t>analysed</w:t>
      </w:r>
      <w:proofErr w:type="spellEnd"/>
      <w:r w:rsidRPr="00865C76">
        <w:rPr>
          <w:rFonts w:cs="Times New Roman"/>
        </w:rPr>
        <w:t xml:space="preserve"> 4,875 incidents and identified continued exploitation of vulnerabilities, reuse of attack techniques and emerging attack models. A control may therefore remain formally documented while becoming ineffective against credential compromise, </w:t>
      </w:r>
      <w:proofErr w:type="spellStart"/>
      <w:r w:rsidRPr="00865C76">
        <w:rPr>
          <w:rFonts w:cs="Times New Roman"/>
        </w:rPr>
        <w:t>ransomware</w:t>
      </w:r>
      <w:proofErr w:type="spellEnd"/>
      <w:r w:rsidRPr="00865C76">
        <w:rPr>
          <w:rFonts w:cs="Times New Roman"/>
        </w:rPr>
        <w:t xml:space="preserve">, supply-chain attacks or AI-assisted social engineering. </w:t>
      </w:r>
    </w:p>
    <w:p w:rsidR="0061304D" w:rsidRDefault="0061304D" w:rsidP="009760FB">
      <w:pPr>
        <w:pStyle w:val="Heading2"/>
        <w:spacing w:line="360" w:lineRule="auto"/>
        <w:rPr>
          <w:rFonts w:cs="Times New Roman"/>
          <w:color w:val="auto"/>
        </w:rPr>
      </w:pPr>
      <w:bookmarkStart w:id="29" w:name="_Toc236305935"/>
      <w:r w:rsidRPr="008E0E80">
        <w:rPr>
          <w:rFonts w:cs="Times New Roman"/>
          <w:color w:val="auto"/>
        </w:rPr>
        <w:t xml:space="preserve">5.2 </w:t>
      </w:r>
      <w:r w:rsidR="006E4B3C" w:rsidRPr="006E4B3C">
        <w:rPr>
          <w:rFonts w:cs="Times New Roman"/>
          <w:color w:val="auto"/>
        </w:rPr>
        <w:t>Global Compliance and Ethical Responsibilities</w:t>
      </w:r>
      <w:bookmarkEnd w:id="29"/>
    </w:p>
    <w:p w:rsidR="003065AF" w:rsidRPr="000B609B" w:rsidRDefault="00542B72" w:rsidP="00692F27">
      <w:pPr>
        <w:spacing w:line="360" w:lineRule="auto"/>
        <w:jc w:val="both"/>
      </w:pPr>
      <w:r w:rsidRPr="00865C76">
        <w:t>Changes to hosting location, supplier ownership or processing purpose may alter applicable transfer, contractual and notification requirements. The ICO’s updated 2026 guidance on international data transfers demonstrates that regulatory interpretation and compliance expectations continue to evolve even when the underlying legislation remains in force.</w:t>
      </w:r>
      <w:r w:rsidR="00865C76">
        <w:t xml:space="preserve"> </w:t>
      </w:r>
      <w:r w:rsidR="005527D5" w:rsidRPr="000B609B">
        <w:t xml:space="preserve">It is important for </w:t>
      </w:r>
      <w:proofErr w:type="spellStart"/>
      <w:r w:rsidR="005527D5" w:rsidRPr="000B609B">
        <w:t>AeroLink</w:t>
      </w:r>
      <w:proofErr w:type="spellEnd"/>
      <w:r w:rsidR="005527D5" w:rsidRPr="000B609B">
        <w:t xml:space="preserve"> to be able to differentiate between binding law, binding contracts, certifiable standards and voluntary frameworks. Tracking on a large scale, or decisions based on AI could be legal, but have privacy, transparency or fairness concerns. In reviews, not only should there be a technical possibility of processing, but also the necessity and proportionality as well as the possible harm.</w:t>
      </w:r>
    </w:p>
    <w:p w:rsidR="0061304D" w:rsidRPr="008E0E80" w:rsidRDefault="0061304D" w:rsidP="009760FB">
      <w:pPr>
        <w:pStyle w:val="Heading2"/>
        <w:spacing w:line="360" w:lineRule="auto"/>
        <w:rPr>
          <w:rFonts w:cs="Times New Roman"/>
          <w:color w:val="auto"/>
        </w:rPr>
      </w:pPr>
      <w:bookmarkStart w:id="30" w:name="_Toc236305936"/>
      <w:r w:rsidRPr="008E0E80">
        <w:rPr>
          <w:rFonts w:cs="Times New Roman"/>
          <w:color w:val="auto"/>
        </w:rPr>
        <w:t xml:space="preserve">5.3 </w:t>
      </w:r>
      <w:r w:rsidR="004C3093" w:rsidRPr="004C3093">
        <w:rPr>
          <w:rFonts w:cs="Times New Roman"/>
          <w:color w:val="auto"/>
        </w:rPr>
        <w:t>Risk-Based Change Management</w:t>
      </w:r>
      <w:bookmarkEnd w:id="30"/>
    </w:p>
    <w:p w:rsidR="00B13A2E" w:rsidRPr="00B13A2E" w:rsidRDefault="001A297E" w:rsidP="00B13A2E">
      <w:pPr>
        <w:spacing w:line="360" w:lineRule="auto"/>
        <w:jc w:val="both"/>
        <w:rPr>
          <w:rFonts w:cs="Times New Roman"/>
        </w:rPr>
      </w:pPr>
      <w:r w:rsidRPr="001A297E">
        <w:rPr>
          <w:rFonts w:cs="Times New Roman"/>
        </w:rPr>
        <w:t>The expense of ongoing updates is incurred in training staff, renegotiating contracts, making technical changes, additional audits, and the replacement of unsupported equipment. However, if action is delayed, teams may be exposed to legal and security risks, and responding to each and every development might result in control fatigue, duplication of effort and disruption of operations.</w:t>
      </w:r>
      <w:r>
        <w:rPr>
          <w:rFonts w:cs="Times New Roman"/>
        </w:rPr>
        <w:t xml:space="preserve"> </w:t>
      </w:r>
      <w:proofErr w:type="spellStart"/>
      <w:r w:rsidR="00B13A2E" w:rsidRPr="00B13A2E">
        <w:rPr>
          <w:rFonts w:cs="Times New Roman"/>
        </w:rPr>
        <w:t>AeroLink</w:t>
      </w:r>
      <w:proofErr w:type="spellEnd"/>
      <w:r w:rsidR="00B13A2E" w:rsidRPr="00B13A2E">
        <w:rPr>
          <w:rFonts w:cs="Times New Roman"/>
        </w:rPr>
        <w:t xml:space="preserve"> should, therefore, employ a risk-based approach to change, not just a change for change's sake.</w:t>
      </w:r>
    </w:p>
    <w:p w:rsidR="00B13A2E" w:rsidRPr="00865C76" w:rsidRDefault="00B13A2E" w:rsidP="00B13A2E">
      <w:pPr>
        <w:spacing w:line="360" w:lineRule="auto"/>
        <w:jc w:val="both"/>
        <w:rPr>
          <w:rFonts w:cs="Times New Roman"/>
        </w:rPr>
      </w:pPr>
      <w:r w:rsidRPr="00865C76">
        <w:rPr>
          <w:rFonts w:cs="Times New Roman"/>
        </w:rPr>
        <w:t xml:space="preserve">The legal, privacy and security teams should keep an eye on regulatory guidance, standards, technologies and threats. Prior to the update of policies, contracts, controls, and training, a material change should be evaluated for applicability and business impact/urgency. Implementation should then be assessed and documented in the ISMS as evidence and reviewed. </w:t>
      </w:r>
      <w:r w:rsidRPr="00865C76">
        <w:rPr>
          <w:rFonts w:cs="Times New Roman"/>
        </w:rPr>
        <w:lastRenderedPageBreak/>
        <w:t xml:space="preserve">A serious breach, new deployment of an AI, cloud-region move or appointment of a critical </w:t>
      </w:r>
      <w:proofErr w:type="spellStart"/>
      <w:r w:rsidRPr="00865C76">
        <w:rPr>
          <w:rFonts w:cs="Times New Roman"/>
        </w:rPr>
        <w:t>subprocessor</w:t>
      </w:r>
      <w:proofErr w:type="spellEnd"/>
      <w:r w:rsidRPr="00865C76">
        <w:rPr>
          <w:rFonts w:cs="Times New Roman"/>
        </w:rPr>
        <w:t xml:space="preserve"> should be reviewed outside of the annual cycle.</w:t>
      </w:r>
    </w:p>
    <w:p w:rsidR="00CD1C8C" w:rsidRDefault="00D0165B" w:rsidP="009760FB">
      <w:pPr>
        <w:pStyle w:val="Heading1"/>
        <w:spacing w:line="360" w:lineRule="auto"/>
        <w:rPr>
          <w:rFonts w:cs="Times New Roman"/>
          <w:bCs/>
          <w:color w:val="auto"/>
          <w:szCs w:val="32"/>
        </w:rPr>
      </w:pPr>
      <w:bookmarkStart w:id="31" w:name="_Toc236305937"/>
      <w:r w:rsidRPr="008E0E80">
        <w:rPr>
          <w:rFonts w:cs="Times New Roman"/>
          <w:bCs/>
          <w:color w:val="auto"/>
          <w:szCs w:val="32"/>
        </w:rPr>
        <w:t>6. Conclusion</w:t>
      </w:r>
      <w:bookmarkEnd w:id="31"/>
    </w:p>
    <w:p w:rsidR="00B13A2E" w:rsidRPr="00B13A2E" w:rsidRDefault="00B13A2E" w:rsidP="00B13A2E">
      <w:pPr>
        <w:spacing w:line="360" w:lineRule="auto"/>
        <w:jc w:val="both"/>
        <w:rPr>
          <w:rFonts w:cs="Times New Roman"/>
        </w:rPr>
      </w:pPr>
      <w:r w:rsidRPr="00B13A2E">
        <w:rPr>
          <w:rFonts w:cs="Times New Roman"/>
        </w:rPr>
        <w:t xml:space="preserve">It would be impossible to resolve </w:t>
      </w:r>
      <w:proofErr w:type="spellStart"/>
      <w:r w:rsidRPr="00B13A2E">
        <w:rPr>
          <w:rFonts w:cs="Times New Roman"/>
        </w:rPr>
        <w:t>AeroLink's</w:t>
      </w:r>
      <w:proofErr w:type="spellEnd"/>
      <w:r w:rsidRPr="00B13A2E">
        <w:rPr>
          <w:rFonts w:cs="Times New Roman"/>
        </w:rPr>
        <w:t xml:space="preserve"> security and governance issues with individual technical fixes. It is dependent on third-party cloud providers, unmanaged-device access, </w:t>
      </w:r>
      <w:proofErr w:type="spellStart"/>
      <w:r w:rsidRPr="00B13A2E">
        <w:rPr>
          <w:rFonts w:cs="Times New Roman"/>
        </w:rPr>
        <w:t>IoT</w:t>
      </w:r>
      <w:proofErr w:type="spellEnd"/>
      <w:r w:rsidRPr="00B13A2E">
        <w:rPr>
          <w:rFonts w:cs="Times New Roman"/>
        </w:rPr>
        <w:t xml:space="preserve"> tracking and AI-supported analytics. Thus, it needs to be held accountable, to have a coordinated risk management and increased supplier management.</w:t>
      </w:r>
      <w:r w:rsidR="008220FC">
        <w:rPr>
          <w:rFonts w:cs="Times New Roman"/>
        </w:rPr>
        <w:t xml:space="preserve"> </w:t>
      </w:r>
      <w:r w:rsidRPr="00B13A2E">
        <w:rPr>
          <w:rFonts w:cs="Times New Roman"/>
        </w:rPr>
        <w:t xml:space="preserve">In the proposed model, every framework has a specific function to play. The ability to support strategic governance is furthered by COBIT 2019, while ISO/IEC 27001 and 27002 help define the ISMS and control-assurance foundation, and NIST CSF 2.0 helps with operational </w:t>
      </w:r>
      <w:proofErr w:type="spellStart"/>
      <w:r w:rsidRPr="00B13A2E">
        <w:rPr>
          <w:rFonts w:cs="Times New Roman"/>
        </w:rPr>
        <w:t>cybersecurity</w:t>
      </w:r>
      <w:proofErr w:type="spellEnd"/>
      <w:r w:rsidRPr="00B13A2E">
        <w:rPr>
          <w:rFonts w:cs="Times New Roman"/>
        </w:rPr>
        <w:t>, and ITIL 4 supports service and supplier management.</w:t>
      </w:r>
    </w:p>
    <w:p w:rsidR="00FE2801" w:rsidRPr="0039625A" w:rsidRDefault="00BE253B" w:rsidP="0039625A">
      <w:pPr>
        <w:spacing w:line="360" w:lineRule="auto"/>
        <w:jc w:val="both"/>
        <w:rPr>
          <w:rFonts w:cs="Times New Roman"/>
        </w:rPr>
      </w:pPr>
      <w:proofErr w:type="spellStart"/>
      <w:r>
        <w:rPr>
          <w:rFonts w:cs="Times New Roman"/>
        </w:rPr>
        <w:t>AeroLink</w:t>
      </w:r>
      <w:proofErr w:type="spellEnd"/>
      <w:r>
        <w:rPr>
          <w:rFonts w:cs="Times New Roman"/>
        </w:rPr>
        <w:t xml:space="preserve"> should start i</w:t>
      </w:r>
      <w:r w:rsidR="00A53258" w:rsidRPr="00A53258">
        <w:rPr>
          <w:rFonts w:cs="Times New Roman"/>
        </w:rPr>
        <w:t>mplementation</w:t>
      </w:r>
      <w:r>
        <w:rPr>
          <w:rFonts w:cs="Times New Roman"/>
        </w:rPr>
        <w:t xml:space="preserve"> </w:t>
      </w:r>
      <w:r w:rsidR="00C13593">
        <w:rPr>
          <w:rFonts w:cs="Times New Roman"/>
        </w:rPr>
        <w:t xml:space="preserve">with </w:t>
      </w:r>
      <w:r w:rsidR="00A53258" w:rsidRPr="00A53258">
        <w:rPr>
          <w:rFonts w:cs="Times New Roman"/>
        </w:rPr>
        <w:t xml:space="preserve">identity protection, named risk owning, supplier assurance and tested recovery plans. Once these controls are in place and </w:t>
      </w:r>
      <w:r w:rsidR="000C30F7">
        <w:rPr>
          <w:rFonts w:cs="Times New Roman"/>
        </w:rPr>
        <w:t xml:space="preserve">seem </w:t>
      </w:r>
      <w:r w:rsidR="00A53258" w:rsidRPr="00A53258">
        <w:rPr>
          <w:rFonts w:cs="Times New Roman"/>
        </w:rPr>
        <w:t xml:space="preserve">effective, </w:t>
      </w:r>
      <w:r w:rsidR="00A13FF8">
        <w:rPr>
          <w:rFonts w:cs="Times New Roman"/>
        </w:rPr>
        <w:t xml:space="preserve">it should implement </w:t>
      </w:r>
      <w:r w:rsidR="00A53258" w:rsidRPr="00A53258">
        <w:rPr>
          <w:rFonts w:cs="Times New Roman"/>
        </w:rPr>
        <w:t xml:space="preserve">certification and continued monitoring. </w:t>
      </w:r>
      <w:proofErr w:type="spellStart"/>
      <w:r w:rsidR="00A53258" w:rsidRPr="00A53258">
        <w:rPr>
          <w:rFonts w:cs="Times New Roman"/>
        </w:rPr>
        <w:t>AeroLink</w:t>
      </w:r>
      <w:proofErr w:type="spellEnd"/>
      <w:r w:rsidR="00A53258" w:rsidRPr="00A53258">
        <w:rPr>
          <w:rFonts w:cs="Times New Roman"/>
        </w:rPr>
        <w:t xml:space="preserve"> can </w:t>
      </w:r>
      <w:r w:rsidR="00B8612E">
        <w:rPr>
          <w:rFonts w:cs="Times New Roman"/>
        </w:rPr>
        <w:t xml:space="preserve">also </w:t>
      </w:r>
      <w:r w:rsidR="003A48F0">
        <w:rPr>
          <w:rFonts w:cs="Times New Roman"/>
        </w:rPr>
        <w:t>provide</w:t>
      </w:r>
      <w:r w:rsidR="00A53258" w:rsidRPr="00A53258">
        <w:rPr>
          <w:rFonts w:cs="Times New Roman"/>
        </w:rPr>
        <w:t xml:space="preserve"> linkage of risk, controls, owners and evidence in a</w:t>
      </w:r>
      <w:r w:rsidR="003A48F0">
        <w:rPr>
          <w:rFonts w:cs="Times New Roman"/>
        </w:rPr>
        <w:t xml:space="preserve"> </w:t>
      </w:r>
      <w:r w:rsidR="00A53258" w:rsidRPr="00A53258">
        <w:rPr>
          <w:rFonts w:cs="Times New Roman"/>
        </w:rPr>
        <w:t xml:space="preserve">system </w:t>
      </w:r>
      <w:r w:rsidR="00A3692E">
        <w:rPr>
          <w:rFonts w:cs="Times New Roman"/>
        </w:rPr>
        <w:t xml:space="preserve">so that </w:t>
      </w:r>
      <w:r w:rsidR="00A3692E" w:rsidRPr="00A53258">
        <w:rPr>
          <w:rFonts w:cs="Times New Roman"/>
        </w:rPr>
        <w:t xml:space="preserve">oversight </w:t>
      </w:r>
      <w:r w:rsidR="00A3692E">
        <w:rPr>
          <w:rFonts w:cs="Times New Roman"/>
        </w:rPr>
        <w:t xml:space="preserve">can be </w:t>
      </w:r>
      <w:r w:rsidR="00A53258" w:rsidRPr="00A53258">
        <w:rPr>
          <w:rFonts w:cs="Times New Roman"/>
        </w:rPr>
        <w:t>improve</w:t>
      </w:r>
      <w:r w:rsidR="00A3692E">
        <w:rPr>
          <w:rFonts w:cs="Times New Roman"/>
        </w:rPr>
        <w:t>d</w:t>
      </w:r>
      <w:r w:rsidR="00A53258" w:rsidRPr="00A53258">
        <w:rPr>
          <w:rFonts w:cs="Times New Roman"/>
        </w:rPr>
        <w:t xml:space="preserve"> and </w:t>
      </w:r>
      <w:r w:rsidR="00A3692E" w:rsidRPr="00A53258">
        <w:rPr>
          <w:rFonts w:cs="Times New Roman"/>
        </w:rPr>
        <w:t xml:space="preserve">duplication </w:t>
      </w:r>
      <w:r w:rsidR="00A3692E">
        <w:rPr>
          <w:rFonts w:cs="Times New Roman"/>
        </w:rPr>
        <w:t xml:space="preserve">can be </w:t>
      </w:r>
      <w:proofErr w:type="spellStart"/>
      <w:r w:rsidR="00A53258" w:rsidRPr="00A53258">
        <w:rPr>
          <w:rFonts w:cs="Times New Roman"/>
        </w:rPr>
        <w:t>minimise</w:t>
      </w:r>
      <w:r w:rsidR="00A3692E">
        <w:rPr>
          <w:rFonts w:cs="Times New Roman"/>
        </w:rPr>
        <w:t>d</w:t>
      </w:r>
      <w:proofErr w:type="spellEnd"/>
      <w:r w:rsidR="00A53258" w:rsidRPr="00A53258">
        <w:rPr>
          <w:rFonts w:cs="Times New Roman"/>
        </w:rPr>
        <w:t>.</w:t>
      </w:r>
      <w:r w:rsidR="00FE2801">
        <w:br w:type="page"/>
      </w:r>
    </w:p>
    <w:p w:rsidR="00945230" w:rsidRDefault="00945230" w:rsidP="009760FB">
      <w:pPr>
        <w:pStyle w:val="Heading1"/>
        <w:spacing w:line="360" w:lineRule="auto"/>
        <w:rPr>
          <w:rFonts w:cs="Times New Roman"/>
          <w:bCs/>
          <w:color w:val="auto"/>
          <w:szCs w:val="32"/>
        </w:rPr>
      </w:pPr>
      <w:bookmarkStart w:id="32" w:name="_Toc236305938"/>
      <w:r w:rsidRPr="008E0E80">
        <w:rPr>
          <w:rFonts w:cs="Times New Roman"/>
          <w:bCs/>
          <w:color w:val="auto"/>
          <w:szCs w:val="32"/>
        </w:rPr>
        <w:lastRenderedPageBreak/>
        <w:t>Reference List</w:t>
      </w:r>
      <w:bookmarkEnd w:id="32"/>
    </w:p>
    <w:p w:rsidR="00865C76" w:rsidRPr="00865C76" w:rsidRDefault="002C1770" w:rsidP="00865C76">
      <w:pPr>
        <w:widowControl w:val="0"/>
        <w:autoSpaceDE w:val="0"/>
        <w:autoSpaceDN w:val="0"/>
        <w:adjustRightInd w:val="0"/>
        <w:spacing w:line="360" w:lineRule="auto"/>
        <w:rPr>
          <w:rFonts w:cs="Times New Roman"/>
          <w:noProof/>
          <w:kern w:val="0"/>
        </w:rPr>
      </w:pPr>
      <w:r>
        <w:fldChar w:fldCharType="begin" w:fldLock="1"/>
      </w:r>
      <w:r w:rsidR="00865C76">
        <w:instrText xml:space="preserve">ADDIN Mendeley Bibliography CSL_BIBLIOGRAPHY </w:instrText>
      </w:r>
      <w:r>
        <w:fldChar w:fldCharType="separate"/>
      </w:r>
      <w:r w:rsidR="00865C76" w:rsidRPr="00865C76">
        <w:rPr>
          <w:rFonts w:cs="Times New Roman"/>
          <w:noProof/>
          <w:kern w:val="0"/>
        </w:rPr>
        <w:t xml:space="preserve">Aerolink (2026) </w:t>
      </w:r>
      <w:r w:rsidR="00865C76" w:rsidRPr="00865C76">
        <w:rPr>
          <w:rFonts w:cs="Times New Roman"/>
          <w:i/>
          <w:iCs/>
          <w:noProof/>
          <w:kern w:val="0"/>
        </w:rPr>
        <w:t>AeroLink — Post-Quantum Secure Airspace Coordination Infrastructure</w:t>
      </w:r>
      <w:r w:rsidR="00865C76" w:rsidRPr="00865C76">
        <w:rPr>
          <w:rFonts w:cs="Times New Roman"/>
          <w:noProof/>
          <w:kern w:val="0"/>
        </w:rPr>
        <w:t xml:space="preserve">. Available at: </w:t>
      </w:r>
      <w:hyperlink r:id="rId11" w:history="1">
        <w:r w:rsidR="00865C76" w:rsidRPr="00865C76">
          <w:rPr>
            <w:rStyle w:val="Hyperlink"/>
            <w:rFonts w:cs="Times New Roman"/>
            <w:noProof/>
            <w:kern w:val="0"/>
          </w:rPr>
          <w:t>https://aerolink.dev/governance</w:t>
        </w:r>
      </w:hyperlink>
      <w:r w:rsidR="00865C76" w:rsidRPr="00865C76">
        <w:rPr>
          <w:rFonts w:cs="Times New Roman"/>
          <w:noProof/>
          <w:kern w:val="0"/>
        </w:rPr>
        <w:t xml:space="preserve"> (Accessed: 30 July 2026).</w:t>
      </w:r>
    </w:p>
    <w:p w:rsidR="00865C76" w:rsidRPr="00865C76" w:rsidRDefault="00865C76" w:rsidP="00865C76">
      <w:pPr>
        <w:widowControl w:val="0"/>
        <w:autoSpaceDE w:val="0"/>
        <w:autoSpaceDN w:val="0"/>
        <w:adjustRightInd w:val="0"/>
        <w:spacing w:line="360" w:lineRule="auto"/>
        <w:rPr>
          <w:rFonts w:cs="Times New Roman"/>
          <w:noProof/>
          <w:kern w:val="0"/>
        </w:rPr>
      </w:pPr>
      <w:r w:rsidRPr="00865C76">
        <w:rPr>
          <w:rFonts w:cs="Times New Roman"/>
          <w:noProof/>
          <w:kern w:val="0"/>
        </w:rPr>
        <w:t xml:space="preserve">Ajayi, R. (2025) ‘Integrating IoT and cloud computing for continuous process optimization in real time systems’, </w:t>
      </w:r>
      <w:r w:rsidRPr="00865C76">
        <w:rPr>
          <w:rFonts w:cs="Times New Roman"/>
          <w:i/>
          <w:iCs/>
          <w:noProof/>
          <w:kern w:val="0"/>
        </w:rPr>
        <w:t>International Journal of Research Publication and Reviews</w:t>
      </w:r>
      <w:r w:rsidRPr="00865C76">
        <w:rPr>
          <w:rFonts w:cs="Times New Roman"/>
          <w:noProof/>
          <w:kern w:val="0"/>
        </w:rPr>
        <w:t xml:space="preserve">, 6(1), pp. 2540–2558. Available at: </w:t>
      </w:r>
      <w:hyperlink r:id="rId12" w:history="1">
        <w:r w:rsidRPr="00865C76">
          <w:rPr>
            <w:rStyle w:val="Hyperlink"/>
            <w:rFonts w:cs="Times New Roman"/>
            <w:noProof/>
            <w:kern w:val="0"/>
          </w:rPr>
          <w:t>https://www.researchgate.net/publication/388082333_Integrating_IoT_and_Cloud_Computing_for_Continuous_Process_Optimization_in_Real_Time_Systems</w:t>
        </w:r>
      </w:hyperlink>
      <w:r w:rsidRPr="00865C76">
        <w:rPr>
          <w:rFonts w:cs="Times New Roman"/>
          <w:noProof/>
          <w:kern w:val="0"/>
        </w:rPr>
        <w:t xml:space="preserve"> (Accessed: 30 July 2026).</w:t>
      </w:r>
    </w:p>
    <w:p w:rsidR="00865C76" w:rsidRPr="00865C76" w:rsidRDefault="00865C76" w:rsidP="00865C76">
      <w:pPr>
        <w:widowControl w:val="0"/>
        <w:autoSpaceDE w:val="0"/>
        <w:autoSpaceDN w:val="0"/>
        <w:adjustRightInd w:val="0"/>
        <w:spacing w:line="360" w:lineRule="auto"/>
        <w:rPr>
          <w:rFonts w:cs="Times New Roman"/>
          <w:noProof/>
          <w:kern w:val="0"/>
        </w:rPr>
      </w:pPr>
      <w:r w:rsidRPr="00865C76">
        <w:rPr>
          <w:rFonts w:cs="Times New Roman"/>
          <w:noProof/>
          <w:kern w:val="0"/>
        </w:rPr>
        <w:t xml:space="preserve">De-Yolande, M.H., Doh-Djanhoundji, T. and Constant, G.Y. (2023) ‘Breach Notification in the General Data Protection Regulation’, </w:t>
      </w:r>
      <w:r w:rsidRPr="00865C76">
        <w:rPr>
          <w:rFonts w:cs="Times New Roman"/>
          <w:i/>
          <w:iCs/>
          <w:noProof/>
          <w:kern w:val="0"/>
        </w:rPr>
        <w:t>Voice of the Publisher</w:t>
      </w:r>
      <w:r w:rsidRPr="00865C76">
        <w:rPr>
          <w:rFonts w:cs="Times New Roman"/>
          <w:noProof/>
          <w:kern w:val="0"/>
        </w:rPr>
        <w:t xml:space="preserve">, 09(04), pp. 334–347. Available at: </w:t>
      </w:r>
      <w:hyperlink r:id="rId13" w:history="1">
        <w:r w:rsidRPr="00865C76">
          <w:rPr>
            <w:rStyle w:val="Hyperlink"/>
            <w:rFonts w:cs="Times New Roman"/>
            <w:noProof/>
            <w:kern w:val="0"/>
          </w:rPr>
          <w:t>https://www.researchgate.net/publication/376816376_Breach_Notification_in_the_General_Data_Protection_Regulation</w:t>
        </w:r>
      </w:hyperlink>
      <w:r w:rsidRPr="00865C76">
        <w:rPr>
          <w:rFonts w:cs="Times New Roman"/>
          <w:noProof/>
          <w:kern w:val="0"/>
        </w:rPr>
        <w:t xml:space="preserve"> (Accessed: 30 July 2026).</w:t>
      </w:r>
    </w:p>
    <w:p w:rsidR="00865C76" w:rsidRPr="00865C76" w:rsidRDefault="00865C76" w:rsidP="00865C76">
      <w:pPr>
        <w:widowControl w:val="0"/>
        <w:autoSpaceDE w:val="0"/>
        <w:autoSpaceDN w:val="0"/>
        <w:adjustRightInd w:val="0"/>
        <w:spacing w:line="360" w:lineRule="auto"/>
        <w:rPr>
          <w:rFonts w:cs="Times New Roman"/>
          <w:noProof/>
          <w:kern w:val="0"/>
        </w:rPr>
      </w:pPr>
      <w:r w:rsidRPr="00865C76">
        <w:rPr>
          <w:rFonts w:cs="Times New Roman"/>
          <w:noProof/>
          <w:kern w:val="0"/>
        </w:rPr>
        <w:t xml:space="preserve">Gnanasekaran, V. </w:t>
      </w:r>
      <w:r w:rsidRPr="00865C76">
        <w:rPr>
          <w:rFonts w:cs="Times New Roman"/>
          <w:i/>
          <w:iCs/>
          <w:noProof/>
          <w:kern w:val="0"/>
        </w:rPr>
        <w:t>et al.</w:t>
      </w:r>
      <w:r w:rsidRPr="00865C76">
        <w:rPr>
          <w:rFonts w:cs="Times New Roman"/>
          <w:noProof/>
          <w:kern w:val="0"/>
        </w:rPr>
        <w:t xml:space="preserve"> (2025) ‘A Model-Based Framework for Developing Security-Safety Incident Response Plans’, </w:t>
      </w:r>
      <w:r w:rsidRPr="00865C76">
        <w:rPr>
          <w:rFonts w:cs="Times New Roman"/>
          <w:i/>
          <w:iCs/>
          <w:noProof/>
          <w:kern w:val="0"/>
        </w:rPr>
        <w:t>International Journal of Information Security 2025 24:6</w:t>
      </w:r>
      <w:r w:rsidRPr="00865C76">
        <w:rPr>
          <w:rFonts w:cs="Times New Roman"/>
          <w:noProof/>
          <w:kern w:val="0"/>
        </w:rPr>
        <w:t xml:space="preserve">, 24(6), pp. 229-. Available at: </w:t>
      </w:r>
      <w:hyperlink r:id="rId14" w:history="1">
        <w:r w:rsidRPr="00865C76">
          <w:rPr>
            <w:rStyle w:val="Hyperlink"/>
            <w:rFonts w:cs="Times New Roman"/>
            <w:noProof/>
            <w:kern w:val="0"/>
          </w:rPr>
          <w:t>https://link.springer.com/article/10.1007/s10207-025-01147-4</w:t>
        </w:r>
      </w:hyperlink>
      <w:r w:rsidRPr="00865C76">
        <w:rPr>
          <w:rFonts w:cs="Times New Roman"/>
          <w:noProof/>
          <w:kern w:val="0"/>
        </w:rPr>
        <w:t xml:space="preserve"> (Accessed: 30 July 2026).</w:t>
      </w:r>
    </w:p>
    <w:p w:rsidR="00865C76" w:rsidRPr="00865C76" w:rsidRDefault="00865C76" w:rsidP="00865C76">
      <w:pPr>
        <w:widowControl w:val="0"/>
        <w:autoSpaceDE w:val="0"/>
        <w:autoSpaceDN w:val="0"/>
        <w:adjustRightInd w:val="0"/>
        <w:spacing w:line="360" w:lineRule="auto"/>
        <w:rPr>
          <w:rFonts w:cs="Times New Roman"/>
          <w:noProof/>
          <w:kern w:val="0"/>
        </w:rPr>
      </w:pPr>
      <w:r w:rsidRPr="00865C76">
        <w:rPr>
          <w:rFonts w:cs="Times New Roman"/>
          <w:noProof/>
          <w:kern w:val="0"/>
        </w:rPr>
        <w:t xml:space="preserve">Kitsios, F., Chatzidimitriou, E. and Kamariotou, M. (2023) ‘The ISO/IEC 27001 Information Security Management Standard: How to Extract Value from Data in the IT Sector’, </w:t>
      </w:r>
      <w:r w:rsidRPr="00865C76">
        <w:rPr>
          <w:rFonts w:cs="Times New Roman"/>
          <w:i/>
          <w:iCs/>
          <w:noProof/>
          <w:kern w:val="0"/>
        </w:rPr>
        <w:t>Sustainability 2023, Vol. 15, Page 5828</w:t>
      </w:r>
      <w:r w:rsidRPr="00865C76">
        <w:rPr>
          <w:rFonts w:cs="Times New Roman"/>
          <w:noProof/>
          <w:kern w:val="0"/>
        </w:rPr>
        <w:t xml:space="preserve">, 15(7), p. 5828. Available at: </w:t>
      </w:r>
      <w:hyperlink r:id="rId15" w:history="1">
        <w:r w:rsidRPr="00865C76">
          <w:rPr>
            <w:rStyle w:val="Hyperlink"/>
            <w:rFonts w:cs="Times New Roman"/>
            <w:noProof/>
            <w:kern w:val="0"/>
          </w:rPr>
          <w:t>https://www.mdpi.com/2071-1050/15/7/5828</w:t>
        </w:r>
      </w:hyperlink>
      <w:r w:rsidRPr="00865C76">
        <w:rPr>
          <w:rFonts w:cs="Times New Roman"/>
          <w:noProof/>
          <w:kern w:val="0"/>
        </w:rPr>
        <w:t xml:space="preserve"> (Accessed: 30 July 2026).</w:t>
      </w:r>
    </w:p>
    <w:p w:rsidR="00865C76" w:rsidRPr="00865C76" w:rsidRDefault="00865C76" w:rsidP="00865C76">
      <w:pPr>
        <w:widowControl w:val="0"/>
        <w:autoSpaceDE w:val="0"/>
        <w:autoSpaceDN w:val="0"/>
        <w:adjustRightInd w:val="0"/>
        <w:spacing w:line="360" w:lineRule="auto"/>
        <w:rPr>
          <w:rFonts w:cs="Times New Roman"/>
          <w:noProof/>
          <w:kern w:val="0"/>
        </w:rPr>
      </w:pPr>
      <w:r w:rsidRPr="00865C76">
        <w:rPr>
          <w:rFonts w:cs="Times New Roman"/>
          <w:noProof/>
          <w:kern w:val="0"/>
        </w:rPr>
        <w:t xml:space="preserve">Liu, C. and Babar, M.A. (2026) ‘Corporate cybersecurity risk and data breaches: A systematic review of empirical research’, </w:t>
      </w:r>
      <w:r w:rsidRPr="00865C76">
        <w:rPr>
          <w:rFonts w:cs="Times New Roman"/>
          <w:i/>
          <w:iCs/>
          <w:noProof/>
          <w:kern w:val="0"/>
        </w:rPr>
        <w:t>Australian Journal of Management</w:t>
      </w:r>
      <w:r w:rsidRPr="00865C76">
        <w:rPr>
          <w:rFonts w:cs="Times New Roman"/>
          <w:noProof/>
          <w:kern w:val="0"/>
        </w:rPr>
        <w:t xml:space="preserve">, 51(1), pp. 62–92. Available at: </w:t>
      </w:r>
      <w:hyperlink r:id="rId16" w:history="1">
        <w:r w:rsidRPr="00865C76">
          <w:rPr>
            <w:rStyle w:val="Hyperlink"/>
            <w:rFonts w:cs="Times New Roman"/>
            <w:noProof/>
            <w:kern w:val="0"/>
          </w:rPr>
          <w:t>https://www.researchgate.net/publication/388406170_Corporate_cybersecurity_risk_and_data_breaches_A_systematic_review_of_empirical_research</w:t>
        </w:r>
      </w:hyperlink>
      <w:r w:rsidRPr="00865C76">
        <w:rPr>
          <w:rFonts w:cs="Times New Roman"/>
          <w:noProof/>
          <w:kern w:val="0"/>
        </w:rPr>
        <w:t xml:space="preserve"> (Accessed: 30 July 2026).</w:t>
      </w:r>
    </w:p>
    <w:p w:rsidR="00865C76" w:rsidRPr="00865C76" w:rsidRDefault="00865C76" w:rsidP="00865C76">
      <w:pPr>
        <w:widowControl w:val="0"/>
        <w:autoSpaceDE w:val="0"/>
        <w:autoSpaceDN w:val="0"/>
        <w:adjustRightInd w:val="0"/>
        <w:spacing w:line="360" w:lineRule="auto"/>
        <w:rPr>
          <w:rFonts w:cs="Times New Roman"/>
          <w:noProof/>
          <w:kern w:val="0"/>
        </w:rPr>
      </w:pPr>
      <w:r w:rsidRPr="00865C76">
        <w:rPr>
          <w:rFonts w:cs="Times New Roman"/>
          <w:noProof/>
          <w:kern w:val="0"/>
        </w:rPr>
        <w:t xml:space="preserve">Lund, B.D. </w:t>
      </w:r>
      <w:r w:rsidRPr="00865C76">
        <w:rPr>
          <w:rFonts w:cs="Times New Roman"/>
          <w:i/>
          <w:iCs/>
          <w:noProof/>
          <w:kern w:val="0"/>
        </w:rPr>
        <w:t>et al.</w:t>
      </w:r>
      <w:r w:rsidRPr="00865C76">
        <w:rPr>
          <w:rFonts w:cs="Times New Roman"/>
          <w:noProof/>
          <w:kern w:val="0"/>
        </w:rPr>
        <w:t xml:space="preserve"> (2024) ‘Zero Trust Cybersecurity: Procedures and Considerations in Context’, </w:t>
      </w:r>
      <w:r w:rsidRPr="00865C76">
        <w:rPr>
          <w:rFonts w:cs="Times New Roman"/>
          <w:i/>
          <w:iCs/>
          <w:noProof/>
          <w:kern w:val="0"/>
        </w:rPr>
        <w:t>Encyclopedia 2024, Vol. 4, Pages 1520-1533</w:t>
      </w:r>
      <w:r w:rsidRPr="00865C76">
        <w:rPr>
          <w:rFonts w:cs="Times New Roman"/>
          <w:noProof/>
          <w:kern w:val="0"/>
        </w:rPr>
        <w:t xml:space="preserve">, 4(4), pp. 1520–1533. Available at: </w:t>
      </w:r>
      <w:hyperlink r:id="rId17" w:history="1">
        <w:r w:rsidRPr="00865C76">
          <w:rPr>
            <w:rStyle w:val="Hyperlink"/>
            <w:rFonts w:cs="Times New Roman"/>
            <w:noProof/>
            <w:kern w:val="0"/>
          </w:rPr>
          <w:t>https://www.mdpi.com/2673-8392/4/4/99</w:t>
        </w:r>
      </w:hyperlink>
      <w:r w:rsidRPr="00865C76">
        <w:rPr>
          <w:rFonts w:cs="Times New Roman"/>
          <w:noProof/>
          <w:kern w:val="0"/>
        </w:rPr>
        <w:t xml:space="preserve"> (Accessed: 30 July 2026).</w:t>
      </w:r>
    </w:p>
    <w:p w:rsidR="00865C76" w:rsidRPr="00865C76" w:rsidRDefault="00865C76" w:rsidP="00865C76">
      <w:pPr>
        <w:widowControl w:val="0"/>
        <w:autoSpaceDE w:val="0"/>
        <w:autoSpaceDN w:val="0"/>
        <w:adjustRightInd w:val="0"/>
        <w:spacing w:line="360" w:lineRule="auto"/>
        <w:rPr>
          <w:rFonts w:cs="Times New Roman"/>
          <w:noProof/>
          <w:kern w:val="0"/>
        </w:rPr>
      </w:pPr>
      <w:r w:rsidRPr="00865C76">
        <w:rPr>
          <w:rFonts w:cs="Times New Roman"/>
          <w:noProof/>
          <w:kern w:val="0"/>
        </w:rPr>
        <w:lastRenderedPageBreak/>
        <w:t xml:space="preserve">Marhavilas, K. </w:t>
      </w:r>
      <w:r w:rsidRPr="00865C76">
        <w:rPr>
          <w:rFonts w:cs="Times New Roman"/>
          <w:i/>
          <w:iCs/>
          <w:noProof/>
          <w:kern w:val="0"/>
        </w:rPr>
        <w:t>et al.</w:t>
      </w:r>
      <w:r w:rsidRPr="00865C76">
        <w:rPr>
          <w:rFonts w:cs="Times New Roman"/>
          <w:noProof/>
          <w:kern w:val="0"/>
        </w:rPr>
        <w:t xml:space="preserve"> (2022) ‘Developing a Risk Analysis Strategy Framework for Impact Assessment in Information Security Management Systems: A Case Study in IT Consulting Industry’, </w:t>
      </w:r>
      <w:r w:rsidRPr="00865C76">
        <w:rPr>
          <w:rFonts w:cs="Times New Roman"/>
          <w:i/>
          <w:iCs/>
          <w:noProof/>
          <w:kern w:val="0"/>
        </w:rPr>
        <w:t>Sustainability 2022, Vol. 14, Page 1269</w:t>
      </w:r>
      <w:r w:rsidRPr="00865C76">
        <w:rPr>
          <w:rFonts w:cs="Times New Roman"/>
          <w:noProof/>
          <w:kern w:val="0"/>
        </w:rPr>
        <w:t xml:space="preserve">, 14(3), p. 1269. Available at: </w:t>
      </w:r>
      <w:hyperlink r:id="rId18" w:history="1">
        <w:r w:rsidRPr="00865C76">
          <w:rPr>
            <w:rStyle w:val="Hyperlink"/>
            <w:rFonts w:cs="Times New Roman"/>
            <w:noProof/>
            <w:kern w:val="0"/>
          </w:rPr>
          <w:t>https://www.mdpi.com/2071-1050/14/3/1269</w:t>
        </w:r>
      </w:hyperlink>
      <w:r w:rsidRPr="00865C76">
        <w:rPr>
          <w:rFonts w:cs="Times New Roman"/>
          <w:noProof/>
          <w:kern w:val="0"/>
        </w:rPr>
        <w:t xml:space="preserve"> (Accessed: 30 July 2026).</w:t>
      </w:r>
    </w:p>
    <w:p w:rsidR="00865C76" w:rsidRPr="00865C76" w:rsidRDefault="00865C76" w:rsidP="00865C76">
      <w:pPr>
        <w:widowControl w:val="0"/>
        <w:autoSpaceDE w:val="0"/>
        <w:autoSpaceDN w:val="0"/>
        <w:adjustRightInd w:val="0"/>
        <w:spacing w:line="360" w:lineRule="auto"/>
        <w:rPr>
          <w:rFonts w:cs="Times New Roman"/>
          <w:noProof/>
          <w:kern w:val="0"/>
        </w:rPr>
      </w:pPr>
      <w:r w:rsidRPr="00865C76">
        <w:rPr>
          <w:rFonts w:cs="Times New Roman"/>
          <w:noProof/>
          <w:kern w:val="0"/>
        </w:rPr>
        <w:t xml:space="preserve">Opara-Martins, J., Sahandi, R. and Tian, F. (2016) ‘Critical analysis of vendor lock-in and its impact on cloud computing migration: a business perspective’, </w:t>
      </w:r>
      <w:r w:rsidRPr="00865C76">
        <w:rPr>
          <w:rFonts w:cs="Times New Roman"/>
          <w:i/>
          <w:iCs/>
          <w:noProof/>
          <w:kern w:val="0"/>
        </w:rPr>
        <w:t>Journal of Cloud Computing</w:t>
      </w:r>
      <w:r w:rsidRPr="00865C76">
        <w:rPr>
          <w:rFonts w:cs="Times New Roman"/>
          <w:noProof/>
          <w:kern w:val="0"/>
        </w:rPr>
        <w:t xml:space="preserve">, 5(1). Available at: </w:t>
      </w:r>
      <w:hyperlink r:id="rId19" w:history="1">
        <w:r w:rsidRPr="00865C76">
          <w:rPr>
            <w:rStyle w:val="Hyperlink"/>
            <w:rFonts w:cs="Times New Roman"/>
            <w:noProof/>
            <w:kern w:val="0"/>
          </w:rPr>
          <w:t>https://www.researchgate.net/publication/301334572_Critical_analysis_of_vendor_lock-in_and_its_impact_on_cloud_computing_migration_a_business_perspective</w:t>
        </w:r>
      </w:hyperlink>
      <w:r w:rsidRPr="00865C76">
        <w:rPr>
          <w:rFonts w:cs="Times New Roman"/>
          <w:noProof/>
          <w:kern w:val="0"/>
        </w:rPr>
        <w:t xml:space="preserve"> (Accessed: 30 July 2026).</w:t>
      </w:r>
    </w:p>
    <w:p w:rsidR="00865C76" w:rsidRPr="00865C76" w:rsidRDefault="00865C76" w:rsidP="00865C76">
      <w:pPr>
        <w:widowControl w:val="0"/>
        <w:autoSpaceDE w:val="0"/>
        <w:autoSpaceDN w:val="0"/>
        <w:adjustRightInd w:val="0"/>
        <w:spacing w:line="360" w:lineRule="auto"/>
        <w:rPr>
          <w:rFonts w:cs="Times New Roman"/>
          <w:noProof/>
          <w:kern w:val="0"/>
        </w:rPr>
      </w:pPr>
      <w:r w:rsidRPr="00865C76">
        <w:rPr>
          <w:rFonts w:cs="Times New Roman"/>
          <w:noProof/>
          <w:kern w:val="0"/>
        </w:rPr>
        <w:t xml:space="preserve">Rambau, T.M. </w:t>
      </w:r>
      <w:r w:rsidRPr="00865C76">
        <w:rPr>
          <w:rFonts w:cs="Times New Roman"/>
          <w:i/>
          <w:iCs/>
          <w:noProof/>
          <w:kern w:val="0"/>
        </w:rPr>
        <w:t>et al.</w:t>
      </w:r>
      <w:r w:rsidRPr="00865C76">
        <w:rPr>
          <w:rFonts w:cs="Times New Roman"/>
          <w:noProof/>
          <w:kern w:val="0"/>
        </w:rPr>
        <w:t xml:space="preserve"> (2026) ‘Evaluating cyber resilience frameworks for e-government: applicability of NIST CSF, ISO/IEC 27001 and COBIT 2019 in developing country contexts’, in </w:t>
      </w:r>
      <w:r w:rsidRPr="00865C76">
        <w:rPr>
          <w:rFonts w:cs="Times New Roman"/>
          <w:i/>
          <w:iCs/>
          <w:noProof/>
          <w:kern w:val="0"/>
        </w:rPr>
        <w:t>Information and Computer Security</w:t>
      </w:r>
      <w:r w:rsidRPr="00865C76">
        <w:rPr>
          <w:rFonts w:cs="Times New Roman"/>
          <w:noProof/>
          <w:kern w:val="0"/>
        </w:rPr>
        <w:t xml:space="preserve">. Emerald Publishing, pp. 1–22. Available at: </w:t>
      </w:r>
      <w:hyperlink r:id="rId20" w:history="1">
        <w:r w:rsidRPr="00865C76">
          <w:rPr>
            <w:rStyle w:val="Hyperlink"/>
            <w:rFonts w:cs="Times New Roman"/>
            <w:noProof/>
            <w:kern w:val="0"/>
          </w:rPr>
          <w:t>https://www.emerald.com/ics/article/doi/10.1108/ICS-09-2025-0376/1357446/Evaluating-cyber-resilience-frameworks-for-e</w:t>
        </w:r>
      </w:hyperlink>
      <w:r w:rsidRPr="00865C76">
        <w:rPr>
          <w:rFonts w:cs="Times New Roman"/>
          <w:noProof/>
          <w:kern w:val="0"/>
        </w:rPr>
        <w:t xml:space="preserve"> (Accessed: 30 July 2026).</w:t>
      </w:r>
    </w:p>
    <w:p w:rsidR="00865C76" w:rsidRPr="00865C76" w:rsidRDefault="00865C76" w:rsidP="00865C76">
      <w:pPr>
        <w:widowControl w:val="0"/>
        <w:autoSpaceDE w:val="0"/>
        <w:autoSpaceDN w:val="0"/>
        <w:adjustRightInd w:val="0"/>
        <w:spacing w:line="360" w:lineRule="auto"/>
        <w:rPr>
          <w:rFonts w:cs="Times New Roman"/>
          <w:noProof/>
          <w:kern w:val="0"/>
        </w:rPr>
      </w:pPr>
      <w:r w:rsidRPr="00865C76">
        <w:rPr>
          <w:rFonts w:cs="Times New Roman"/>
          <w:noProof/>
          <w:kern w:val="0"/>
        </w:rPr>
        <w:t xml:space="preserve">Shidqi, S.A. (2023) ‘Analysis of Information Technology Service Management Using ITIL V3 Domain Service Operation at Company XYZ’, </w:t>
      </w:r>
      <w:r w:rsidRPr="00865C76">
        <w:rPr>
          <w:rFonts w:cs="Times New Roman"/>
          <w:i/>
          <w:iCs/>
          <w:noProof/>
          <w:kern w:val="0"/>
        </w:rPr>
        <w:t>IJIIS: International Journal of Informatics and Information Systems</w:t>
      </w:r>
      <w:r w:rsidRPr="00865C76">
        <w:rPr>
          <w:rFonts w:cs="Times New Roman"/>
          <w:noProof/>
          <w:kern w:val="0"/>
        </w:rPr>
        <w:t xml:space="preserve">, 6(4), pp. 159–168. Available at: </w:t>
      </w:r>
      <w:hyperlink r:id="rId21" w:history="1">
        <w:r w:rsidRPr="00865C76">
          <w:rPr>
            <w:rStyle w:val="Hyperlink"/>
            <w:rFonts w:cs="Times New Roman"/>
            <w:noProof/>
            <w:kern w:val="0"/>
          </w:rPr>
          <w:t>https://www.researchgate.net/publication/376859838_Analysis_of_Information_Technology_Service_Management_Using_ITIL_V3_Domain_Service_Operation_at_Company_XYZ</w:t>
        </w:r>
      </w:hyperlink>
      <w:r w:rsidRPr="00865C76">
        <w:rPr>
          <w:rFonts w:cs="Times New Roman"/>
          <w:noProof/>
          <w:kern w:val="0"/>
        </w:rPr>
        <w:t xml:space="preserve"> (Accessed: 30 July 2026).</w:t>
      </w:r>
    </w:p>
    <w:p w:rsidR="00865C76" w:rsidRPr="00865C76" w:rsidRDefault="00865C76" w:rsidP="00865C76">
      <w:pPr>
        <w:widowControl w:val="0"/>
        <w:autoSpaceDE w:val="0"/>
        <w:autoSpaceDN w:val="0"/>
        <w:adjustRightInd w:val="0"/>
        <w:spacing w:line="360" w:lineRule="auto"/>
        <w:rPr>
          <w:rFonts w:cs="Times New Roman"/>
          <w:noProof/>
        </w:rPr>
      </w:pPr>
      <w:r w:rsidRPr="00865C76">
        <w:rPr>
          <w:rFonts w:cs="Times New Roman"/>
          <w:noProof/>
          <w:kern w:val="0"/>
        </w:rPr>
        <w:t xml:space="preserve">Yang, J. </w:t>
      </w:r>
      <w:r w:rsidRPr="00865C76">
        <w:rPr>
          <w:rFonts w:cs="Times New Roman"/>
          <w:i/>
          <w:iCs/>
          <w:noProof/>
          <w:kern w:val="0"/>
        </w:rPr>
        <w:t>et al.</w:t>
      </w:r>
      <w:r w:rsidRPr="00865C76">
        <w:rPr>
          <w:rFonts w:cs="Times New Roman"/>
          <w:noProof/>
          <w:kern w:val="0"/>
        </w:rPr>
        <w:t xml:space="preserve"> (2025) ‘An Evaluation Framework for Cybersecurity Maturity Aligned with the NIST CSF’, </w:t>
      </w:r>
      <w:r w:rsidRPr="00865C76">
        <w:rPr>
          <w:rFonts w:cs="Times New Roman"/>
          <w:i/>
          <w:iCs/>
          <w:noProof/>
          <w:kern w:val="0"/>
        </w:rPr>
        <w:t>Electronics 2025, Vol. 14, Page 1364</w:t>
      </w:r>
      <w:r w:rsidRPr="00865C76">
        <w:rPr>
          <w:rFonts w:cs="Times New Roman"/>
          <w:noProof/>
          <w:kern w:val="0"/>
        </w:rPr>
        <w:t xml:space="preserve">, 14(7), p. 1364. Available at: </w:t>
      </w:r>
      <w:hyperlink r:id="rId22" w:history="1">
        <w:r w:rsidRPr="00865C76">
          <w:rPr>
            <w:rStyle w:val="Hyperlink"/>
            <w:rFonts w:cs="Times New Roman"/>
            <w:noProof/>
            <w:kern w:val="0"/>
          </w:rPr>
          <w:t>https://www.mdpi.com/2079-9292/14/7/1364</w:t>
        </w:r>
      </w:hyperlink>
      <w:r w:rsidRPr="00865C76">
        <w:rPr>
          <w:rFonts w:cs="Times New Roman"/>
          <w:noProof/>
          <w:kern w:val="0"/>
        </w:rPr>
        <w:t xml:space="preserve"> (Accessed: 30 July 2026).</w:t>
      </w:r>
    </w:p>
    <w:p w:rsidR="000B1C36" w:rsidRPr="00865C76" w:rsidRDefault="002C1770" w:rsidP="00865C76">
      <w:pPr>
        <w:spacing w:line="360" w:lineRule="auto"/>
      </w:pPr>
      <w:r>
        <w:fldChar w:fldCharType="end"/>
      </w:r>
    </w:p>
    <w:sectPr w:rsidR="000B1C36" w:rsidRPr="00865C76" w:rsidSect="002C32DB">
      <w:footerReference w:type="default" r:id="rId23"/>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5BBF" w:rsidRDefault="00F45BBF" w:rsidP="007F3289">
      <w:pPr>
        <w:spacing w:after="0" w:line="240" w:lineRule="auto"/>
      </w:pPr>
      <w:r>
        <w:separator/>
      </w:r>
    </w:p>
  </w:endnote>
  <w:endnote w:type="continuationSeparator" w:id="0">
    <w:p w:rsidR="00F45BBF" w:rsidRDefault="00F45BBF" w:rsidP="007F32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8823497"/>
      <w:docPartObj>
        <w:docPartGallery w:val="Page Numbers (Bottom of Page)"/>
        <w:docPartUnique/>
      </w:docPartObj>
    </w:sdtPr>
    <w:sdtEndPr>
      <w:rPr>
        <w:noProof/>
      </w:rPr>
    </w:sdtEndPr>
    <w:sdtContent>
      <w:p w:rsidR="002C32DB" w:rsidRDefault="002C1770">
        <w:pPr>
          <w:pStyle w:val="Footer"/>
          <w:jc w:val="center"/>
        </w:pPr>
        <w:r>
          <w:fldChar w:fldCharType="begin"/>
        </w:r>
        <w:r w:rsidR="002C32DB">
          <w:instrText xml:space="preserve"> PAGE   \* MERGEFORMAT </w:instrText>
        </w:r>
        <w:r>
          <w:fldChar w:fldCharType="separate"/>
        </w:r>
        <w:r w:rsidR="00140DAA">
          <w:rPr>
            <w:noProof/>
          </w:rPr>
          <w:t>iv</w:t>
        </w:r>
        <w:r>
          <w:rPr>
            <w:noProof/>
          </w:rPr>
          <w:fldChar w:fldCharType="end"/>
        </w:r>
      </w:p>
    </w:sdtContent>
  </w:sdt>
  <w:p w:rsidR="002C32DB" w:rsidRDefault="002C32DB" w:rsidP="002C32DB">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6338725"/>
      <w:docPartObj>
        <w:docPartGallery w:val="Page Numbers (Bottom of Page)"/>
        <w:docPartUnique/>
      </w:docPartObj>
    </w:sdtPr>
    <w:sdtEndPr>
      <w:rPr>
        <w:noProof/>
      </w:rPr>
    </w:sdtEndPr>
    <w:sdtContent>
      <w:p w:rsidR="002C32DB" w:rsidRDefault="002C1770">
        <w:pPr>
          <w:pStyle w:val="Footer"/>
          <w:jc w:val="center"/>
        </w:pPr>
        <w:r>
          <w:fldChar w:fldCharType="begin"/>
        </w:r>
        <w:r w:rsidR="002C32DB">
          <w:instrText xml:space="preserve"> PAGE   \* MERGEFORMAT </w:instrText>
        </w:r>
        <w:r>
          <w:fldChar w:fldCharType="separate"/>
        </w:r>
        <w:r w:rsidR="00140DAA">
          <w:rPr>
            <w:noProof/>
          </w:rPr>
          <w:t>8</w:t>
        </w:r>
        <w:r>
          <w:rPr>
            <w:noProof/>
          </w:rPr>
          <w:fldChar w:fldCharType="end"/>
        </w:r>
      </w:p>
    </w:sdtContent>
  </w:sdt>
  <w:p w:rsidR="002C32DB" w:rsidRDefault="002C32DB" w:rsidP="002C32DB">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5BBF" w:rsidRDefault="00F45BBF" w:rsidP="007F3289">
      <w:pPr>
        <w:spacing w:after="0" w:line="240" w:lineRule="auto"/>
      </w:pPr>
      <w:r>
        <w:separator/>
      </w:r>
    </w:p>
  </w:footnote>
  <w:footnote w:type="continuationSeparator" w:id="0">
    <w:p w:rsidR="00F45BBF" w:rsidRDefault="00F45BBF" w:rsidP="007F328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C6C19"/>
    <w:multiLevelType w:val="hybridMultilevel"/>
    <w:tmpl w:val="8D4AF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hdrShapeDefaults>
    <o:shapedefaults v:ext="edit" spidmax="6146"/>
  </w:hdrShapeDefaults>
  <w:footnotePr>
    <w:footnote w:id="-1"/>
    <w:footnote w:id="0"/>
  </w:footnotePr>
  <w:endnotePr>
    <w:endnote w:id="-1"/>
    <w:endnote w:id="0"/>
  </w:endnotePr>
  <w:compat/>
  <w:rsids>
    <w:rsidRoot w:val="00E734CC"/>
    <w:rsid w:val="00002CF6"/>
    <w:rsid w:val="0000474A"/>
    <w:rsid w:val="000049D4"/>
    <w:rsid w:val="000069F8"/>
    <w:rsid w:val="0000729D"/>
    <w:rsid w:val="00011A03"/>
    <w:rsid w:val="00020BD3"/>
    <w:rsid w:val="00021A8B"/>
    <w:rsid w:val="000233BF"/>
    <w:rsid w:val="00032A19"/>
    <w:rsid w:val="00041C3C"/>
    <w:rsid w:val="00042449"/>
    <w:rsid w:val="00044CE0"/>
    <w:rsid w:val="00045FCF"/>
    <w:rsid w:val="00046624"/>
    <w:rsid w:val="000529B3"/>
    <w:rsid w:val="000536B5"/>
    <w:rsid w:val="00064088"/>
    <w:rsid w:val="00072CAF"/>
    <w:rsid w:val="000754ED"/>
    <w:rsid w:val="000766FC"/>
    <w:rsid w:val="000806EB"/>
    <w:rsid w:val="00090C77"/>
    <w:rsid w:val="000A0FEB"/>
    <w:rsid w:val="000A121E"/>
    <w:rsid w:val="000A2632"/>
    <w:rsid w:val="000A778F"/>
    <w:rsid w:val="000A7FD1"/>
    <w:rsid w:val="000B1C36"/>
    <w:rsid w:val="000B4595"/>
    <w:rsid w:val="000B48B2"/>
    <w:rsid w:val="000B609B"/>
    <w:rsid w:val="000C0747"/>
    <w:rsid w:val="000C30F7"/>
    <w:rsid w:val="000C45B5"/>
    <w:rsid w:val="000C67EA"/>
    <w:rsid w:val="000C6906"/>
    <w:rsid w:val="000C698A"/>
    <w:rsid w:val="000D4197"/>
    <w:rsid w:val="000D52CB"/>
    <w:rsid w:val="000E1F7A"/>
    <w:rsid w:val="000E3130"/>
    <w:rsid w:val="000E50E1"/>
    <w:rsid w:val="000F4B68"/>
    <w:rsid w:val="000F5159"/>
    <w:rsid w:val="000F7935"/>
    <w:rsid w:val="001015E1"/>
    <w:rsid w:val="00107185"/>
    <w:rsid w:val="001078A5"/>
    <w:rsid w:val="0011164C"/>
    <w:rsid w:val="001120D2"/>
    <w:rsid w:val="00116228"/>
    <w:rsid w:val="0011635E"/>
    <w:rsid w:val="001202C6"/>
    <w:rsid w:val="00121D5B"/>
    <w:rsid w:val="00125B61"/>
    <w:rsid w:val="00126976"/>
    <w:rsid w:val="0013268D"/>
    <w:rsid w:val="001356B6"/>
    <w:rsid w:val="00140DAA"/>
    <w:rsid w:val="00144727"/>
    <w:rsid w:val="00144CD2"/>
    <w:rsid w:val="00145B02"/>
    <w:rsid w:val="00157930"/>
    <w:rsid w:val="00161D4C"/>
    <w:rsid w:val="00172FDB"/>
    <w:rsid w:val="0017574C"/>
    <w:rsid w:val="001859E9"/>
    <w:rsid w:val="00197ADC"/>
    <w:rsid w:val="001A297E"/>
    <w:rsid w:val="001A34EA"/>
    <w:rsid w:val="001A512F"/>
    <w:rsid w:val="001B129F"/>
    <w:rsid w:val="001B7D65"/>
    <w:rsid w:val="001C5234"/>
    <w:rsid w:val="001C5A5C"/>
    <w:rsid w:val="001C5B5B"/>
    <w:rsid w:val="001C6EA2"/>
    <w:rsid w:val="001C7543"/>
    <w:rsid w:val="001D168A"/>
    <w:rsid w:val="001D5E91"/>
    <w:rsid w:val="001E7264"/>
    <w:rsid w:val="001F09F9"/>
    <w:rsid w:val="001F392F"/>
    <w:rsid w:val="001F618A"/>
    <w:rsid w:val="002027CB"/>
    <w:rsid w:val="00213408"/>
    <w:rsid w:val="0021374F"/>
    <w:rsid w:val="002152B7"/>
    <w:rsid w:val="00220944"/>
    <w:rsid w:val="00232681"/>
    <w:rsid w:val="00241453"/>
    <w:rsid w:val="00241651"/>
    <w:rsid w:val="0024390A"/>
    <w:rsid w:val="002442E1"/>
    <w:rsid w:val="002461B0"/>
    <w:rsid w:val="0025078D"/>
    <w:rsid w:val="002538E3"/>
    <w:rsid w:val="00254172"/>
    <w:rsid w:val="00254B6F"/>
    <w:rsid w:val="00256772"/>
    <w:rsid w:val="0026161A"/>
    <w:rsid w:val="00263F27"/>
    <w:rsid w:val="002659A0"/>
    <w:rsid w:val="002715E3"/>
    <w:rsid w:val="00271619"/>
    <w:rsid w:val="00273D34"/>
    <w:rsid w:val="002746E4"/>
    <w:rsid w:val="00280541"/>
    <w:rsid w:val="00286620"/>
    <w:rsid w:val="002A28F2"/>
    <w:rsid w:val="002A6385"/>
    <w:rsid w:val="002B2686"/>
    <w:rsid w:val="002B6625"/>
    <w:rsid w:val="002C1770"/>
    <w:rsid w:val="002C17D3"/>
    <w:rsid w:val="002C32DB"/>
    <w:rsid w:val="002D1673"/>
    <w:rsid w:val="002D3BF0"/>
    <w:rsid w:val="002E2B16"/>
    <w:rsid w:val="002F2404"/>
    <w:rsid w:val="003002C7"/>
    <w:rsid w:val="00303C3D"/>
    <w:rsid w:val="00305EB4"/>
    <w:rsid w:val="003065AF"/>
    <w:rsid w:val="0031479E"/>
    <w:rsid w:val="003227FB"/>
    <w:rsid w:val="00326584"/>
    <w:rsid w:val="00334B89"/>
    <w:rsid w:val="003407B8"/>
    <w:rsid w:val="00351375"/>
    <w:rsid w:val="003530B8"/>
    <w:rsid w:val="00355701"/>
    <w:rsid w:val="003562AB"/>
    <w:rsid w:val="0036365F"/>
    <w:rsid w:val="00365096"/>
    <w:rsid w:val="00365D6C"/>
    <w:rsid w:val="003675FB"/>
    <w:rsid w:val="003703AC"/>
    <w:rsid w:val="00371620"/>
    <w:rsid w:val="00374844"/>
    <w:rsid w:val="00376221"/>
    <w:rsid w:val="0038082F"/>
    <w:rsid w:val="003819F5"/>
    <w:rsid w:val="0039220F"/>
    <w:rsid w:val="00393AC7"/>
    <w:rsid w:val="0039625A"/>
    <w:rsid w:val="003A1C08"/>
    <w:rsid w:val="003A48F0"/>
    <w:rsid w:val="003A53FE"/>
    <w:rsid w:val="003B60F2"/>
    <w:rsid w:val="003B683F"/>
    <w:rsid w:val="003C1258"/>
    <w:rsid w:val="003C202B"/>
    <w:rsid w:val="003C2A4D"/>
    <w:rsid w:val="003C7BBE"/>
    <w:rsid w:val="003D0890"/>
    <w:rsid w:val="003D35EC"/>
    <w:rsid w:val="003D5513"/>
    <w:rsid w:val="003D781E"/>
    <w:rsid w:val="003E050F"/>
    <w:rsid w:val="003E1344"/>
    <w:rsid w:val="003E31D3"/>
    <w:rsid w:val="003E38CA"/>
    <w:rsid w:val="003F0FCE"/>
    <w:rsid w:val="004017EB"/>
    <w:rsid w:val="0040384D"/>
    <w:rsid w:val="004038D3"/>
    <w:rsid w:val="00406805"/>
    <w:rsid w:val="004237FE"/>
    <w:rsid w:val="00426042"/>
    <w:rsid w:val="004312D3"/>
    <w:rsid w:val="00435920"/>
    <w:rsid w:val="00435CCF"/>
    <w:rsid w:val="00441EF1"/>
    <w:rsid w:val="004423F5"/>
    <w:rsid w:val="00456464"/>
    <w:rsid w:val="00457711"/>
    <w:rsid w:val="00457BF2"/>
    <w:rsid w:val="00457DFD"/>
    <w:rsid w:val="004600C5"/>
    <w:rsid w:val="0048153C"/>
    <w:rsid w:val="00482638"/>
    <w:rsid w:val="004834F9"/>
    <w:rsid w:val="00485783"/>
    <w:rsid w:val="004870F3"/>
    <w:rsid w:val="00497340"/>
    <w:rsid w:val="00497649"/>
    <w:rsid w:val="004A1BFE"/>
    <w:rsid w:val="004A3FD0"/>
    <w:rsid w:val="004B170B"/>
    <w:rsid w:val="004B3A4C"/>
    <w:rsid w:val="004B4239"/>
    <w:rsid w:val="004B635D"/>
    <w:rsid w:val="004B7104"/>
    <w:rsid w:val="004C3093"/>
    <w:rsid w:val="004C4003"/>
    <w:rsid w:val="004C6A63"/>
    <w:rsid w:val="004D253C"/>
    <w:rsid w:val="004D25F7"/>
    <w:rsid w:val="004D3EF7"/>
    <w:rsid w:val="004D48CE"/>
    <w:rsid w:val="004D56D0"/>
    <w:rsid w:val="004E21C2"/>
    <w:rsid w:val="004E2CF6"/>
    <w:rsid w:val="004F061B"/>
    <w:rsid w:val="00500DC4"/>
    <w:rsid w:val="00501932"/>
    <w:rsid w:val="00501978"/>
    <w:rsid w:val="00505BAF"/>
    <w:rsid w:val="005134FC"/>
    <w:rsid w:val="00516351"/>
    <w:rsid w:val="00521B43"/>
    <w:rsid w:val="0052337A"/>
    <w:rsid w:val="005256AF"/>
    <w:rsid w:val="005263C4"/>
    <w:rsid w:val="00530376"/>
    <w:rsid w:val="005346AD"/>
    <w:rsid w:val="005354EA"/>
    <w:rsid w:val="00542B72"/>
    <w:rsid w:val="00551449"/>
    <w:rsid w:val="005527D5"/>
    <w:rsid w:val="00560370"/>
    <w:rsid w:val="005615AD"/>
    <w:rsid w:val="005615CB"/>
    <w:rsid w:val="00566CBF"/>
    <w:rsid w:val="00570985"/>
    <w:rsid w:val="00572C85"/>
    <w:rsid w:val="00574C71"/>
    <w:rsid w:val="0058263F"/>
    <w:rsid w:val="00584312"/>
    <w:rsid w:val="00584BD5"/>
    <w:rsid w:val="00585916"/>
    <w:rsid w:val="0058601F"/>
    <w:rsid w:val="00593470"/>
    <w:rsid w:val="005941FC"/>
    <w:rsid w:val="00594941"/>
    <w:rsid w:val="00597F56"/>
    <w:rsid w:val="005A272A"/>
    <w:rsid w:val="005A43C6"/>
    <w:rsid w:val="005A4983"/>
    <w:rsid w:val="005A60F2"/>
    <w:rsid w:val="005A634B"/>
    <w:rsid w:val="005A7E7F"/>
    <w:rsid w:val="005B2F9A"/>
    <w:rsid w:val="005B79D7"/>
    <w:rsid w:val="005C1EDB"/>
    <w:rsid w:val="005C2226"/>
    <w:rsid w:val="005C2DAF"/>
    <w:rsid w:val="005C506D"/>
    <w:rsid w:val="005D023B"/>
    <w:rsid w:val="005D11F6"/>
    <w:rsid w:val="005D157F"/>
    <w:rsid w:val="005D6CE1"/>
    <w:rsid w:val="005E064A"/>
    <w:rsid w:val="005F3A63"/>
    <w:rsid w:val="00601FC0"/>
    <w:rsid w:val="00602226"/>
    <w:rsid w:val="0060281D"/>
    <w:rsid w:val="00606146"/>
    <w:rsid w:val="006116DE"/>
    <w:rsid w:val="0061304D"/>
    <w:rsid w:val="0061369C"/>
    <w:rsid w:val="00616B53"/>
    <w:rsid w:val="00624E65"/>
    <w:rsid w:val="00624F13"/>
    <w:rsid w:val="00633B72"/>
    <w:rsid w:val="00634D99"/>
    <w:rsid w:val="00635181"/>
    <w:rsid w:val="0063681C"/>
    <w:rsid w:val="00642C96"/>
    <w:rsid w:val="006462E5"/>
    <w:rsid w:val="00650020"/>
    <w:rsid w:val="00650DD1"/>
    <w:rsid w:val="00652C04"/>
    <w:rsid w:val="00656B6C"/>
    <w:rsid w:val="0065731A"/>
    <w:rsid w:val="00660DBE"/>
    <w:rsid w:val="00667DDE"/>
    <w:rsid w:val="00672243"/>
    <w:rsid w:val="00672597"/>
    <w:rsid w:val="00675768"/>
    <w:rsid w:val="00676E75"/>
    <w:rsid w:val="00676E9C"/>
    <w:rsid w:val="006906EE"/>
    <w:rsid w:val="00692F27"/>
    <w:rsid w:val="006946CD"/>
    <w:rsid w:val="006971B8"/>
    <w:rsid w:val="006A5D47"/>
    <w:rsid w:val="006C0675"/>
    <w:rsid w:val="006C4CE4"/>
    <w:rsid w:val="006C7126"/>
    <w:rsid w:val="006D1048"/>
    <w:rsid w:val="006D4602"/>
    <w:rsid w:val="006D4620"/>
    <w:rsid w:val="006D4EB8"/>
    <w:rsid w:val="006D5473"/>
    <w:rsid w:val="006E1F01"/>
    <w:rsid w:val="006E4B3C"/>
    <w:rsid w:val="006E517A"/>
    <w:rsid w:val="006F027A"/>
    <w:rsid w:val="006F36D5"/>
    <w:rsid w:val="00705389"/>
    <w:rsid w:val="00705F08"/>
    <w:rsid w:val="0071252C"/>
    <w:rsid w:val="00723CE5"/>
    <w:rsid w:val="00736A27"/>
    <w:rsid w:val="00740ED2"/>
    <w:rsid w:val="0074632B"/>
    <w:rsid w:val="0074706B"/>
    <w:rsid w:val="007473AC"/>
    <w:rsid w:val="007510DB"/>
    <w:rsid w:val="00752CA8"/>
    <w:rsid w:val="00754320"/>
    <w:rsid w:val="00755FC9"/>
    <w:rsid w:val="00757675"/>
    <w:rsid w:val="00761C50"/>
    <w:rsid w:val="0076208A"/>
    <w:rsid w:val="00762E51"/>
    <w:rsid w:val="00770AB6"/>
    <w:rsid w:val="00774172"/>
    <w:rsid w:val="00775FF0"/>
    <w:rsid w:val="007763FF"/>
    <w:rsid w:val="0078037B"/>
    <w:rsid w:val="00780862"/>
    <w:rsid w:val="007859F4"/>
    <w:rsid w:val="00794B0A"/>
    <w:rsid w:val="007959B2"/>
    <w:rsid w:val="007975C7"/>
    <w:rsid w:val="00797BE7"/>
    <w:rsid w:val="007A4964"/>
    <w:rsid w:val="007A4DB8"/>
    <w:rsid w:val="007A571E"/>
    <w:rsid w:val="007A6F5B"/>
    <w:rsid w:val="007B07CD"/>
    <w:rsid w:val="007B56C5"/>
    <w:rsid w:val="007C225B"/>
    <w:rsid w:val="007C4293"/>
    <w:rsid w:val="007D77B2"/>
    <w:rsid w:val="007D7E43"/>
    <w:rsid w:val="007E5B3A"/>
    <w:rsid w:val="007F1FBA"/>
    <w:rsid w:val="007F3289"/>
    <w:rsid w:val="007F7B86"/>
    <w:rsid w:val="00802D56"/>
    <w:rsid w:val="00803E0B"/>
    <w:rsid w:val="00805D16"/>
    <w:rsid w:val="00806DD4"/>
    <w:rsid w:val="0080765E"/>
    <w:rsid w:val="00810008"/>
    <w:rsid w:val="008114A1"/>
    <w:rsid w:val="00812F96"/>
    <w:rsid w:val="008152A0"/>
    <w:rsid w:val="008176A7"/>
    <w:rsid w:val="008220FC"/>
    <w:rsid w:val="008250FD"/>
    <w:rsid w:val="008259F6"/>
    <w:rsid w:val="008279D4"/>
    <w:rsid w:val="00830BA6"/>
    <w:rsid w:val="008338CC"/>
    <w:rsid w:val="00837B08"/>
    <w:rsid w:val="008407E6"/>
    <w:rsid w:val="00840EE2"/>
    <w:rsid w:val="00841242"/>
    <w:rsid w:val="00846DE7"/>
    <w:rsid w:val="00847767"/>
    <w:rsid w:val="0085734E"/>
    <w:rsid w:val="00865C76"/>
    <w:rsid w:val="008735DC"/>
    <w:rsid w:val="0087624B"/>
    <w:rsid w:val="00876AB4"/>
    <w:rsid w:val="00877CCB"/>
    <w:rsid w:val="00880E44"/>
    <w:rsid w:val="00883079"/>
    <w:rsid w:val="00886F05"/>
    <w:rsid w:val="00887EDF"/>
    <w:rsid w:val="00891E67"/>
    <w:rsid w:val="00894B98"/>
    <w:rsid w:val="008974B4"/>
    <w:rsid w:val="008A04EC"/>
    <w:rsid w:val="008B28F4"/>
    <w:rsid w:val="008B395D"/>
    <w:rsid w:val="008B5438"/>
    <w:rsid w:val="008B6569"/>
    <w:rsid w:val="008D2194"/>
    <w:rsid w:val="008D4DAD"/>
    <w:rsid w:val="008D6437"/>
    <w:rsid w:val="008E0E80"/>
    <w:rsid w:val="008E14D7"/>
    <w:rsid w:val="008E226A"/>
    <w:rsid w:val="008E5FC7"/>
    <w:rsid w:val="008F55BB"/>
    <w:rsid w:val="00900E60"/>
    <w:rsid w:val="009026BF"/>
    <w:rsid w:val="00903BDE"/>
    <w:rsid w:val="00907B1E"/>
    <w:rsid w:val="00917CF2"/>
    <w:rsid w:val="00920013"/>
    <w:rsid w:val="0092115B"/>
    <w:rsid w:val="00924DA9"/>
    <w:rsid w:val="00927B07"/>
    <w:rsid w:val="00932C2E"/>
    <w:rsid w:val="009342B4"/>
    <w:rsid w:val="009417F4"/>
    <w:rsid w:val="0094292E"/>
    <w:rsid w:val="00945230"/>
    <w:rsid w:val="0094612A"/>
    <w:rsid w:val="0095251A"/>
    <w:rsid w:val="0095654F"/>
    <w:rsid w:val="0096308F"/>
    <w:rsid w:val="00967B96"/>
    <w:rsid w:val="009735D3"/>
    <w:rsid w:val="00973FC0"/>
    <w:rsid w:val="00974536"/>
    <w:rsid w:val="00974558"/>
    <w:rsid w:val="009760FB"/>
    <w:rsid w:val="009776B7"/>
    <w:rsid w:val="00977BE5"/>
    <w:rsid w:val="00986391"/>
    <w:rsid w:val="00986684"/>
    <w:rsid w:val="00991C9A"/>
    <w:rsid w:val="009A09D8"/>
    <w:rsid w:val="009A21AF"/>
    <w:rsid w:val="009A411E"/>
    <w:rsid w:val="009A503B"/>
    <w:rsid w:val="009A6A30"/>
    <w:rsid w:val="009C45AF"/>
    <w:rsid w:val="009C4D3A"/>
    <w:rsid w:val="009C52C4"/>
    <w:rsid w:val="009D0FC9"/>
    <w:rsid w:val="009D5B29"/>
    <w:rsid w:val="009D791F"/>
    <w:rsid w:val="009D79CE"/>
    <w:rsid w:val="009E2A6E"/>
    <w:rsid w:val="009E2C99"/>
    <w:rsid w:val="009E4B26"/>
    <w:rsid w:val="009E5F56"/>
    <w:rsid w:val="009E711A"/>
    <w:rsid w:val="009F1AF6"/>
    <w:rsid w:val="009F33EA"/>
    <w:rsid w:val="009F4724"/>
    <w:rsid w:val="009F55B9"/>
    <w:rsid w:val="00A05C05"/>
    <w:rsid w:val="00A10240"/>
    <w:rsid w:val="00A10718"/>
    <w:rsid w:val="00A121A4"/>
    <w:rsid w:val="00A13FF8"/>
    <w:rsid w:val="00A27610"/>
    <w:rsid w:val="00A27667"/>
    <w:rsid w:val="00A30F6D"/>
    <w:rsid w:val="00A313EC"/>
    <w:rsid w:val="00A3342F"/>
    <w:rsid w:val="00A35CA3"/>
    <w:rsid w:val="00A3692E"/>
    <w:rsid w:val="00A37C15"/>
    <w:rsid w:val="00A421D2"/>
    <w:rsid w:val="00A43440"/>
    <w:rsid w:val="00A53258"/>
    <w:rsid w:val="00A53C4B"/>
    <w:rsid w:val="00A668C2"/>
    <w:rsid w:val="00A67F9D"/>
    <w:rsid w:val="00A70641"/>
    <w:rsid w:val="00A71249"/>
    <w:rsid w:val="00A713B1"/>
    <w:rsid w:val="00A756A7"/>
    <w:rsid w:val="00A808E2"/>
    <w:rsid w:val="00A80BB4"/>
    <w:rsid w:val="00A80D3E"/>
    <w:rsid w:val="00A87470"/>
    <w:rsid w:val="00A87E5A"/>
    <w:rsid w:val="00A90384"/>
    <w:rsid w:val="00A911A4"/>
    <w:rsid w:val="00AA09D2"/>
    <w:rsid w:val="00AA28FF"/>
    <w:rsid w:val="00AA3F86"/>
    <w:rsid w:val="00AA4251"/>
    <w:rsid w:val="00AA44B7"/>
    <w:rsid w:val="00AB41DE"/>
    <w:rsid w:val="00AD003F"/>
    <w:rsid w:val="00AD306D"/>
    <w:rsid w:val="00AD6790"/>
    <w:rsid w:val="00AD7D1E"/>
    <w:rsid w:val="00AE1FDC"/>
    <w:rsid w:val="00AE7A34"/>
    <w:rsid w:val="00AF04EB"/>
    <w:rsid w:val="00AF1308"/>
    <w:rsid w:val="00B0078E"/>
    <w:rsid w:val="00B11B11"/>
    <w:rsid w:val="00B133FC"/>
    <w:rsid w:val="00B13A2E"/>
    <w:rsid w:val="00B156D2"/>
    <w:rsid w:val="00B161CE"/>
    <w:rsid w:val="00B1654B"/>
    <w:rsid w:val="00B2228C"/>
    <w:rsid w:val="00B26EC6"/>
    <w:rsid w:val="00B32DD5"/>
    <w:rsid w:val="00B40CA1"/>
    <w:rsid w:val="00B4301C"/>
    <w:rsid w:val="00B4527F"/>
    <w:rsid w:val="00B46CB0"/>
    <w:rsid w:val="00B52C0F"/>
    <w:rsid w:val="00B572E0"/>
    <w:rsid w:val="00B57FFB"/>
    <w:rsid w:val="00B67566"/>
    <w:rsid w:val="00B71E75"/>
    <w:rsid w:val="00B749E7"/>
    <w:rsid w:val="00B756D8"/>
    <w:rsid w:val="00B81D48"/>
    <w:rsid w:val="00B84DCC"/>
    <w:rsid w:val="00B8612E"/>
    <w:rsid w:val="00B9469C"/>
    <w:rsid w:val="00B95E28"/>
    <w:rsid w:val="00B960E8"/>
    <w:rsid w:val="00BA1B24"/>
    <w:rsid w:val="00BA1B26"/>
    <w:rsid w:val="00BC65B4"/>
    <w:rsid w:val="00BD2290"/>
    <w:rsid w:val="00BD4A17"/>
    <w:rsid w:val="00BD55E3"/>
    <w:rsid w:val="00BE253B"/>
    <w:rsid w:val="00BE3CCE"/>
    <w:rsid w:val="00BE585F"/>
    <w:rsid w:val="00BF0097"/>
    <w:rsid w:val="00BF0308"/>
    <w:rsid w:val="00BF392E"/>
    <w:rsid w:val="00C01719"/>
    <w:rsid w:val="00C03C1F"/>
    <w:rsid w:val="00C04FFB"/>
    <w:rsid w:val="00C129E9"/>
    <w:rsid w:val="00C13593"/>
    <w:rsid w:val="00C1418A"/>
    <w:rsid w:val="00C1796C"/>
    <w:rsid w:val="00C24C1E"/>
    <w:rsid w:val="00C316F5"/>
    <w:rsid w:val="00C34D41"/>
    <w:rsid w:val="00C34EA9"/>
    <w:rsid w:val="00C4633D"/>
    <w:rsid w:val="00C47E37"/>
    <w:rsid w:val="00C514F5"/>
    <w:rsid w:val="00C55D7C"/>
    <w:rsid w:val="00C573C0"/>
    <w:rsid w:val="00C57E99"/>
    <w:rsid w:val="00C60C43"/>
    <w:rsid w:val="00C635B6"/>
    <w:rsid w:val="00C71D49"/>
    <w:rsid w:val="00C72B29"/>
    <w:rsid w:val="00C72FE4"/>
    <w:rsid w:val="00C804A3"/>
    <w:rsid w:val="00C81A7F"/>
    <w:rsid w:val="00C82536"/>
    <w:rsid w:val="00C86FEA"/>
    <w:rsid w:val="00C902AB"/>
    <w:rsid w:val="00C92F42"/>
    <w:rsid w:val="00C95069"/>
    <w:rsid w:val="00C96943"/>
    <w:rsid w:val="00CA14E4"/>
    <w:rsid w:val="00CA1FD1"/>
    <w:rsid w:val="00CA27AC"/>
    <w:rsid w:val="00CA2AEF"/>
    <w:rsid w:val="00CA52A7"/>
    <w:rsid w:val="00CA78B5"/>
    <w:rsid w:val="00CB25B0"/>
    <w:rsid w:val="00CC447E"/>
    <w:rsid w:val="00CC7D60"/>
    <w:rsid w:val="00CD1C8C"/>
    <w:rsid w:val="00CE24E9"/>
    <w:rsid w:val="00CE3F71"/>
    <w:rsid w:val="00CE415D"/>
    <w:rsid w:val="00CE770F"/>
    <w:rsid w:val="00CF2ED0"/>
    <w:rsid w:val="00CF3B0F"/>
    <w:rsid w:val="00CF3D43"/>
    <w:rsid w:val="00CF470A"/>
    <w:rsid w:val="00CF5430"/>
    <w:rsid w:val="00CF76C0"/>
    <w:rsid w:val="00D0165B"/>
    <w:rsid w:val="00D02036"/>
    <w:rsid w:val="00D07E3B"/>
    <w:rsid w:val="00D16BD6"/>
    <w:rsid w:val="00D22DDD"/>
    <w:rsid w:val="00D234B5"/>
    <w:rsid w:val="00D234F2"/>
    <w:rsid w:val="00D32568"/>
    <w:rsid w:val="00D32EEB"/>
    <w:rsid w:val="00D34FA4"/>
    <w:rsid w:val="00D3731E"/>
    <w:rsid w:val="00D63082"/>
    <w:rsid w:val="00D635CF"/>
    <w:rsid w:val="00D77F4E"/>
    <w:rsid w:val="00D9478F"/>
    <w:rsid w:val="00D951EC"/>
    <w:rsid w:val="00D96D44"/>
    <w:rsid w:val="00DA0292"/>
    <w:rsid w:val="00DA5692"/>
    <w:rsid w:val="00DA636D"/>
    <w:rsid w:val="00DB0CFF"/>
    <w:rsid w:val="00DC01E4"/>
    <w:rsid w:val="00DC2574"/>
    <w:rsid w:val="00DD3CAE"/>
    <w:rsid w:val="00DD3E77"/>
    <w:rsid w:val="00DD56C6"/>
    <w:rsid w:val="00DE19A3"/>
    <w:rsid w:val="00DE51E1"/>
    <w:rsid w:val="00DF2016"/>
    <w:rsid w:val="00DF2C96"/>
    <w:rsid w:val="00DF4175"/>
    <w:rsid w:val="00DF60E0"/>
    <w:rsid w:val="00E03796"/>
    <w:rsid w:val="00E05141"/>
    <w:rsid w:val="00E05881"/>
    <w:rsid w:val="00E06197"/>
    <w:rsid w:val="00E102F7"/>
    <w:rsid w:val="00E10D55"/>
    <w:rsid w:val="00E1371F"/>
    <w:rsid w:val="00E139BA"/>
    <w:rsid w:val="00E14A32"/>
    <w:rsid w:val="00E2398A"/>
    <w:rsid w:val="00E2786E"/>
    <w:rsid w:val="00E32409"/>
    <w:rsid w:val="00E40AD4"/>
    <w:rsid w:val="00E43BE4"/>
    <w:rsid w:val="00E47514"/>
    <w:rsid w:val="00E47A85"/>
    <w:rsid w:val="00E5108F"/>
    <w:rsid w:val="00E635C6"/>
    <w:rsid w:val="00E65068"/>
    <w:rsid w:val="00E65474"/>
    <w:rsid w:val="00E67C3F"/>
    <w:rsid w:val="00E734CC"/>
    <w:rsid w:val="00E76E7D"/>
    <w:rsid w:val="00E804F1"/>
    <w:rsid w:val="00E81BF9"/>
    <w:rsid w:val="00E81D45"/>
    <w:rsid w:val="00E81FD2"/>
    <w:rsid w:val="00E83A6B"/>
    <w:rsid w:val="00E85C0F"/>
    <w:rsid w:val="00E870A6"/>
    <w:rsid w:val="00E87714"/>
    <w:rsid w:val="00E91092"/>
    <w:rsid w:val="00E94029"/>
    <w:rsid w:val="00E945E1"/>
    <w:rsid w:val="00E94A48"/>
    <w:rsid w:val="00E953E8"/>
    <w:rsid w:val="00EA4BFE"/>
    <w:rsid w:val="00EA5B6D"/>
    <w:rsid w:val="00EB3306"/>
    <w:rsid w:val="00EB4148"/>
    <w:rsid w:val="00EB692E"/>
    <w:rsid w:val="00EC598D"/>
    <w:rsid w:val="00ED454B"/>
    <w:rsid w:val="00ED54A0"/>
    <w:rsid w:val="00ED6654"/>
    <w:rsid w:val="00EE1F9B"/>
    <w:rsid w:val="00EE31E9"/>
    <w:rsid w:val="00EE7F44"/>
    <w:rsid w:val="00F15AA0"/>
    <w:rsid w:val="00F15B78"/>
    <w:rsid w:val="00F164D5"/>
    <w:rsid w:val="00F175E7"/>
    <w:rsid w:val="00F17FBC"/>
    <w:rsid w:val="00F25B0F"/>
    <w:rsid w:val="00F25BBC"/>
    <w:rsid w:val="00F25E98"/>
    <w:rsid w:val="00F3186B"/>
    <w:rsid w:val="00F33988"/>
    <w:rsid w:val="00F40B3E"/>
    <w:rsid w:val="00F42FB3"/>
    <w:rsid w:val="00F45BBF"/>
    <w:rsid w:val="00F4608B"/>
    <w:rsid w:val="00F50B45"/>
    <w:rsid w:val="00F51044"/>
    <w:rsid w:val="00F512B2"/>
    <w:rsid w:val="00F51B3A"/>
    <w:rsid w:val="00F5629F"/>
    <w:rsid w:val="00F624A3"/>
    <w:rsid w:val="00F64D70"/>
    <w:rsid w:val="00F650A8"/>
    <w:rsid w:val="00F908A0"/>
    <w:rsid w:val="00F94081"/>
    <w:rsid w:val="00F9465D"/>
    <w:rsid w:val="00F970C8"/>
    <w:rsid w:val="00FA4F6D"/>
    <w:rsid w:val="00FA6180"/>
    <w:rsid w:val="00FB0C89"/>
    <w:rsid w:val="00FB3FDF"/>
    <w:rsid w:val="00FC1195"/>
    <w:rsid w:val="00FC37BD"/>
    <w:rsid w:val="00FC6881"/>
    <w:rsid w:val="00FD7BED"/>
    <w:rsid w:val="00FE2801"/>
    <w:rsid w:val="00FE52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B3E"/>
    <w:rPr>
      <w:rFonts w:ascii="Times New Roman" w:hAnsi="Times New Roman"/>
    </w:rPr>
  </w:style>
  <w:style w:type="paragraph" w:styleId="Heading1">
    <w:name w:val="heading 1"/>
    <w:basedOn w:val="Normal"/>
    <w:next w:val="Normal"/>
    <w:link w:val="Heading1Char"/>
    <w:uiPriority w:val="9"/>
    <w:qFormat/>
    <w:rsid w:val="00C573C0"/>
    <w:pPr>
      <w:keepNext/>
      <w:keepLines/>
      <w:spacing w:before="360" w:after="8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9C45AF"/>
    <w:pPr>
      <w:keepNext/>
      <w:keepLines/>
      <w:spacing w:before="160" w:after="80"/>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uiPriority w:val="9"/>
    <w:unhideWhenUsed/>
    <w:qFormat/>
    <w:rsid w:val="00E734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34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34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34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4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4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4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3C0"/>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9C45AF"/>
    <w:rPr>
      <w:rFonts w:ascii="Times New Roman" w:eastAsiaTheme="majorEastAsia" w:hAnsi="Times New Roman" w:cstheme="majorBidi"/>
      <w:b/>
      <w:color w:val="2F5496" w:themeColor="accent1" w:themeShade="BF"/>
      <w:sz w:val="28"/>
      <w:szCs w:val="32"/>
    </w:rPr>
  </w:style>
  <w:style w:type="character" w:customStyle="1" w:styleId="Heading3Char">
    <w:name w:val="Heading 3 Char"/>
    <w:basedOn w:val="DefaultParagraphFont"/>
    <w:link w:val="Heading3"/>
    <w:uiPriority w:val="9"/>
    <w:rsid w:val="00E734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34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34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34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4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4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4CC"/>
    <w:rPr>
      <w:rFonts w:eastAsiaTheme="majorEastAsia" w:cstheme="majorBidi"/>
      <w:color w:val="272727" w:themeColor="text1" w:themeTint="D8"/>
    </w:rPr>
  </w:style>
  <w:style w:type="paragraph" w:styleId="Title">
    <w:name w:val="Title"/>
    <w:basedOn w:val="Normal"/>
    <w:next w:val="Normal"/>
    <w:link w:val="TitleChar"/>
    <w:uiPriority w:val="10"/>
    <w:qFormat/>
    <w:rsid w:val="00E734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4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4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4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4CC"/>
    <w:pPr>
      <w:spacing w:before="160"/>
      <w:jc w:val="center"/>
    </w:pPr>
    <w:rPr>
      <w:i/>
      <w:iCs/>
      <w:color w:val="404040" w:themeColor="text1" w:themeTint="BF"/>
    </w:rPr>
  </w:style>
  <w:style w:type="character" w:customStyle="1" w:styleId="QuoteChar">
    <w:name w:val="Quote Char"/>
    <w:basedOn w:val="DefaultParagraphFont"/>
    <w:link w:val="Quote"/>
    <w:uiPriority w:val="29"/>
    <w:rsid w:val="00E734CC"/>
    <w:rPr>
      <w:i/>
      <w:iCs/>
      <w:color w:val="404040" w:themeColor="text1" w:themeTint="BF"/>
    </w:rPr>
  </w:style>
  <w:style w:type="paragraph" w:styleId="ListParagraph">
    <w:name w:val="List Paragraph"/>
    <w:basedOn w:val="Normal"/>
    <w:uiPriority w:val="34"/>
    <w:qFormat/>
    <w:rsid w:val="00E734CC"/>
    <w:pPr>
      <w:ind w:left="720"/>
      <w:contextualSpacing/>
    </w:pPr>
  </w:style>
  <w:style w:type="character" w:styleId="IntenseEmphasis">
    <w:name w:val="Intense Emphasis"/>
    <w:basedOn w:val="DefaultParagraphFont"/>
    <w:uiPriority w:val="21"/>
    <w:qFormat/>
    <w:rsid w:val="00E734CC"/>
    <w:rPr>
      <w:i/>
      <w:iCs/>
      <w:color w:val="2F5496" w:themeColor="accent1" w:themeShade="BF"/>
    </w:rPr>
  </w:style>
  <w:style w:type="paragraph" w:styleId="IntenseQuote">
    <w:name w:val="Intense Quote"/>
    <w:basedOn w:val="Normal"/>
    <w:next w:val="Normal"/>
    <w:link w:val="IntenseQuoteChar"/>
    <w:uiPriority w:val="30"/>
    <w:qFormat/>
    <w:rsid w:val="00E734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34CC"/>
    <w:rPr>
      <w:i/>
      <w:iCs/>
      <w:color w:val="2F5496" w:themeColor="accent1" w:themeShade="BF"/>
    </w:rPr>
  </w:style>
  <w:style w:type="character" w:styleId="IntenseReference">
    <w:name w:val="Intense Reference"/>
    <w:basedOn w:val="DefaultParagraphFont"/>
    <w:uiPriority w:val="32"/>
    <w:qFormat/>
    <w:rsid w:val="00E734CC"/>
    <w:rPr>
      <w:b/>
      <w:bCs/>
      <w:smallCaps/>
      <w:color w:val="2F5496" w:themeColor="accent1" w:themeShade="BF"/>
      <w:spacing w:val="5"/>
    </w:rPr>
  </w:style>
  <w:style w:type="paragraph" w:styleId="TOCHeading">
    <w:name w:val="TOC Heading"/>
    <w:basedOn w:val="Heading1"/>
    <w:next w:val="Normal"/>
    <w:uiPriority w:val="39"/>
    <w:unhideWhenUsed/>
    <w:qFormat/>
    <w:rsid w:val="00C04FFB"/>
    <w:pPr>
      <w:spacing w:before="240" w:after="0" w:line="259" w:lineRule="auto"/>
      <w:outlineLvl w:val="9"/>
    </w:pPr>
    <w:rPr>
      <w:kern w:val="0"/>
      <w:szCs w:val="32"/>
    </w:rPr>
  </w:style>
  <w:style w:type="paragraph" w:styleId="TOC1">
    <w:name w:val="toc 1"/>
    <w:basedOn w:val="Normal"/>
    <w:next w:val="Normal"/>
    <w:uiPriority w:val="39"/>
    <w:unhideWhenUsed/>
    <w:rsid w:val="00EE1F9B"/>
    <w:pPr>
      <w:spacing w:after="100" w:line="240" w:lineRule="auto"/>
    </w:pPr>
  </w:style>
  <w:style w:type="paragraph" w:styleId="TOC2">
    <w:name w:val="toc 2"/>
    <w:basedOn w:val="Normal"/>
    <w:next w:val="Normal"/>
    <w:uiPriority w:val="39"/>
    <w:unhideWhenUsed/>
    <w:rsid w:val="001F09F9"/>
    <w:pPr>
      <w:spacing w:after="100"/>
      <w:ind w:left="240"/>
    </w:pPr>
  </w:style>
  <w:style w:type="character" w:styleId="Hyperlink">
    <w:name w:val="Hyperlink"/>
    <w:basedOn w:val="DefaultParagraphFont"/>
    <w:uiPriority w:val="99"/>
    <w:unhideWhenUsed/>
    <w:rsid w:val="00C04FFB"/>
    <w:rPr>
      <w:color w:val="0563C1" w:themeColor="hyperlink"/>
      <w:u w:val="single"/>
    </w:rPr>
  </w:style>
  <w:style w:type="paragraph" w:styleId="Header">
    <w:name w:val="header"/>
    <w:basedOn w:val="Normal"/>
    <w:link w:val="HeaderChar"/>
    <w:uiPriority w:val="99"/>
    <w:unhideWhenUsed/>
    <w:rsid w:val="007F32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3289"/>
  </w:style>
  <w:style w:type="paragraph" w:styleId="Footer">
    <w:name w:val="footer"/>
    <w:basedOn w:val="Normal"/>
    <w:link w:val="FooterChar"/>
    <w:uiPriority w:val="99"/>
    <w:unhideWhenUsed/>
    <w:rsid w:val="007F32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289"/>
  </w:style>
  <w:style w:type="table" w:customStyle="1" w:styleId="GridTableLight">
    <w:name w:val="Grid Table Light"/>
    <w:basedOn w:val="TableNormal"/>
    <w:uiPriority w:val="40"/>
    <w:rsid w:val="003407B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635181"/>
    <w:pPr>
      <w:spacing w:after="200" w:line="240" w:lineRule="auto"/>
    </w:pPr>
    <w:rPr>
      <w:b/>
      <w:iCs/>
      <w:color w:val="44546A" w:themeColor="text2"/>
      <w:sz w:val="22"/>
      <w:szCs w:val="18"/>
    </w:rPr>
  </w:style>
  <w:style w:type="paragraph" w:styleId="TableofFigures">
    <w:name w:val="table of figures"/>
    <w:basedOn w:val="Normal"/>
    <w:next w:val="Normal"/>
    <w:uiPriority w:val="99"/>
    <w:unhideWhenUsed/>
    <w:rsid w:val="009C52C4"/>
    <w:pPr>
      <w:spacing w:after="0"/>
    </w:pPr>
  </w:style>
  <w:style w:type="paragraph" w:styleId="TOC3">
    <w:name w:val="toc 3"/>
    <w:basedOn w:val="Normal"/>
    <w:next w:val="Normal"/>
    <w:uiPriority w:val="39"/>
    <w:semiHidden/>
    <w:unhideWhenUsed/>
    <w:rsid w:val="001F09F9"/>
    <w:pPr>
      <w:spacing w:after="100"/>
      <w:ind w:left="480"/>
    </w:pPr>
  </w:style>
  <w:style w:type="paragraph" w:styleId="TOC4">
    <w:name w:val="toc 4"/>
    <w:basedOn w:val="Normal"/>
    <w:next w:val="Normal"/>
    <w:uiPriority w:val="39"/>
    <w:semiHidden/>
    <w:unhideWhenUsed/>
    <w:rsid w:val="001F09F9"/>
    <w:pPr>
      <w:spacing w:after="100"/>
      <w:ind w:left="720"/>
    </w:pPr>
  </w:style>
  <w:style w:type="paragraph" w:styleId="TOC5">
    <w:name w:val="toc 5"/>
    <w:basedOn w:val="Normal"/>
    <w:next w:val="Normal"/>
    <w:uiPriority w:val="39"/>
    <w:semiHidden/>
    <w:unhideWhenUsed/>
    <w:rsid w:val="001F09F9"/>
    <w:pPr>
      <w:spacing w:after="100"/>
      <w:ind w:left="960"/>
    </w:pPr>
  </w:style>
  <w:style w:type="paragraph" w:styleId="TOC6">
    <w:name w:val="toc 6"/>
    <w:basedOn w:val="Normal"/>
    <w:next w:val="Normal"/>
    <w:uiPriority w:val="39"/>
    <w:semiHidden/>
    <w:unhideWhenUsed/>
    <w:rsid w:val="001F09F9"/>
    <w:pPr>
      <w:spacing w:after="100"/>
      <w:ind w:left="1200"/>
    </w:pPr>
  </w:style>
  <w:style w:type="paragraph" w:styleId="TOC7">
    <w:name w:val="toc 7"/>
    <w:basedOn w:val="Normal"/>
    <w:next w:val="Normal"/>
    <w:uiPriority w:val="39"/>
    <w:semiHidden/>
    <w:unhideWhenUsed/>
    <w:rsid w:val="001F09F9"/>
    <w:pPr>
      <w:spacing w:after="100"/>
      <w:ind w:left="1440"/>
    </w:pPr>
  </w:style>
  <w:style w:type="paragraph" w:styleId="TOC8">
    <w:name w:val="toc 8"/>
    <w:basedOn w:val="Normal"/>
    <w:next w:val="Normal"/>
    <w:uiPriority w:val="39"/>
    <w:semiHidden/>
    <w:unhideWhenUsed/>
    <w:rsid w:val="001F09F9"/>
    <w:pPr>
      <w:spacing w:after="100"/>
      <w:ind w:left="1680"/>
    </w:pPr>
  </w:style>
  <w:style w:type="paragraph" w:styleId="TOC9">
    <w:name w:val="toc 9"/>
    <w:basedOn w:val="Normal"/>
    <w:next w:val="Normal"/>
    <w:uiPriority w:val="39"/>
    <w:semiHidden/>
    <w:unhideWhenUsed/>
    <w:rsid w:val="001F09F9"/>
    <w:pPr>
      <w:spacing w:after="100"/>
      <w:ind w:left="1920"/>
    </w:pPr>
  </w:style>
  <w:style w:type="paragraph" w:customStyle="1" w:styleId="Figure">
    <w:name w:val="Figure"/>
    <w:basedOn w:val="Normal"/>
    <w:next w:val="Normal"/>
    <w:link w:val="FigureChar"/>
    <w:qFormat/>
    <w:rsid w:val="007473AC"/>
    <w:pPr>
      <w:spacing w:line="360" w:lineRule="auto"/>
      <w:jc w:val="center"/>
    </w:pPr>
    <w:rPr>
      <w:rFonts w:cs="Times New Roman"/>
      <w:i/>
      <w:sz w:val="22"/>
      <w:szCs w:val="22"/>
    </w:rPr>
  </w:style>
  <w:style w:type="character" w:customStyle="1" w:styleId="FigureChar">
    <w:name w:val="Figure Char"/>
    <w:basedOn w:val="DefaultParagraphFont"/>
    <w:link w:val="Figure"/>
    <w:rsid w:val="007473AC"/>
    <w:rPr>
      <w:rFonts w:ascii="Times New Roman" w:hAnsi="Times New Roman" w:cs="Times New Roman"/>
      <w:i/>
      <w:sz w:val="22"/>
      <w:szCs w:val="22"/>
    </w:rPr>
  </w:style>
  <w:style w:type="table" w:styleId="TableGrid">
    <w:name w:val="Table Grid"/>
    <w:basedOn w:val="TableNormal"/>
    <w:uiPriority w:val="39"/>
    <w:rsid w:val="00DD3C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865C76"/>
    <w:rPr>
      <w:color w:val="605E5C"/>
      <w:shd w:val="clear" w:color="auto" w:fill="E1DFDD"/>
    </w:rPr>
  </w:style>
  <w:style w:type="paragraph" w:styleId="BalloonText">
    <w:name w:val="Balloon Text"/>
    <w:basedOn w:val="Normal"/>
    <w:link w:val="BalloonTextChar"/>
    <w:uiPriority w:val="99"/>
    <w:semiHidden/>
    <w:unhideWhenUsed/>
    <w:rsid w:val="003A1C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C0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researchgate.net/publication/376816376_Breach_Notification_in_the_General_Data_Protection_Regulation" TargetMode="External"/><Relationship Id="rId18" Type="http://schemas.openxmlformats.org/officeDocument/2006/relationships/hyperlink" Target="https://www.mdpi.com/2071-1050/14/3/1269" TargetMode="External"/><Relationship Id="rId3" Type="http://schemas.openxmlformats.org/officeDocument/2006/relationships/styles" Target="styles.xml"/><Relationship Id="rId21" Type="http://schemas.openxmlformats.org/officeDocument/2006/relationships/hyperlink" Target="https://www.researchgate.net/publication/376859838_Analysis_of_Information_Technology_Service_Management_Using_ITIL_V3_Domain_Service_Operation_at_Company_XYZ" TargetMode="External"/><Relationship Id="rId7" Type="http://schemas.openxmlformats.org/officeDocument/2006/relationships/endnotes" Target="endnotes.xml"/><Relationship Id="rId12" Type="http://schemas.openxmlformats.org/officeDocument/2006/relationships/hyperlink" Target="https://www.researchgate.net/publication/388082333_Integrating_IoT_and_Cloud_Computing_for_Continuous_Process_Optimization_in_Real_Time_Systems" TargetMode="External"/><Relationship Id="rId17" Type="http://schemas.openxmlformats.org/officeDocument/2006/relationships/hyperlink" Target="https://www.mdpi.com/2673-8392/4/4/9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searchgate.net/publication/388406170_Corporate_cybersecurity_risk_and_data_breaches_A_systematic_review_of_empirical_research" TargetMode="External"/><Relationship Id="rId20" Type="http://schemas.openxmlformats.org/officeDocument/2006/relationships/hyperlink" Target="https://www.emerald.com/ics/article/doi/10.1108/ICS-09-2025-0376/1357446/Evaluating-cyber-resilience-frameworks-fo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erolink.dev/governance%2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dpi.com/2071-1050/15/7/5828" TargetMode="External"/><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www.researchgate.net/publication/301334572_Critical_analysis_of_vendor_lock-in_and_its_impact_on_cloud_computing_migration_a_business_perspective"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link.springer.com/article/10.1007/s10207-025-01147-4" TargetMode="External"/><Relationship Id="rId22" Type="http://schemas.openxmlformats.org/officeDocument/2006/relationships/hyperlink" Target="https://www.mdpi.com/2079-9292/14/7/13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CFCE1-F70B-4459-A2BF-A617070CE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9684</Words>
  <Characters>55202</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DHAVAL RAMI</dc:creator>
  <cp:lastModifiedBy>DHAVAL RAMI</cp:lastModifiedBy>
  <cp:revision>3</cp:revision>
  <dcterms:created xsi:type="dcterms:W3CDTF">2026-07-30T20:18:00Z</dcterms:created>
  <dcterms:modified xsi:type="dcterms:W3CDTF">2026-08-04T13:04:00Z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da2d9d80-dcf3-3f96-990b-5b30ac126787</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 11th edition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7th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 6th/7th edition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12th edition - Harvard</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4th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9th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http://www.zotero.org/styles/southern-cross-university-harvard</vt:lpwstr>
  </property>
  <property fmtid="{D5CDD505-2E9C-101B-9397-08002B2CF9AE}" pid="23" name="Mendeley Recent Style Name 9_1">
    <vt:lpwstr>Southern Cross University - Harvard</vt:lpwstr>
  </property>
  <property fmtid="{D5CDD505-2E9C-101B-9397-08002B2CF9AE}" pid="24" name="Mendeley Citation Style_1">
    <vt:lpwstr>http://www.zotero.org/styles/harvard-cite-them-right</vt:lpwstr>
  </property>
</Properties>
</file>