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FE9783" w14:textId="77777777" w:rsidR="0059774B" w:rsidRDefault="0059774B"/>
    <w:p w14:paraId="65078914" w14:textId="77777777" w:rsidR="0059774B" w:rsidRDefault="0059774B">
      <w:pPr>
        <w:spacing w:line="360" w:lineRule="auto"/>
      </w:pPr>
    </w:p>
    <w:p w14:paraId="6D22B448" w14:textId="77777777" w:rsidR="0059774B" w:rsidRDefault="0059774B"/>
    <w:p w14:paraId="676B1D33" w14:textId="77777777" w:rsidR="0059774B" w:rsidRDefault="0059774B">
      <w:pPr>
        <w:rPr>
          <w:rFonts w:ascii="Arial" w:hAnsi="Arial" w:cs="Arial"/>
        </w:rPr>
      </w:pPr>
    </w:p>
    <w:p w14:paraId="134C0EB6" w14:textId="77777777" w:rsidR="0059774B" w:rsidRDefault="005B14FE">
      <w:pPr>
        <w:spacing w:line="360" w:lineRule="auto"/>
        <w:ind w:left="720"/>
        <w:rPr>
          <w:rFonts w:ascii="Arial" w:hAnsi="Arial" w:cs="Arial"/>
          <w:b/>
          <w:bCs/>
          <w:sz w:val="28"/>
          <w:szCs w:val="28"/>
        </w:rPr>
      </w:pPr>
      <w:r>
        <w:rPr>
          <w:rFonts w:ascii="Arial" w:hAnsi="Arial" w:cs="Arial"/>
          <w:b/>
          <w:bCs/>
          <w:sz w:val="28"/>
          <w:szCs w:val="28"/>
        </w:rPr>
        <w:t>Student name:      Abosede Banjo</w:t>
      </w:r>
    </w:p>
    <w:p w14:paraId="67DD2625" w14:textId="77777777" w:rsidR="0059774B" w:rsidRDefault="005B14FE">
      <w:pPr>
        <w:spacing w:line="360" w:lineRule="auto"/>
        <w:ind w:left="720"/>
        <w:rPr>
          <w:rFonts w:ascii="Arial" w:hAnsi="Arial" w:cs="Arial"/>
          <w:b/>
          <w:bCs/>
          <w:sz w:val="28"/>
          <w:szCs w:val="28"/>
        </w:rPr>
      </w:pPr>
      <w:r>
        <w:rPr>
          <w:rFonts w:ascii="Arial" w:hAnsi="Arial" w:cs="Arial"/>
          <w:b/>
          <w:bCs/>
          <w:sz w:val="28"/>
          <w:szCs w:val="28"/>
        </w:rPr>
        <w:t>Student number:  2516291</w:t>
      </w:r>
    </w:p>
    <w:p w14:paraId="2A0D44F7" w14:textId="77777777" w:rsidR="0059774B" w:rsidRDefault="005B14FE">
      <w:pPr>
        <w:spacing w:line="360" w:lineRule="auto"/>
        <w:ind w:left="720"/>
        <w:rPr>
          <w:rFonts w:ascii="Arial" w:hAnsi="Arial" w:cs="Arial"/>
          <w:b/>
          <w:bCs/>
          <w:sz w:val="28"/>
          <w:szCs w:val="28"/>
        </w:rPr>
      </w:pPr>
      <w:r>
        <w:rPr>
          <w:rFonts w:ascii="Arial" w:hAnsi="Arial" w:cs="Arial"/>
          <w:b/>
          <w:bCs/>
          <w:sz w:val="28"/>
          <w:szCs w:val="28"/>
        </w:rPr>
        <w:t>Module code:        LCHS4010</w:t>
      </w:r>
    </w:p>
    <w:p w14:paraId="5A1B844E" w14:textId="77777777" w:rsidR="0059774B" w:rsidRDefault="005B14FE">
      <w:pPr>
        <w:spacing w:line="360" w:lineRule="auto"/>
        <w:ind w:left="720"/>
        <w:rPr>
          <w:rFonts w:ascii="Arial" w:hAnsi="Arial" w:cs="Arial"/>
          <w:b/>
          <w:bCs/>
          <w:sz w:val="28"/>
          <w:szCs w:val="28"/>
        </w:rPr>
      </w:pPr>
      <w:r>
        <w:rPr>
          <w:rFonts w:ascii="Arial" w:hAnsi="Arial" w:cs="Arial"/>
          <w:b/>
          <w:bCs/>
          <w:sz w:val="28"/>
          <w:szCs w:val="28"/>
        </w:rPr>
        <w:t>Module title:         Psychology in Health and Social Care</w:t>
      </w:r>
    </w:p>
    <w:p w14:paraId="6CAF9699" w14:textId="77777777" w:rsidR="0059774B" w:rsidRDefault="005B14FE">
      <w:pPr>
        <w:spacing w:line="360" w:lineRule="auto"/>
        <w:ind w:left="720"/>
        <w:rPr>
          <w:rFonts w:ascii="Arial" w:hAnsi="Arial" w:cs="Arial"/>
          <w:b/>
          <w:bCs/>
          <w:sz w:val="28"/>
          <w:szCs w:val="28"/>
        </w:rPr>
      </w:pPr>
      <w:r>
        <w:rPr>
          <w:rFonts w:ascii="Arial" w:hAnsi="Arial" w:cs="Arial"/>
          <w:b/>
          <w:bCs/>
          <w:sz w:val="28"/>
          <w:szCs w:val="28"/>
        </w:rPr>
        <w:t>Lecturer’s name:  Shepherd Ziko</w:t>
      </w:r>
    </w:p>
    <w:p w14:paraId="27316BDC" w14:textId="77777777" w:rsidR="0059774B" w:rsidRDefault="005B14FE">
      <w:pPr>
        <w:spacing w:line="360" w:lineRule="auto"/>
        <w:ind w:left="720"/>
        <w:rPr>
          <w:rFonts w:ascii="Arial" w:hAnsi="Arial" w:cs="Arial"/>
          <w:b/>
          <w:bCs/>
          <w:sz w:val="28"/>
          <w:szCs w:val="28"/>
        </w:rPr>
      </w:pPr>
      <w:r>
        <w:rPr>
          <w:rFonts w:ascii="Arial" w:hAnsi="Arial" w:cs="Arial"/>
          <w:b/>
          <w:bCs/>
          <w:sz w:val="28"/>
          <w:szCs w:val="28"/>
        </w:rPr>
        <w:t>Assignment title:  Discuss the impact of social media on mental health in adolescence.</w:t>
      </w:r>
    </w:p>
    <w:p w14:paraId="2E03AF90" w14:textId="77777777" w:rsidR="0059774B" w:rsidRDefault="0059774B"/>
    <w:p w14:paraId="5E72FC94" w14:textId="77777777" w:rsidR="0059774B" w:rsidRDefault="0059774B"/>
    <w:p w14:paraId="7C50AEBA" w14:textId="77777777" w:rsidR="0059774B" w:rsidRDefault="0059774B"/>
    <w:p w14:paraId="3E4C042A" w14:textId="77777777" w:rsidR="0059774B" w:rsidRDefault="0059774B">
      <w:pPr>
        <w:ind w:left="720"/>
        <w:rPr>
          <w:rFonts w:ascii="Arial" w:hAnsi="Arial" w:cs="Arial"/>
          <w:b/>
          <w:bCs/>
          <w:sz w:val="28"/>
          <w:szCs w:val="28"/>
        </w:rPr>
      </w:pPr>
    </w:p>
    <w:p w14:paraId="05489CFF" w14:textId="77777777" w:rsidR="0059774B" w:rsidRDefault="0059774B"/>
    <w:p w14:paraId="4DBB9F07" w14:textId="77777777" w:rsidR="0059774B" w:rsidRDefault="0059774B"/>
    <w:p w14:paraId="31D0B8D2" w14:textId="77777777" w:rsidR="0059774B" w:rsidRDefault="0059774B"/>
    <w:p w14:paraId="2F4F0BA2" w14:textId="77777777" w:rsidR="0059774B" w:rsidRDefault="0059774B"/>
    <w:p w14:paraId="067E1A4D" w14:textId="77777777" w:rsidR="0059774B" w:rsidRDefault="0059774B"/>
    <w:p w14:paraId="2EC3A449" w14:textId="77777777" w:rsidR="0059774B" w:rsidRDefault="0059774B"/>
    <w:p w14:paraId="228253B9" w14:textId="77777777" w:rsidR="0059774B" w:rsidRDefault="0059774B"/>
    <w:p w14:paraId="7CD29374" w14:textId="77777777" w:rsidR="0059774B" w:rsidRDefault="0059774B"/>
    <w:p w14:paraId="356FD2A3" w14:textId="77777777" w:rsidR="0059774B" w:rsidRDefault="005B14FE">
      <w:pPr>
        <w:spacing w:line="360" w:lineRule="auto"/>
        <w:rPr>
          <w:rFonts w:ascii="Arial" w:hAnsi="Arial" w:cs="Arial"/>
          <w:sz w:val="28"/>
          <w:szCs w:val="28"/>
        </w:rPr>
      </w:pPr>
      <w:r>
        <w:rPr>
          <w:rFonts w:ascii="Arial" w:hAnsi="Arial" w:cs="Arial"/>
          <w:b/>
          <w:bCs/>
          <w:sz w:val="28"/>
          <w:szCs w:val="28"/>
        </w:rPr>
        <w:t xml:space="preserve">                                                      </w:t>
      </w:r>
      <w:r>
        <w:rPr>
          <w:rFonts w:ascii="Arial" w:hAnsi="Arial" w:cs="Arial"/>
          <w:sz w:val="28"/>
          <w:szCs w:val="28"/>
        </w:rPr>
        <w:t xml:space="preserve"> </w:t>
      </w:r>
    </w:p>
    <w:p w14:paraId="1DF076AE" w14:textId="77777777" w:rsidR="0059774B" w:rsidRDefault="005B14FE">
      <w:pPr>
        <w:spacing w:line="360" w:lineRule="auto"/>
      </w:pPr>
      <w:r>
        <w:rPr>
          <w:rFonts w:ascii="Arial" w:hAnsi="Arial" w:cs="Arial"/>
          <w:b/>
          <w:bCs/>
          <w:sz w:val="28"/>
          <w:szCs w:val="28"/>
        </w:rPr>
        <w:t xml:space="preserve">      The impact of social media on Mental Health in Adolescence.</w:t>
      </w:r>
    </w:p>
    <w:p w14:paraId="2D05C548" w14:textId="77777777" w:rsidR="0059774B" w:rsidRPr="00583DD2" w:rsidRDefault="005B14FE" w:rsidP="00583DD2">
      <w:pPr>
        <w:spacing w:line="360" w:lineRule="auto"/>
        <w:rPr>
          <w:rFonts w:ascii="Arial" w:hAnsi="Arial" w:cs="Arial"/>
          <w:sz w:val="22"/>
          <w:szCs w:val="22"/>
        </w:rPr>
      </w:pPr>
      <w:r w:rsidRPr="00583DD2">
        <w:rPr>
          <w:rFonts w:ascii="Arial" w:hAnsi="Arial" w:cs="Arial"/>
          <w:sz w:val="22"/>
          <w:szCs w:val="22"/>
        </w:rPr>
        <w:t>Human social interaction evolves through changing environments and available resources. From playgroups, schools and neighborhoods to digital platforms, social interaction remains fundamental to human development. Today, social media has become a major form of interaction among adolescents, shaping how they communicate, build relationships and perceive themselves and the world.</w:t>
      </w:r>
    </w:p>
    <w:p w14:paraId="516E2D5A" w14:textId="49609834" w:rsidR="0059774B" w:rsidRPr="00583DD2" w:rsidRDefault="005B14FE" w:rsidP="00583DD2">
      <w:pPr>
        <w:spacing w:line="360" w:lineRule="auto"/>
        <w:rPr>
          <w:rFonts w:ascii="Arial" w:hAnsi="Arial" w:cs="Arial"/>
          <w:sz w:val="22"/>
          <w:szCs w:val="22"/>
        </w:rPr>
      </w:pPr>
      <w:r w:rsidRPr="00583DD2">
        <w:rPr>
          <w:rFonts w:ascii="Arial" w:hAnsi="Arial" w:cs="Arial"/>
          <w:sz w:val="22"/>
          <w:szCs w:val="22"/>
        </w:rPr>
        <w:t xml:space="preserve">Social media is now one of the most important components of adolescents’ everyday life, influencing how they connect, develop relationships, receive information, and express themselves. Platforms like Instagram, TikTok, Snapchat, and Facebook offer opportunities for learning, entertainment, and social engagement. Adolescence, according to the World Health Organization (2024), is a vital developmental stage between ages 10 and 19 during which individuals experience major physical, cognitive, emotional, and social changes. As adolescents develop greater self-awareness and independence, they become increasingly influenced by peers and their social environments. Social media can affect adolescent mental health both positively and negatively. Excessive or problematic use has been linked to anxiety, depression, low self-esteem, poor body image, cyberbullying, and sleep difficulties, but it can also provide social connection, emotional support, and self-expression (Keles, McCrae and Grealish, 2020). Not all researchers agree on the scale of this harm, however; Orben and Przybylski (2019) found that the statistical association between digital technology use and adolescent wellbeing is negative but very </w:t>
      </w:r>
      <w:r w:rsidR="00BD0AD7" w:rsidRPr="00583DD2">
        <w:rPr>
          <w:rFonts w:ascii="Arial" w:hAnsi="Arial" w:cs="Arial"/>
          <w:sz w:val="22"/>
          <w:szCs w:val="22"/>
        </w:rPr>
        <w:t>small and</w:t>
      </w:r>
      <w:r w:rsidRPr="00583DD2">
        <w:rPr>
          <w:rFonts w:ascii="Arial" w:hAnsi="Arial" w:cs="Arial"/>
          <w:sz w:val="22"/>
          <w:szCs w:val="22"/>
        </w:rPr>
        <w:t xml:space="preserve"> argued this does not justify claims of a large-scale mental health crisis caused by social media. Evidence therefore suggests social media is not inherently harmful; its effects depend on how it is used and the </w:t>
      </w:r>
      <w:r w:rsidR="00A76862" w:rsidRPr="00583DD2">
        <w:rPr>
          <w:rFonts w:ascii="Arial" w:hAnsi="Arial" w:cs="Arial"/>
          <w:sz w:val="22"/>
          <w:szCs w:val="22"/>
        </w:rPr>
        <w:t>characteristics</w:t>
      </w:r>
      <w:r w:rsidRPr="00583DD2">
        <w:rPr>
          <w:rFonts w:ascii="Arial" w:hAnsi="Arial" w:cs="Arial"/>
          <w:sz w:val="22"/>
          <w:szCs w:val="22"/>
        </w:rPr>
        <w:t xml:space="preserve"> of the individual adolescent.</w:t>
      </w:r>
    </w:p>
    <w:p w14:paraId="0ACEB981" w14:textId="77777777" w:rsidR="0059774B" w:rsidRPr="00583DD2" w:rsidRDefault="005B14FE" w:rsidP="00583DD2">
      <w:pPr>
        <w:keepNext/>
        <w:spacing w:line="360" w:lineRule="auto"/>
        <w:rPr>
          <w:rFonts w:ascii="Arial" w:hAnsi="Arial" w:cs="Arial"/>
          <w:sz w:val="22"/>
          <w:szCs w:val="22"/>
        </w:rPr>
      </w:pPr>
      <w:r w:rsidRPr="00583DD2">
        <w:rPr>
          <w:rFonts w:ascii="Arial" w:hAnsi="Arial" w:cs="Arial"/>
          <w:noProof/>
          <w:sz w:val="22"/>
          <w:szCs w:val="22"/>
        </w:rPr>
        <w:drawing>
          <wp:inline distT="0" distB="0" distL="0" distR="0" wp14:anchorId="0E49D1FE" wp14:editId="4109AB94">
            <wp:extent cx="5777230" cy="2621280"/>
            <wp:effectExtent l="0" t="0" r="0" b="7620"/>
            <wp:docPr id="1026" name="Picture 1">
              <a:extLst xmlns:a="http://schemas.openxmlformats.org/drawingml/2006/main">
                <a:ext uri="{FF2B5EF4-FFF2-40B4-BE49-F238E27FC236}">
                  <a16:creationId xmlns:a16="http://schemas.microsoft.com/office/drawing/2014/main" id="{7E80460C-3C18-40F9-85C2-71F3FAB67CC1}"/>
                </a:ext>
              </a:extLst>
            </wp:docPr>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7" cstate="print"/>
                    <a:srcRect/>
                    <a:stretch/>
                  </pic:blipFill>
                  <pic:spPr>
                    <a:xfrm>
                      <a:off x="0" y="0"/>
                      <a:ext cx="5777230" cy="2621280"/>
                    </a:xfrm>
                    <a:prstGeom prst="rect">
                      <a:avLst/>
                    </a:prstGeom>
                    <a:ln>
                      <a:noFill/>
                    </a:ln>
                  </pic:spPr>
                </pic:pic>
              </a:graphicData>
            </a:graphic>
          </wp:inline>
        </w:drawing>
      </w:r>
    </w:p>
    <w:p w14:paraId="37AF3B3E" w14:textId="77777777" w:rsidR="0059774B" w:rsidRPr="00583DD2" w:rsidRDefault="005B14FE" w:rsidP="00583DD2">
      <w:pPr>
        <w:pStyle w:val="Caption"/>
        <w:spacing w:line="360" w:lineRule="auto"/>
        <w:rPr>
          <w:rFonts w:ascii="Arial" w:hAnsi="Arial" w:cs="Arial"/>
          <w:sz w:val="22"/>
          <w:szCs w:val="22"/>
        </w:rPr>
      </w:pPr>
      <w:r w:rsidRPr="00583DD2">
        <w:rPr>
          <w:rFonts w:ascii="Arial" w:hAnsi="Arial" w:cs="Arial"/>
          <w:sz w:val="22"/>
          <w:szCs w:val="22"/>
        </w:rPr>
        <w:t xml:space="preserve">Figure </w:t>
      </w:r>
      <w:r w:rsidRPr="00583DD2">
        <w:rPr>
          <w:rFonts w:ascii="Arial" w:hAnsi="Arial" w:cs="Arial"/>
          <w:sz w:val="22"/>
          <w:szCs w:val="22"/>
        </w:rPr>
        <w:fldChar w:fldCharType="begin"/>
      </w:r>
      <w:r w:rsidRPr="00583DD2">
        <w:rPr>
          <w:rFonts w:ascii="Arial" w:hAnsi="Arial" w:cs="Arial"/>
          <w:sz w:val="22"/>
          <w:szCs w:val="22"/>
        </w:rPr>
        <w:instrText xml:space="preserve"> SEQ Figure \* ARABIC </w:instrText>
      </w:r>
      <w:r w:rsidRPr="00583DD2">
        <w:rPr>
          <w:rFonts w:ascii="Arial" w:hAnsi="Arial" w:cs="Arial"/>
          <w:sz w:val="22"/>
          <w:szCs w:val="22"/>
        </w:rPr>
        <w:fldChar w:fldCharType="separate"/>
      </w:r>
      <w:r w:rsidRPr="00583DD2">
        <w:rPr>
          <w:rFonts w:ascii="Arial" w:hAnsi="Arial" w:cs="Arial"/>
          <w:sz w:val="22"/>
          <w:szCs w:val="22"/>
        </w:rPr>
        <w:t>1</w:t>
      </w:r>
      <w:r w:rsidRPr="00583DD2">
        <w:rPr>
          <w:rFonts w:ascii="Arial" w:hAnsi="Arial" w:cs="Arial"/>
          <w:sz w:val="22"/>
          <w:szCs w:val="22"/>
        </w:rPr>
        <w:fldChar w:fldCharType="end"/>
      </w:r>
      <w:r w:rsidRPr="00583DD2">
        <w:rPr>
          <w:rFonts w:ascii="Arial" w:hAnsi="Arial" w:cs="Arial"/>
          <w:sz w:val="22"/>
          <w:szCs w:val="22"/>
        </w:rPr>
        <w:t>:control of your social media use. (American Psychiatric Associations, 2022)</w:t>
      </w:r>
    </w:p>
    <w:p w14:paraId="588087E6" w14:textId="77777777" w:rsidR="0059774B" w:rsidRPr="00583DD2" w:rsidRDefault="005B14FE" w:rsidP="00583DD2">
      <w:pPr>
        <w:spacing w:line="360" w:lineRule="auto"/>
        <w:rPr>
          <w:rFonts w:ascii="Arial" w:hAnsi="Arial" w:cs="Arial"/>
          <w:sz w:val="22"/>
          <w:szCs w:val="22"/>
        </w:rPr>
      </w:pPr>
      <w:r w:rsidRPr="00583DD2">
        <w:rPr>
          <w:rFonts w:ascii="Arial" w:hAnsi="Arial" w:cs="Arial"/>
          <w:sz w:val="22"/>
          <w:szCs w:val="22"/>
        </w:rPr>
        <w:t>Biological and environmental factors, including puberty, brain development, family relationships, social interactions, and digital environments, all influence adolescent mental health (Blakemore, 2019). This reflects the concept of nature and nurture, whereby human development results from the interaction of inherited biological traits and environmental experiences. Developmental theories are therefore essential for understanding social media’s effects on adolescents.</w:t>
      </w:r>
    </w:p>
    <w:p w14:paraId="55EA5C3E" w14:textId="16AFFE7B" w:rsidR="0059774B" w:rsidRPr="00583DD2" w:rsidRDefault="005B14FE" w:rsidP="00583DD2">
      <w:pPr>
        <w:spacing w:line="360" w:lineRule="auto"/>
        <w:rPr>
          <w:rFonts w:ascii="Arial" w:hAnsi="Arial" w:cs="Arial"/>
          <w:sz w:val="22"/>
          <w:szCs w:val="22"/>
        </w:rPr>
      </w:pPr>
      <w:r w:rsidRPr="00583DD2">
        <w:rPr>
          <w:rFonts w:ascii="Arial" w:hAnsi="Arial" w:cs="Arial"/>
          <w:sz w:val="22"/>
          <w:szCs w:val="22"/>
        </w:rPr>
        <w:t xml:space="preserve">Adolescents frequently use social media to stay connected, but these platforms can also create pressure to present an idealised image and compare themselves with others. Exposure to edited photographs, </w:t>
      </w:r>
      <w:r w:rsidR="00354A93" w:rsidRPr="00583DD2">
        <w:rPr>
          <w:rFonts w:ascii="Arial" w:hAnsi="Arial" w:cs="Arial"/>
          <w:sz w:val="22"/>
          <w:szCs w:val="22"/>
        </w:rPr>
        <w:t>idealized</w:t>
      </w:r>
      <w:r w:rsidRPr="00583DD2">
        <w:rPr>
          <w:rFonts w:ascii="Arial" w:hAnsi="Arial" w:cs="Arial"/>
          <w:sz w:val="22"/>
          <w:szCs w:val="22"/>
        </w:rPr>
        <w:t xml:space="preserve"> lifestyles, and indicators of social success may encourage negative social comparison, </w:t>
      </w:r>
      <w:r w:rsidR="004B7C25" w:rsidRPr="00583DD2">
        <w:rPr>
          <w:rFonts w:ascii="Arial" w:hAnsi="Arial" w:cs="Arial"/>
          <w:sz w:val="22"/>
          <w:szCs w:val="22"/>
        </w:rPr>
        <w:t>reduce</w:t>
      </w:r>
      <w:r w:rsidRPr="00583DD2">
        <w:rPr>
          <w:rFonts w:ascii="Arial" w:hAnsi="Arial" w:cs="Arial"/>
          <w:sz w:val="22"/>
          <w:szCs w:val="22"/>
        </w:rPr>
        <w:t xml:space="preserve"> self-esteem and </w:t>
      </w:r>
      <w:r w:rsidR="00B57718" w:rsidRPr="00583DD2">
        <w:rPr>
          <w:rFonts w:ascii="Arial" w:hAnsi="Arial" w:cs="Arial"/>
          <w:sz w:val="22"/>
          <w:szCs w:val="22"/>
        </w:rPr>
        <w:t>contribute</w:t>
      </w:r>
      <w:r w:rsidRPr="00583DD2">
        <w:rPr>
          <w:rFonts w:ascii="Arial" w:hAnsi="Arial" w:cs="Arial"/>
          <w:sz w:val="22"/>
          <w:szCs w:val="22"/>
        </w:rPr>
        <w:t xml:space="preserve"> to feelings of inadequacy (</w:t>
      </w:r>
      <w:r w:rsidR="0034163B" w:rsidRPr="00583DD2">
        <w:rPr>
          <w:rFonts w:ascii="Arial" w:hAnsi="Arial" w:cs="Arial"/>
          <w:sz w:val="22"/>
          <w:szCs w:val="22"/>
        </w:rPr>
        <w:t>Faddoul</w:t>
      </w:r>
      <w:r w:rsidRPr="00583DD2">
        <w:rPr>
          <w:rFonts w:ascii="Arial" w:hAnsi="Arial" w:cs="Arial"/>
          <w:sz w:val="22"/>
          <w:szCs w:val="22"/>
        </w:rPr>
        <w:t xml:space="preserve"> and Vartanian, 2016). Constant use can also disrupt sleep, concentration, and academic performance, leading to poorer mental health outcomes (Keles, McCrae and Grealish, 2020), though these effects vary between individuals.</w:t>
      </w:r>
    </w:p>
    <w:p w14:paraId="1AE1A0A0" w14:textId="1E876237" w:rsidR="0059774B" w:rsidRPr="00583DD2" w:rsidRDefault="005B14FE" w:rsidP="00583DD2">
      <w:pPr>
        <w:spacing w:line="360" w:lineRule="auto"/>
        <w:rPr>
          <w:rFonts w:ascii="Arial" w:hAnsi="Arial" w:cs="Arial"/>
          <w:sz w:val="22"/>
          <w:szCs w:val="22"/>
        </w:rPr>
      </w:pPr>
      <w:r w:rsidRPr="00583DD2">
        <w:rPr>
          <w:rFonts w:ascii="Arial" w:hAnsi="Arial" w:cs="Arial"/>
          <w:sz w:val="22"/>
          <w:szCs w:val="22"/>
        </w:rPr>
        <w:t xml:space="preserve">Attachment Theory helps explain why some adolescents experience greater psychological difficulties from social media use than others. Bowlby (1969) proposed that early bonds formed with caregivers create internal working models that shape how individuals approach relationships throughout life, and Ainsworth, </w:t>
      </w:r>
      <w:r w:rsidR="00B57718" w:rsidRPr="00583DD2">
        <w:rPr>
          <w:rFonts w:ascii="Arial" w:hAnsi="Arial" w:cs="Arial"/>
          <w:sz w:val="22"/>
          <w:szCs w:val="22"/>
        </w:rPr>
        <w:t>Belhar</w:t>
      </w:r>
      <w:r w:rsidRPr="00583DD2">
        <w:rPr>
          <w:rFonts w:ascii="Arial" w:hAnsi="Arial" w:cs="Arial"/>
          <w:sz w:val="22"/>
          <w:szCs w:val="22"/>
        </w:rPr>
        <w:t xml:space="preserve">, Waters and Wall (1978) demonstrated that these attachment patterns can be classified as secure or insecure based on how children respond to separation from and reunion with a caregiver. Adolescents with secure attachments are more likely to use social media to maintain friendships while </w:t>
      </w:r>
      <w:r w:rsidR="00514F1D" w:rsidRPr="00583DD2">
        <w:rPr>
          <w:rFonts w:ascii="Arial" w:hAnsi="Arial" w:cs="Arial"/>
          <w:sz w:val="22"/>
          <w:szCs w:val="22"/>
        </w:rPr>
        <w:t>recognizing</w:t>
      </w:r>
      <w:r w:rsidRPr="00583DD2">
        <w:rPr>
          <w:rFonts w:ascii="Arial" w:hAnsi="Arial" w:cs="Arial"/>
          <w:sz w:val="22"/>
          <w:szCs w:val="22"/>
        </w:rPr>
        <w:t xml:space="preserve"> that online interactions do not define their self-worth. Having developed emotional regulation and confidence through supportive family relationships, they are less dependent on online approval and more likely to seek support from trusted adults if they experience cyberbullying or online conflict. Secure attachment therefore offers some protection against the negative psychological effects of excessive social media use.</w:t>
      </w:r>
    </w:p>
    <w:p w14:paraId="5CDBD564" w14:textId="77777777" w:rsidR="0059774B" w:rsidRPr="00583DD2" w:rsidRDefault="005B14FE" w:rsidP="00583DD2">
      <w:pPr>
        <w:spacing w:line="360" w:lineRule="auto"/>
        <w:rPr>
          <w:rFonts w:ascii="Arial" w:hAnsi="Arial" w:cs="Arial"/>
          <w:sz w:val="22"/>
          <w:szCs w:val="22"/>
        </w:rPr>
      </w:pPr>
      <w:r w:rsidRPr="00583DD2">
        <w:rPr>
          <w:rFonts w:ascii="Arial" w:hAnsi="Arial" w:cs="Arial"/>
          <w:sz w:val="22"/>
          <w:szCs w:val="22"/>
        </w:rPr>
        <w:t>By contrast, adolescents with insecure attachments may rely heavily on social media to meet unmet emotional needs, depending on likes and comments to strengthen self-esteem. When online interactions fail to meet these expectations, feelings of rejection, loneliness, and anxiety may increase. Adolescents with anxious attachment may constantly seek reassurance online, whereas those with avoidant attachment may withdraw from offline relationships and rely on superficial online interactions. Attachment Theory therefore explains why similar social media experiences can produce different mental health outcomes depending on early emotional development.</w:t>
      </w:r>
    </w:p>
    <w:p w14:paraId="7896512A" w14:textId="77777777" w:rsidR="0059774B" w:rsidRPr="00583DD2" w:rsidRDefault="005B14FE" w:rsidP="00583DD2">
      <w:pPr>
        <w:spacing w:line="360" w:lineRule="auto"/>
        <w:rPr>
          <w:rFonts w:ascii="Arial" w:hAnsi="Arial" w:cs="Arial"/>
          <w:sz w:val="22"/>
          <w:szCs w:val="22"/>
        </w:rPr>
      </w:pPr>
      <w:r w:rsidRPr="00583DD2">
        <w:rPr>
          <w:rFonts w:ascii="Arial" w:hAnsi="Arial" w:cs="Arial"/>
          <w:sz w:val="22"/>
          <w:szCs w:val="22"/>
        </w:rPr>
        <w:t>This theory is valuable in health and social care because it highlights the importance of strong family relationships in building resilience. Practitioners supporting adolescents with anxiety, depression, or problematic social media use can assess family relationships and promote interventions that strengthen communication between parents and children. Parenting programmes, family therapy, and emotional support services may reduce adolescents’ reliance on online validation by strengthening attachment security. However, Attachment Theory alone cannot fully explain the complex relationship between social media and adolescent mental health.</w:t>
      </w:r>
    </w:p>
    <w:p w14:paraId="39B4B16B" w14:textId="70122506" w:rsidR="0059774B" w:rsidRPr="00583DD2" w:rsidRDefault="005B14FE" w:rsidP="00583DD2">
      <w:pPr>
        <w:spacing w:line="360" w:lineRule="auto"/>
        <w:rPr>
          <w:rFonts w:ascii="Arial" w:hAnsi="Arial" w:cs="Arial"/>
          <w:sz w:val="22"/>
          <w:szCs w:val="22"/>
        </w:rPr>
      </w:pPr>
      <w:r w:rsidRPr="00583DD2">
        <w:rPr>
          <w:rFonts w:ascii="Arial" w:hAnsi="Arial" w:cs="Arial"/>
          <w:sz w:val="22"/>
          <w:szCs w:val="22"/>
        </w:rPr>
        <w:t xml:space="preserve">Erikson’s Psychosocial Development Theory also provides a useful framework. Erikson (1968) proposed that individuals pass through eight stages of psychosocial development, each </w:t>
      </w:r>
      <w:r w:rsidR="00C15763" w:rsidRPr="00583DD2">
        <w:rPr>
          <w:rFonts w:ascii="Arial" w:hAnsi="Arial" w:cs="Arial"/>
          <w:sz w:val="22"/>
          <w:szCs w:val="22"/>
        </w:rPr>
        <w:t>characterized</w:t>
      </w:r>
      <w:r w:rsidRPr="00583DD2">
        <w:rPr>
          <w:rFonts w:ascii="Arial" w:hAnsi="Arial" w:cs="Arial"/>
          <w:sz w:val="22"/>
          <w:szCs w:val="22"/>
        </w:rPr>
        <w:t xml:space="preserve"> by a developmental crisis. The stage most relevant to adolescence is identity versus role confusion, during which young people explore their values, interests, beliefs, and relationships to develop a stable sense of self. This theory helps explain how online experiences influence adolescent mental health, since social media has become a major platform for communication and self-presentation.</w:t>
      </w:r>
    </w:p>
    <w:p w14:paraId="640724C5" w14:textId="77777777" w:rsidR="0059774B" w:rsidRPr="00583DD2" w:rsidRDefault="005B14FE" w:rsidP="00583DD2">
      <w:pPr>
        <w:spacing w:line="360" w:lineRule="auto"/>
        <w:rPr>
          <w:rFonts w:ascii="Arial" w:hAnsi="Arial" w:cs="Arial"/>
          <w:sz w:val="22"/>
          <w:szCs w:val="22"/>
        </w:rPr>
      </w:pPr>
      <w:r w:rsidRPr="00583DD2">
        <w:rPr>
          <w:rFonts w:ascii="Arial" w:hAnsi="Arial" w:cs="Arial"/>
          <w:sz w:val="22"/>
          <w:szCs w:val="22"/>
        </w:rPr>
        <w:t>Balanced social media use can positively support identity formation. Adolescents can connect with peers who share similar interests while expressing their opinions, creativity, and talents. Online communities can increase self-esteem, provide emotional support, and create a sense of belonging, particularly where face-to-face interaction is limited (Keles, McCrae and Grealish, 2020). As peer relationships become increasingly important during adolescence, social media can strengthen friendships and social support when used appropriately.</w:t>
      </w:r>
    </w:p>
    <w:p w14:paraId="011A7DAD" w14:textId="72777096" w:rsidR="0059774B" w:rsidRPr="00583DD2" w:rsidRDefault="005B14FE" w:rsidP="00583DD2">
      <w:pPr>
        <w:spacing w:line="360" w:lineRule="auto"/>
        <w:rPr>
          <w:rFonts w:ascii="Arial" w:hAnsi="Arial" w:cs="Arial"/>
          <w:sz w:val="22"/>
          <w:szCs w:val="22"/>
        </w:rPr>
      </w:pPr>
      <w:r w:rsidRPr="00583DD2">
        <w:rPr>
          <w:rFonts w:ascii="Arial" w:hAnsi="Arial" w:cs="Arial"/>
          <w:sz w:val="22"/>
          <w:szCs w:val="22"/>
        </w:rPr>
        <w:t>However, Erikson’s theory also explains why social media may contribute to poor mental health. Adolescents are especially sensitive to peer approval because they are actively developing their identities. Social media encourages carefully selected self-presentation, creating pressure to appear attractive, successful, or popular. Many adolescents may judge their self-worth by the number of likes, comments, or followers they receive. When identity development depends on external approval rather than genuine self-acceptance, symptoms of anxiety, depression, and low self-esteem may increase (Keles, McCrae and Grealish, 2020). Exposure to unrealistic lifestyles and beauty standards may also encourage negative social comparison and body dissatisfaction (</w:t>
      </w:r>
      <w:r w:rsidR="003215D4" w:rsidRPr="00583DD2">
        <w:rPr>
          <w:rFonts w:ascii="Arial" w:hAnsi="Arial" w:cs="Arial"/>
          <w:sz w:val="22"/>
          <w:szCs w:val="22"/>
        </w:rPr>
        <w:t>Faddoul</w:t>
      </w:r>
      <w:r w:rsidRPr="00583DD2">
        <w:rPr>
          <w:rFonts w:ascii="Arial" w:hAnsi="Arial" w:cs="Arial"/>
          <w:sz w:val="22"/>
          <w:szCs w:val="22"/>
        </w:rPr>
        <w:t xml:space="preserve"> and Vartanian, 2016).</w:t>
      </w:r>
    </w:p>
    <w:p w14:paraId="7053FCBC" w14:textId="77777777" w:rsidR="0059774B" w:rsidRPr="00583DD2" w:rsidRDefault="005B14FE" w:rsidP="00583DD2">
      <w:pPr>
        <w:spacing w:line="360" w:lineRule="auto"/>
        <w:rPr>
          <w:rFonts w:ascii="Arial" w:hAnsi="Arial" w:cs="Arial"/>
          <w:sz w:val="22"/>
          <w:szCs w:val="22"/>
        </w:rPr>
      </w:pPr>
      <w:r w:rsidRPr="00583DD2">
        <w:rPr>
          <w:rFonts w:ascii="Arial" w:hAnsi="Arial" w:cs="Arial"/>
          <w:sz w:val="22"/>
          <w:szCs w:val="22"/>
        </w:rPr>
        <w:t>Cyberbullying further illustrates Erikson’s theory. Negative comments, online harassment, and public humiliation can damage adolescents’ developing identities because peer acceptance is especially important during this stage. Victims often experience loneliness, anxiety, depression, and shame, while repeated exposure may increase the risk of self-harm and suicidal thoughts (Keles, McCrae and Grealish, 2020). Unlike traditional bullying, cyberbullying can occur at any time and reach a much wider audience, making its psychological effects particularly severe.</w:t>
      </w:r>
    </w:p>
    <w:p w14:paraId="61139C8D" w14:textId="77777777" w:rsidR="0059774B" w:rsidRPr="00583DD2" w:rsidRDefault="005B14FE" w:rsidP="00583DD2">
      <w:pPr>
        <w:spacing w:line="360" w:lineRule="auto"/>
        <w:rPr>
          <w:rFonts w:ascii="Arial" w:hAnsi="Arial" w:cs="Arial"/>
          <w:sz w:val="22"/>
          <w:szCs w:val="22"/>
        </w:rPr>
      </w:pPr>
      <w:r w:rsidRPr="00583DD2">
        <w:rPr>
          <w:rFonts w:ascii="Arial" w:hAnsi="Arial" w:cs="Arial"/>
          <w:sz w:val="22"/>
          <w:szCs w:val="22"/>
        </w:rPr>
        <w:t>One strength of Erikson’s theory is its recognition of the importance of social relationships in adolescent psychological development, demonstrating the close relationship between identity formation, peer acceptance, self-esteem, and mental health. However, identity development is often more flexible than Erikson suggested and may continue into adulthood, and the theory places greater emphasis on psychosocial influences than on biological factors such as genetics, hormones, and brain development (Blakemore, 2019).</w:t>
      </w:r>
    </w:p>
    <w:p w14:paraId="4869B3F3" w14:textId="77777777" w:rsidR="0059774B" w:rsidRPr="00583DD2" w:rsidRDefault="005B14FE" w:rsidP="00583DD2">
      <w:pPr>
        <w:spacing w:line="360" w:lineRule="auto"/>
        <w:rPr>
          <w:rFonts w:ascii="Arial" w:hAnsi="Arial" w:cs="Arial"/>
          <w:sz w:val="22"/>
          <w:szCs w:val="22"/>
        </w:rPr>
      </w:pPr>
      <w:r w:rsidRPr="00583DD2">
        <w:rPr>
          <w:rFonts w:ascii="Arial" w:hAnsi="Arial" w:cs="Arial"/>
          <w:sz w:val="22"/>
          <w:szCs w:val="22"/>
        </w:rPr>
        <w:t>Together, Attachment Theory and Erikson’s theory provide a broader understanding of adolescent mental health than either theory alone. Attachment Theory explains how early relationships influence emotional resilience, while Erikson’s theory explains how identity development and peer acceptance shape adolescents’ responses to social media.</w:t>
      </w:r>
    </w:p>
    <w:p w14:paraId="1A294C3E" w14:textId="0B82E90B" w:rsidR="0059774B" w:rsidRPr="00583DD2" w:rsidRDefault="005B14FE" w:rsidP="00583DD2">
      <w:pPr>
        <w:spacing w:line="360" w:lineRule="auto"/>
        <w:rPr>
          <w:rFonts w:ascii="Arial" w:hAnsi="Arial" w:cs="Arial"/>
          <w:sz w:val="22"/>
          <w:szCs w:val="22"/>
        </w:rPr>
      </w:pPr>
      <w:r w:rsidRPr="00583DD2">
        <w:rPr>
          <w:rFonts w:ascii="Arial" w:hAnsi="Arial" w:cs="Arial"/>
          <w:sz w:val="22"/>
          <w:szCs w:val="22"/>
        </w:rPr>
        <w:t xml:space="preserve">The relationship between social media and adolescent mental health is best understood through the interaction of nature and nurture. Biological development, including hormonal changes, genetic influences, and brain development, affects emotional regulation and </w:t>
      </w:r>
      <w:r w:rsidR="00237E48" w:rsidRPr="00583DD2">
        <w:rPr>
          <w:rFonts w:ascii="Arial" w:hAnsi="Arial" w:cs="Arial"/>
          <w:sz w:val="22"/>
          <w:szCs w:val="22"/>
        </w:rPr>
        <w:t>behavior</w:t>
      </w:r>
      <w:r w:rsidRPr="00583DD2">
        <w:rPr>
          <w:rFonts w:ascii="Arial" w:hAnsi="Arial" w:cs="Arial"/>
          <w:sz w:val="22"/>
          <w:szCs w:val="22"/>
        </w:rPr>
        <w:t xml:space="preserve"> (Blakemore, 2019). Environmental influences, including parenting styles, family relationships, peer support, school environments, socioeconomic conditions, and digital literacy, also shape adolescents’ experiences of social media. Adolescents with supportive home environments and healthy coping strategies may respond very differently to social media than those experiencing emotional difficulties or poor support. This demonstrates that mental health outcomes result from the interaction of biological and environmental influences, and helps explain why, at a population level, the average statistical association between social media use and wellbeing remains small even though some individual adolescents are affected considerably (Orben and Przybylski, 2019).</w:t>
      </w:r>
    </w:p>
    <w:p w14:paraId="3D5EADA2" w14:textId="2A48D30D" w:rsidR="0059774B" w:rsidRPr="00583DD2" w:rsidRDefault="005B14FE" w:rsidP="00583DD2">
      <w:pPr>
        <w:spacing w:line="360" w:lineRule="auto"/>
        <w:rPr>
          <w:rFonts w:ascii="Arial" w:hAnsi="Arial" w:cs="Arial"/>
          <w:sz w:val="22"/>
          <w:szCs w:val="22"/>
        </w:rPr>
      </w:pPr>
      <w:r w:rsidRPr="00583DD2">
        <w:rPr>
          <w:rFonts w:ascii="Arial" w:hAnsi="Arial" w:cs="Arial"/>
          <w:sz w:val="22"/>
          <w:szCs w:val="22"/>
        </w:rPr>
        <w:t xml:space="preserve">Rather than focusing on prohibition, practical responses should </w:t>
      </w:r>
      <w:r w:rsidR="00101D15" w:rsidRPr="00583DD2">
        <w:rPr>
          <w:rFonts w:ascii="Arial" w:hAnsi="Arial" w:cs="Arial"/>
          <w:sz w:val="22"/>
          <w:szCs w:val="22"/>
        </w:rPr>
        <w:t>emphasize</w:t>
      </w:r>
      <w:r w:rsidRPr="00583DD2">
        <w:rPr>
          <w:rFonts w:ascii="Arial" w:hAnsi="Arial" w:cs="Arial"/>
          <w:sz w:val="22"/>
          <w:szCs w:val="22"/>
        </w:rPr>
        <w:t xml:space="preserve"> education, support, and moderation. Digital literacy can help adolescents </w:t>
      </w:r>
      <w:r w:rsidR="006B60D6" w:rsidRPr="00583DD2">
        <w:rPr>
          <w:rFonts w:ascii="Arial" w:hAnsi="Arial" w:cs="Arial"/>
          <w:sz w:val="22"/>
          <w:szCs w:val="22"/>
        </w:rPr>
        <w:t>recognize</w:t>
      </w:r>
      <w:r w:rsidRPr="00583DD2">
        <w:rPr>
          <w:rFonts w:ascii="Arial" w:hAnsi="Arial" w:cs="Arial"/>
          <w:sz w:val="22"/>
          <w:szCs w:val="22"/>
        </w:rPr>
        <w:t xml:space="preserve"> unrealistic online content, think critically about social media, and manage screen time effectively. Parents and carers can support this by modelling healthy online </w:t>
      </w:r>
      <w:r w:rsidR="008A5070" w:rsidRPr="00583DD2">
        <w:rPr>
          <w:rFonts w:ascii="Arial" w:hAnsi="Arial" w:cs="Arial"/>
          <w:sz w:val="22"/>
          <w:szCs w:val="22"/>
        </w:rPr>
        <w:t>behavior</w:t>
      </w:r>
      <w:r w:rsidRPr="00583DD2">
        <w:rPr>
          <w:rFonts w:ascii="Arial" w:hAnsi="Arial" w:cs="Arial"/>
          <w:sz w:val="22"/>
          <w:szCs w:val="22"/>
        </w:rPr>
        <w:t>, setting appropriate boundaries, and encouraging open discussions about online experiences. Health and social care professionals should assess social media use alongside sleep, mood, and peer relationships when supporting adolescents experiencing emotional difficulties (NICE, 2022). Schools can further promote emotional wellbeing, resilience, and online safety through appropriate education and support.</w:t>
      </w:r>
    </w:p>
    <w:p w14:paraId="7437E1C9" w14:textId="77777777" w:rsidR="0059774B" w:rsidRPr="00583DD2" w:rsidRDefault="005B14FE" w:rsidP="00583DD2">
      <w:pPr>
        <w:spacing w:line="360" w:lineRule="auto"/>
        <w:rPr>
          <w:rFonts w:ascii="Arial" w:hAnsi="Arial" w:cs="Arial"/>
          <w:b/>
          <w:bCs/>
          <w:sz w:val="22"/>
          <w:szCs w:val="22"/>
        </w:rPr>
      </w:pPr>
      <w:r w:rsidRPr="00583DD2">
        <w:rPr>
          <w:rFonts w:ascii="Arial" w:hAnsi="Arial" w:cs="Arial"/>
          <w:sz w:val="22"/>
          <w:szCs w:val="22"/>
        </w:rPr>
        <w:t>In finality, social media can promote relationships, identity development, and peer support, but it can also contribute to anxiety, depression, sleep disturbances, and cyberbullying, particularly when use becomes excessive or emotionally dependent (Keles, McCrae and Grealish, 2020). Erikson’s theory explains why identity development makes adolescence especially vulnerable to peer evaluation and social comparison, while Attachment Theory explains how emotional security influences adolescents’ responses to online experiences. Together with the interaction of nature and nurture, these theories demonstrate that the effects of social media depend largely on the individual and their environment. Promoting positive adolescent mental health therefore requires appropriate professional support, working models of attachment, the level of parental involvement, guidance, support, digital literacy, and healthy relationships.​​​​​​​​​​​​​​​​</w:t>
      </w:r>
    </w:p>
    <w:p w14:paraId="1EDDD63B" w14:textId="77777777" w:rsidR="0059774B" w:rsidRPr="00583DD2" w:rsidRDefault="0059774B" w:rsidP="00583DD2">
      <w:pPr>
        <w:spacing w:line="360" w:lineRule="auto"/>
        <w:rPr>
          <w:rFonts w:ascii="Arial" w:hAnsi="Arial" w:cs="Arial"/>
          <w:b/>
          <w:bCs/>
          <w:sz w:val="22"/>
          <w:szCs w:val="22"/>
        </w:rPr>
      </w:pPr>
    </w:p>
    <w:p w14:paraId="3F7052CD" w14:textId="77777777" w:rsidR="0059774B" w:rsidRPr="00583DD2" w:rsidRDefault="0059774B" w:rsidP="00583DD2">
      <w:pPr>
        <w:spacing w:line="360" w:lineRule="auto"/>
        <w:rPr>
          <w:rFonts w:ascii="Arial" w:hAnsi="Arial" w:cs="Arial"/>
          <w:b/>
          <w:bCs/>
          <w:sz w:val="22"/>
          <w:szCs w:val="22"/>
        </w:rPr>
      </w:pPr>
    </w:p>
    <w:p w14:paraId="5DE93444" w14:textId="77777777" w:rsidR="00BB571D" w:rsidRDefault="00BB571D" w:rsidP="00583DD2">
      <w:pPr>
        <w:spacing w:line="360" w:lineRule="auto"/>
        <w:rPr>
          <w:rFonts w:ascii="Arial" w:hAnsi="Arial" w:cs="Arial"/>
          <w:b/>
          <w:bCs/>
          <w:sz w:val="22"/>
          <w:szCs w:val="22"/>
        </w:rPr>
      </w:pPr>
    </w:p>
    <w:p w14:paraId="1279F0A9" w14:textId="77777777" w:rsidR="00BB571D" w:rsidRDefault="00BB571D" w:rsidP="00583DD2">
      <w:pPr>
        <w:spacing w:line="360" w:lineRule="auto"/>
        <w:rPr>
          <w:rFonts w:ascii="Arial" w:hAnsi="Arial" w:cs="Arial"/>
          <w:b/>
          <w:bCs/>
          <w:sz w:val="22"/>
          <w:szCs w:val="22"/>
        </w:rPr>
      </w:pPr>
    </w:p>
    <w:p w14:paraId="37455E5D" w14:textId="77777777" w:rsidR="00BB571D" w:rsidRDefault="00BB571D" w:rsidP="00583DD2">
      <w:pPr>
        <w:spacing w:line="360" w:lineRule="auto"/>
        <w:rPr>
          <w:rFonts w:ascii="Arial" w:hAnsi="Arial" w:cs="Arial"/>
          <w:b/>
          <w:bCs/>
          <w:sz w:val="22"/>
          <w:szCs w:val="22"/>
        </w:rPr>
      </w:pPr>
    </w:p>
    <w:p w14:paraId="287F023C" w14:textId="77777777" w:rsidR="00BB571D" w:rsidRDefault="00BB571D" w:rsidP="00583DD2">
      <w:pPr>
        <w:spacing w:line="360" w:lineRule="auto"/>
        <w:rPr>
          <w:rFonts w:ascii="Arial" w:hAnsi="Arial" w:cs="Arial"/>
          <w:b/>
          <w:bCs/>
          <w:sz w:val="22"/>
          <w:szCs w:val="22"/>
        </w:rPr>
      </w:pPr>
    </w:p>
    <w:p w14:paraId="5325533F" w14:textId="7B41DB17" w:rsidR="0059774B" w:rsidRPr="00583DD2" w:rsidRDefault="005B14FE" w:rsidP="00583DD2">
      <w:pPr>
        <w:spacing w:line="360" w:lineRule="auto"/>
        <w:rPr>
          <w:rFonts w:ascii="Arial" w:hAnsi="Arial" w:cs="Arial"/>
          <w:sz w:val="22"/>
          <w:szCs w:val="22"/>
        </w:rPr>
      </w:pPr>
      <w:r w:rsidRPr="00583DD2">
        <w:rPr>
          <w:rFonts w:ascii="Arial" w:hAnsi="Arial" w:cs="Arial"/>
          <w:b/>
          <w:bCs/>
          <w:sz w:val="22"/>
          <w:szCs w:val="22"/>
        </w:rPr>
        <w:t>Reference List</w:t>
      </w:r>
    </w:p>
    <w:p w14:paraId="59F76A62" w14:textId="58B5A37A" w:rsidR="0059774B" w:rsidRPr="00583DD2" w:rsidRDefault="005B14FE" w:rsidP="00583DD2">
      <w:pPr>
        <w:spacing w:line="360" w:lineRule="auto"/>
        <w:rPr>
          <w:rFonts w:ascii="Arial" w:hAnsi="Arial" w:cs="Arial"/>
          <w:sz w:val="22"/>
          <w:szCs w:val="22"/>
        </w:rPr>
      </w:pPr>
      <w:r w:rsidRPr="00583DD2">
        <w:rPr>
          <w:rFonts w:ascii="Arial" w:hAnsi="Arial" w:cs="Arial"/>
          <w:sz w:val="22"/>
          <w:szCs w:val="22"/>
        </w:rPr>
        <w:t xml:space="preserve">Ainsworth, M.D.S., </w:t>
      </w:r>
      <w:r w:rsidR="00D40532" w:rsidRPr="00583DD2">
        <w:rPr>
          <w:rFonts w:ascii="Arial" w:hAnsi="Arial" w:cs="Arial"/>
          <w:sz w:val="22"/>
          <w:szCs w:val="22"/>
        </w:rPr>
        <w:t>Belhar</w:t>
      </w:r>
      <w:r w:rsidRPr="00583DD2">
        <w:rPr>
          <w:rFonts w:ascii="Arial" w:hAnsi="Arial" w:cs="Arial"/>
          <w:sz w:val="22"/>
          <w:szCs w:val="22"/>
        </w:rPr>
        <w:t>, M.C., Waters, E. and Wall, S. (1978) Patterns of attachment: a psychological study of the strange situation. Hillsdale, NJ: Lawrence Erlbaum Associates.</w:t>
      </w:r>
    </w:p>
    <w:p w14:paraId="03B90AEC" w14:textId="0DB5AD23" w:rsidR="0059774B" w:rsidRPr="00583DD2" w:rsidRDefault="005B14FE" w:rsidP="00583DD2">
      <w:pPr>
        <w:spacing w:line="360" w:lineRule="auto"/>
        <w:rPr>
          <w:rFonts w:ascii="Arial" w:hAnsi="Arial" w:cs="Arial"/>
          <w:sz w:val="22"/>
          <w:szCs w:val="22"/>
        </w:rPr>
      </w:pPr>
      <w:r w:rsidRPr="00583DD2">
        <w:rPr>
          <w:rFonts w:ascii="Arial" w:hAnsi="Arial" w:cs="Arial"/>
          <w:sz w:val="22"/>
          <w:szCs w:val="22"/>
        </w:rPr>
        <w:t xml:space="preserve">American Psychiatrist </w:t>
      </w:r>
      <w:r w:rsidR="004C7224" w:rsidRPr="00583DD2">
        <w:rPr>
          <w:rFonts w:ascii="Arial" w:hAnsi="Arial" w:cs="Arial"/>
          <w:sz w:val="22"/>
          <w:szCs w:val="22"/>
        </w:rPr>
        <w:t>Association (</w:t>
      </w:r>
      <w:r w:rsidRPr="00583DD2">
        <w:rPr>
          <w:rFonts w:ascii="Arial" w:hAnsi="Arial" w:cs="Arial"/>
          <w:sz w:val="22"/>
          <w:szCs w:val="22"/>
        </w:rPr>
        <w:t>2022)</w:t>
      </w:r>
    </w:p>
    <w:p w14:paraId="6CE4A0A0" w14:textId="77777777" w:rsidR="0059774B" w:rsidRPr="00583DD2" w:rsidRDefault="005B14FE" w:rsidP="00583DD2">
      <w:pPr>
        <w:spacing w:line="360" w:lineRule="auto"/>
        <w:rPr>
          <w:rFonts w:ascii="Arial" w:hAnsi="Arial" w:cs="Arial"/>
          <w:sz w:val="22"/>
          <w:szCs w:val="22"/>
        </w:rPr>
      </w:pPr>
      <w:r w:rsidRPr="00583DD2">
        <w:rPr>
          <w:rFonts w:ascii="Arial" w:hAnsi="Arial" w:cs="Arial"/>
          <w:sz w:val="22"/>
          <w:szCs w:val="22"/>
        </w:rPr>
        <w:t>Blakemore, S-J. (2019) 'Adolescence and mental health', The Lancet, 393(10185), pp. 2030-2031. Available at: https://doi.org/10.1016/S0140-6736(19)31013-X (Accessed: 25 July 2026).</w:t>
      </w:r>
    </w:p>
    <w:p w14:paraId="19F3105D" w14:textId="77777777" w:rsidR="0059774B" w:rsidRPr="00583DD2" w:rsidRDefault="005B14FE" w:rsidP="00583DD2">
      <w:pPr>
        <w:spacing w:line="360" w:lineRule="auto"/>
        <w:rPr>
          <w:rFonts w:ascii="Arial" w:hAnsi="Arial" w:cs="Arial"/>
          <w:sz w:val="22"/>
          <w:szCs w:val="22"/>
        </w:rPr>
      </w:pPr>
      <w:r w:rsidRPr="00583DD2">
        <w:rPr>
          <w:rFonts w:ascii="Arial" w:hAnsi="Arial" w:cs="Arial"/>
          <w:sz w:val="22"/>
          <w:szCs w:val="22"/>
        </w:rPr>
        <w:t>Bowlby, J. (1969) Attachment and loss. Vol. 1: Attachment. London: Hogarth Press.</w:t>
      </w:r>
    </w:p>
    <w:p w14:paraId="1CC78B64" w14:textId="77777777" w:rsidR="0059774B" w:rsidRPr="00583DD2" w:rsidRDefault="005B14FE" w:rsidP="00583DD2">
      <w:pPr>
        <w:spacing w:line="360" w:lineRule="auto"/>
        <w:rPr>
          <w:rFonts w:ascii="Arial" w:hAnsi="Arial" w:cs="Arial"/>
          <w:sz w:val="22"/>
          <w:szCs w:val="22"/>
        </w:rPr>
      </w:pPr>
      <w:r w:rsidRPr="00583DD2">
        <w:rPr>
          <w:rFonts w:ascii="Arial" w:hAnsi="Arial" w:cs="Arial"/>
          <w:sz w:val="22"/>
          <w:szCs w:val="22"/>
        </w:rPr>
        <w:t>Erikson, E.H. (1968) Identity: youth and crisis. New York: W.W. Norton &amp; Company.</w:t>
      </w:r>
    </w:p>
    <w:p w14:paraId="2E3B395F" w14:textId="443EBC5E" w:rsidR="0059774B" w:rsidRPr="00583DD2" w:rsidRDefault="00BF11EE" w:rsidP="00583DD2">
      <w:pPr>
        <w:spacing w:line="360" w:lineRule="auto"/>
        <w:rPr>
          <w:rFonts w:ascii="Arial" w:hAnsi="Arial" w:cs="Arial"/>
          <w:sz w:val="22"/>
          <w:szCs w:val="22"/>
        </w:rPr>
      </w:pPr>
      <w:r w:rsidRPr="00583DD2">
        <w:rPr>
          <w:rFonts w:ascii="Arial" w:hAnsi="Arial" w:cs="Arial"/>
          <w:sz w:val="22"/>
          <w:szCs w:val="22"/>
        </w:rPr>
        <w:t>Faddoul</w:t>
      </w:r>
      <w:r w:rsidR="005B14FE" w:rsidRPr="00583DD2">
        <w:rPr>
          <w:rFonts w:ascii="Arial" w:hAnsi="Arial" w:cs="Arial"/>
          <w:sz w:val="22"/>
          <w:szCs w:val="22"/>
        </w:rPr>
        <w:t>, J. and Vartanian, L.R. (2016) 'Social media and body image concerns: current research and future directions', Current Opinion in Psychology, 9, pp. 1-5. Available at: https://doi.org/10.1016/j.copsyc.2015.09.005 (Accessed: 25 July 2026).</w:t>
      </w:r>
    </w:p>
    <w:p w14:paraId="3114B446" w14:textId="77777777" w:rsidR="0059774B" w:rsidRPr="00583DD2" w:rsidRDefault="005B14FE" w:rsidP="00583DD2">
      <w:pPr>
        <w:spacing w:line="360" w:lineRule="auto"/>
        <w:rPr>
          <w:rFonts w:ascii="Arial" w:hAnsi="Arial" w:cs="Arial"/>
          <w:sz w:val="22"/>
          <w:szCs w:val="22"/>
        </w:rPr>
      </w:pPr>
      <w:r w:rsidRPr="00583DD2">
        <w:rPr>
          <w:rFonts w:ascii="Arial" w:hAnsi="Arial" w:cs="Arial"/>
          <w:sz w:val="22"/>
          <w:szCs w:val="22"/>
        </w:rPr>
        <w:t>Keles, B., McCrae, N. and Grealish, A. (2020) 'A systematic review: the influence of social media on depression, anxiety and psychological distress in adolescents', International Journal of Adolescence and Youth, 25(1), pp. 79-93. Available at: https://doi.org/10.1080/02673843.2019.1590851 (Accessed: 25 July 2026).</w:t>
      </w:r>
      <w:r w:rsidRPr="00583DD2">
        <w:rPr>
          <w:rFonts w:ascii="Arial" w:hAnsi="Arial" w:cs="Arial"/>
          <w:sz w:val="22"/>
          <w:szCs w:val="22"/>
        </w:rPr>
        <w:br/>
      </w:r>
    </w:p>
    <w:p w14:paraId="0254B534" w14:textId="77777777" w:rsidR="0059774B" w:rsidRPr="00583DD2" w:rsidRDefault="005B14FE" w:rsidP="00583DD2">
      <w:pPr>
        <w:spacing w:line="360" w:lineRule="auto"/>
        <w:rPr>
          <w:rFonts w:ascii="Arial" w:hAnsi="Arial" w:cs="Arial"/>
          <w:sz w:val="22"/>
          <w:szCs w:val="22"/>
        </w:rPr>
      </w:pPr>
      <w:r w:rsidRPr="00583DD2">
        <w:rPr>
          <w:rFonts w:ascii="Arial" w:hAnsi="Arial" w:cs="Arial"/>
          <w:sz w:val="22"/>
          <w:szCs w:val="22"/>
        </w:rPr>
        <w:t>Kelly, Y., Zilanawala, A., Booker, C. and Sacker, A. (2018) ‘Social media use and adolescent mental health: Findings from the UK Millennium Cohort Study’, EClinicalMedicine, 6, pp. 59–68.</w:t>
      </w:r>
      <w:r w:rsidRPr="00583DD2">
        <w:rPr>
          <w:rFonts w:ascii="Arial" w:hAnsi="Arial" w:cs="Arial"/>
          <w:sz w:val="22"/>
          <w:szCs w:val="22"/>
        </w:rPr>
        <w:br/>
      </w:r>
    </w:p>
    <w:p w14:paraId="06B84238" w14:textId="77777777" w:rsidR="0059774B" w:rsidRPr="00583DD2" w:rsidRDefault="005B14FE" w:rsidP="00583DD2">
      <w:pPr>
        <w:spacing w:line="360" w:lineRule="auto"/>
        <w:rPr>
          <w:rFonts w:ascii="Arial" w:hAnsi="Arial" w:cs="Arial"/>
          <w:sz w:val="22"/>
          <w:szCs w:val="22"/>
        </w:rPr>
      </w:pPr>
      <w:r w:rsidRPr="00583DD2">
        <w:rPr>
          <w:rFonts w:ascii="Arial" w:hAnsi="Arial" w:cs="Arial"/>
          <w:sz w:val="22"/>
          <w:szCs w:val="22"/>
        </w:rPr>
        <w:t>Odgers, C.L. and Jensen, M.R. (2020) ‘Annual Research Review: Adolescent mental health in the digital age: Facts, fears, and future directions’, Journal of Child Psychology and Psychiatry, 61(3), pp. 336–348.</w:t>
      </w:r>
    </w:p>
    <w:p w14:paraId="65D105E8" w14:textId="501BABAE" w:rsidR="0059774B" w:rsidRPr="00583DD2" w:rsidRDefault="005B14FE" w:rsidP="00583DD2">
      <w:pPr>
        <w:spacing w:line="360" w:lineRule="auto"/>
        <w:rPr>
          <w:rFonts w:ascii="Arial" w:hAnsi="Arial" w:cs="Arial"/>
          <w:sz w:val="22"/>
          <w:szCs w:val="22"/>
        </w:rPr>
      </w:pPr>
      <w:r w:rsidRPr="00583DD2">
        <w:rPr>
          <w:rFonts w:ascii="Arial" w:hAnsi="Arial" w:cs="Arial"/>
          <w:sz w:val="22"/>
          <w:szCs w:val="22"/>
        </w:rPr>
        <w:t xml:space="preserve">Valkenburg, P.M., Meier, A. and </w:t>
      </w:r>
      <w:r w:rsidR="00CC1F09" w:rsidRPr="00583DD2">
        <w:rPr>
          <w:rFonts w:ascii="Arial" w:hAnsi="Arial" w:cs="Arial"/>
          <w:sz w:val="22"/>
          <w:szCs w:val="22"/>
        </w:rPr>
        <w:t>Beyen’s</w:t>
      </w:r>
      <w:r w:rsidRPr="00583DD2">
        <w:rPr>
          <w:rFonts w:ascii="Arial" w:hAnsi="Arial" w:cs="Arial"/>
          <w:sz w:val="22"/>
          <w:szCs w:val="22"/>
        </w:rPr>
        <w:t>, I. (2022) ‘Social media use and its impact on adolescent mental health: An umbrella review of the evidence’, Current Opinion in Psychology, 44, Article 101294.National Institute for Health and Care Excellence (NICE) (2022) Depression in children and young people: identification and management. NG134. London: NICE. Available at: https://www.nice.org.uk/guidance/ng134 (Accessed: 25 July 2026).</w:t>
      </w:r>
    </w:p>
    <w:p w14:paraId="1EDC8285" w14:textId="61D66A6F" w:rsidR="0059774B" w:rsidRPr="00583DD2" w:rsidRDefault="005B14FE" w:rsidP="00583DD2">
      <w:pPr>
        <w:spacing w:line="360" w:lineRule="auto"/>
        <w:rPr>
          <w:rFonts w:ascii="Arial" w:hAnsi="Arial" w:cs="Arial"/>
          <w:sz w:val="22"/>
          <w:szCs w:val="22"/>
        </w:rPr>
      </w:pPr>
      <w:r w:rsidRPr="00583DD2">
        <w:rPr>
          <w:rFonts w:ascii="Arial" w:hAnsi="Arial" w:cs="Arial"/>
          <w:sz w:val="22"/>
          <w:szCs w:val="22"/>
        </w:rPr>
        <w:t xml:space="preserve">Orben, A. and Przybylski, A.K. (2019) 'The association between adolescent well-being and digital technology use', Nature Human </w:t>
      </w:r>
      <w:r w:rsidR="009529B4" w:rsidRPr="00583DD2">
        <w:rPr>
          <w:rFonts w:ascii="Arial" w:hAnsi="Arial" w:cs="Arial"/>
          <w:sz w:val="22"/>
          <w:szCs w:val="22"/>
        </w:rPr>
        <w:t>Behavior</w:t>
      </w:r>
      <w:r w:rsidRPr="00583DD2">
        <w:rPr>
          <w:rFonts w:ascii="Arial" w:hAnsi="Arial" w:cs="Arial"/>
          <w:sz w:val="22"/>
          <w:szCs w:val="22"/>
        </w:rPr>
        <w:t>, 3(2), pp. 173-182. Available at: https://doi.org/10.1038/s41562-018-0506-1 (Accessed: 25 July 2026).</w:t>
      </w:r>
    </w:p>
    <w:p w14:paraId="0C87EC6E" w14:textId="77777777" w:rsidR="0059774B" w:rsidRPr="00583DD2" w:rsidRDefault="005B14FE" w:rsidP="00583DD2">
      <w:pPr>
        <w:spacing w:line="360" w:lineRule="auto"/>
        <w:rPr>
          <w:rFonts w:ascii="Arial" w:hAnsi="Arial" w:cs="Arial"/>
          <w:sz w:val="22"/>
          <w:szCs w:val="22"/>
        </w:rPr>
      </w:pPr>
      <w:r w:rsidRPr="00583DD2">
        <w:rPr>
          <w:rFonts w:ascii="Arial" w:hAnsi="Arial" w:cs="Arial"/>
          <w:sz w:val="22"/>
          <w:szCs w:val="22"/>
        </w:rPr>
        <w:t>World Health Organization (2024) Adolescent health. Available at: https://www.who.int/health-topics/adolescent-health (Accessed: 25 July 2026).</w:t>
      </w:r>
    </w:p>
    <w:p w14:paraId="5585EFB5" w14:textId="77777777" w:rsidR="0059774B" w:rsidRPr="00583DD2" w:rsidRDefault="0059774B" w:rsidP="00583DD2">
      <w:pPr>
        <w:spacing w:line="360" w:lineRule="auto"/>
        <w:rPr>
          <w:rFonts w:ascii="Arial" w:hAnsi="Arial" w:cs="Arial"/>
          <w:sz w:val="22"/>
          <w:szCs w:val="22"/>
        </w:rPr>
      </w:pPr>
    </w:p>
    <w:sectPr w:rsidR="0059774B" w:rsidRPr="00583DD2">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66DE96" w14:textId="77777777" w:rsidR="00961609" w:rsidRDefault="00961609">
      <w:pPr>
        <w:spacing w:after="0" w:line="240" w:lineRule="auto"/>
      </w:pPr>
      <w:r>
        <w:separator/>
      </w:r>
    </w:p>
  </w:endnote>
  <w:endnote w:type="continuationSeparator" w:id="0">
    <w:p w14:paraId="3526B037" w14:textId="77777777" w:rsidR="00961609" w:rsidRDefault="009616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Calibri"/>
    <w:charset w:val="00"/>
    <w:family w:val="auto"/>
    <w:pitch w:val="default"/>
    <w:sig w:usb0="E0002AFF" w:usb1="C0007841"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pitch w:val="fixed"/>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2C317E" w14:textId="77777777" w:rsidR="0059774B" w:rsidRDefault="005B14FE">
    <w:pPr>
      <w:pStyle w:val="Footer"/>
      <w:jc w:val="center"/>
    </w:pPr>
    <w:r>
      <w:fldChar w:fldCharType="begin"/>
    </w:r>
    <w:r>
      <w:instrText xml:space="preserve"> PAGE   \* MERGEFORMAT </w:instrText>
    </w:r>
    <w:r>
      <w:fldChar w:fldCharType="separate"/>
    </w:r>
    <w:r>
      <w:t>2</w:t>
    </w:r>
    <w:r>
      <w:fldChar w:fldCharType="end"/>
    </w:r>
  </w:p>
  <w:p w14:paraId="7C736E16" w14:textId="77777777" w:rsidR="0059774B" w:rsidRDefault="005977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63129B" w14:textId="77777777" w:rsidR="00961609" w:rsidRDefault="00961609">
      <w:pPr>
        <w:spacing w:after="0" w:line="240" w:lineRule="auto"/>
      </w:pPr>
      <w:r>
        <w:separator/>
      </w:r>
    </w:p>
  </w:footnote>
  <w:footnote w:type="continuationSeparator" w:id="0">
    <w:p w14:paraId="5FB2A91A" w14:textId="77777777" w:rsidR="00961609" w:rsidRDefault="0096160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774B"/>
    <w:rsid w:val="000B237E"/>
    <w:rsid w:val="00101D15"/>
    <w:rsid w:val="00225F53"/>
    <w:rsid w:val="00237E48"/>
    <w:rsid w:val="002658C2"/>
    <w:rsid w:val="003215D4"/>
    <w:rsid w:val="0034163B"/>
    <w:rsid w:val="00354A93"/>
    <w:rsid w:val="00484B55"/>
    <w:rsid w:val="004B7C25"/>
    <w:rsid w:val="004C7224"/>
    <w:rsid w:val="00514F1D"/>
    <w:rsid w:val="00557F70"/>
    <w:rsid w:val="00583DD2"/>
    <w:rsid w:val="0059774B"/>
    <w:rsid w:val="005B14FE"/>
    <w:rsid w:val="006317DF"/>
    <w:rsid w:val="006B60D6"/>
    <w:rsid w:val="007D4B83"/>
    <w:rsid w:val="008A5070"/>
    <w:rsid w:val="009529B4"/>
    <w:rsid w:val="00961609"/>
    <w:rsid w:val="00A429A2"/>
    <w:rsid w:val="00A76862"/>
    <w:rsid w:val="00B57718"/>
    <w:rsid w:val="00BB571D"/>
    <w:rsid w:val="00BD0AD7"/>
    <w:rsid w:val="00BF11EE"/>
    <w:rsid w:val="00C15763"/>
    <w:rsid w:val="00CC1F09"/>
    <w:rsid w:val="00D03C59"/>
    <w:rsid w:val="00D40532"/>
    <w:rsid w:val="00E4012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1846891B"/>
  <w15:docId w15:val="{977B29C6-3CC1-469B-8E51-387027701D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8" w:lineRule="auto"/>
    </w:pPr>
    <w:rPr>
      <w:rFonts w:ascii="Calibri" w:eastAsia="Calibri" w:hAnsi="Calibri" w:cs="SimSun"/>
      <w:kern w:val="2"/>
      <w:sz w:val="24"/>
      <w:szCs w:val="24"/>
    </w:rPr>
  </w:style>
  <w:style w:type="paragraph" w:styleId="Heading1">
    <w:name w:val="heading 1"/>
    <w:basedOn w:val="Normal"/>
    <w:next w:val="Normal"/>
    <w:link w:val="Heading1Char"/>
    <w:uiPriority w:val="9"/>
    <w:qFormat/>
    <w:pPr>
      <w:keepNext/>
      <w:keepLines/>
      <w:spacing w:before="360" w:after="80"/>
      <w:outlineLvl w:val="0"/>
    </w:pPr>
    <w:rPr>
      <w:rFonts w:ascii="Calibri Light" w:eastAsia="DengXian Light" w:hAnsi="Calibri Light"/>
      <w:color w:val="2F5597"/>
      <w:sz w:val="40"/>
      <w:szCs w:val="40"/>
    </w:rPr>
  </w:style>
  <w:style w:type="paragraph" w:styleId="Heading2">
    <w:name w:val="heading 2"/>
    <w:basedOn w:val="Normal"/>
    <w:next w:val="Normal"/>
    <w:link w:val="Heading2Char"/>
    <w:uiPriority w:val="9"/>
    <w:semiHidden/>
    <w:unhideWhenUsed/>
    <w:qFormat/>
    <w:pPr>
      <w:keepNext/>
      <w:keepLines/>
      <w:spacing w:before="160" w:after="80"/>
      <w:outlineLvl w:val="1"/>
    </w:pPr>
    <w:rPr>
      <w:rFonts w:ascii="Calibri Light" w:eastAsia="DengXian Light" w:hAnsi="Calibri Light"/>
      <w:color w:val="2F5597"/>
      <w:sz w:val="32"/>
      <w:szCs w:val="32"/>
    </w:rPr>
  </w:style>
  <w:style w:type="paragraph" w:styleId="Heading3">
    <w:name w:val="heading 3"/>
    <w:basedOn w:val="Normal"/>
    <w:next w:val="Normal"/>
    <w:link w:val="Heading3Char"/>
    <w:uiPriority w:val="9"/>
    <w:semiHidden/>
    <w:unhideWhenUsed/>
    <w:qFormat/>
    <w:pPr>
      <w:keepNext/>
      <w:keepLines/>
      <w:spacing w:before="160" w:after="80"/>
      <w:outlineLvl w:val="2"/>
    </w:pPr>
    <w:rPr>
      <w:rFonts w:eastAsia="DengXian Light"/>
      <w:color w:val="2F5597"/>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rFonts w:eastAsia="DengXian Light"/>
      <w:i/>
      <w:iCs/>
      <w:color w:val="2F5597"/>
    </w:rPr>
  </w:style>
  <w:style w:type="paragraph" w:styleId="Heading5">
    <w:name w:val="heading 5"/>
    <w:basedOn w:val="Normal"/>
    <w:next w:val="Normal"/>
    <w:link w:val="Heading5Char"/>
    <w:uiPriority w:val="9"/>
    <w:semiHidden/>
    <w:unhideWhenUsed/>
    <w:qFormat/>
    <w:pPr>
      <w:keepNext/>
      <w:keepLines/>
      <w:spacing w:before="80" w:after="40"/>
      <w:outlineLvl w:val="4"/>
    </w:pPr>
    <w:rPr>
      <w:rFonts w:eastAsia="DengXian Light"/>
      <w:color w:val="2F5597"/>
    </w:rPr>
  </w:style>
  <w:style w:type="paragraph" w:styleId="Heading6">
    <w:name w:val="heading 6"/>
    <w:basedOn w:val="Normal"/>
    <w:next w:val="Normal"/>
    <w:link w:val="Heading6Char"/>
    <w:uiPriority w:val="9"/>
    <w:semiHidden/>
    <w:unhideWhenUsed/>
    <w:qFormat/>
    <w:pPr>
      <w:keepNext/>
      <w:keepLines/>
      <w:spacing w:before="40" w:after="0"/>
      <w:outlineLvl w:val="5"/>
    </w:pPr>
    <w:rPr>
      <w:rFonts w:eastAsia="DengXian Light"/>
      <w:i/>
      <w:iCs/>
      <w:color w:val="595959"/>
    </w:rPr>
  </w:style>
  <w:style w:type="paragraph" w:styleId="Heading7">
    <w:name w:val="heading 7"/>
    <w:basedOn w:val="Normal"/>
    <w:next w:val="Normal"/>
    <w:link w:val="Heading7Char"/>
    <w:uiPriority w:val="9"/>
    <w:qFormat/>
    <w:pPr>
      <w:keepNext/>
      <w:keepLines/>
      <w:spacing w:before="40" w:after="0"/>
      <w:outlineLvl w:val="6"/>
    </w:pPr>
    <w:rPr>
      <w:rFonts w:eastAsia="DengXian Light"/>
      <w:color w:val="595959"/>
    </w:rPr>
  </w:style>
  <w:style w:type="paragraph" w:styleId="Heading8">
    <w:name w:val="heading 8"/>
    <w:basedOn w:val="Normal"/>
    <w:next w:val="Normal"/>
    <w:link w:val="Heading8Char"/>
    <w:uiPriority w:val="9"/>
    <w:qFormat/>
    <w:pPr>
      <w:keepNext/>
      <w:keepLines/>
      <w:spacing w:after="0"/>
      <w:outlineLvl w:val="7"/>
    </w:pPr>
    <w:rPr>
      <w:rFonts w:eastAsia="DengXian Light"/>
      <w:i/>
      <w:iCs/>
      <w:color w:val="262626"/>
    </w:rPr>
  </w:style>
  <w:style w:type="paragraph" w:styleId="Heading9">
    <w:name w:val="heading 9"/>
    <w:basedOn w:val="Normal"/>
    <w:next w:val="Normal"/>
    <w:link w:val="Heading9Char"/>
    <w:uiPriority w:val="9"/>
    <w:qFormat/>
    <w:pPr>
      <w:keepNext/>
      <w:keepLines/>
      <w:spacing w:after="0"/>
      <w:outlineLvl w:val="8"/>
    </w:pPr>
    <w:rPr>
      <w:rFonts w:eastAsia="DengXian Light"/>
      <w:color w:val="2626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qFormat/>
    <w:pPr>
      <w:spacing w:after="200" w:line="240" w:lineRule="auto"/>
    </w:pPr>
    <w:rPr>
      <w:i/>
      <w:iCs/>
      <w:color w:val="44546A"/>
      <w:sz w:val="18"/>
      <w:szCs w:val="18"/>
    </w:rPr>
  </w:style>
  <w:style w:type="paragraph" w:styleId="Footer">
    <w:name w:val="footer"/>
    <w:basedOn w:val="Normal"/>
    <w:link w:val="FooterChar"/>
    <w:uiPriority w:val="99"/>
    <w:pPr>
      <w:tabs>
        <w:tab w:val="center" w:pos="4680"/>
        <w:tab w:val="right" w:pos="9360"/>
      </w:tabs>
      <w:spacing w:after="0" w:line="240" w:lineRule="auto"/>
    </w:pPr>
  </w:style>
  <w:style w:type="paragraph" w:styleId="Header">
    <w:name w:val="header"/>
    <w:basedOn w:val="Normal"/>
    <w:link w:val="HeaderChar"/>
    <w:uiPriority w:val="99"/>
    <w:pPr>
      <w:tabs>
        <w:tab w:val="center" w:pos="4680"/>
        <w:tab w:val="right" w:pos="9360"/>
      </w:tabs>
      <w:spacing w:after="0" w:line="240" w:lineRule="auto"/>
    </w:pPr>
  </w:style>
  <w:style w:type="paragraph" w:styleId="Subtitle">
    <w:name w:val="Subtitle"/>
    <w:basedOn w:val="Normal"/>
    <w:next w:val="Normal"/>
    <w:link w:val="SubtitleChar"/>
    <w:uiPriority w:val="11"/>
    <w:qFormat/>
    <w:rPr>
      <w:rFonts w:eastAsia="DengXian Light"/>
      <w:color w:val="595959"/>
      <w:spacing w:val="15"/>
      <w:sz w:val="28"/>
      <w:szCs w:val="28"/>
    </w:rPr>
  </w:style>
  <w:style w:type="paragraph" w:styleId="Title">
    <w:name w:val="Title"/>
    <w:basedOn w:val="Normal"/>
    <w:next w:val="Normal"/>
    <w:link w:val="TitleChar"/>
    <w:uiPriority w:val="10"/>
    <w:qFormat/>
    <w:pPr>
      <w:spacing w:after="80" w:line="240" w:lineRule="auto"/>
      <w:contextualSpacing/>
    </w:pPr>
    <w:rPr>
      <w:rFonts w:ascii="Calibri Light" w:eastAsia="DengXian Light" w:hAnsi="Calibri Light"/>
      <w:spacing w:val="-10"/>
      <w:kern w:val="28"/>
      <w:sz w:val="56"/>
      <w:szCs w:val="56"/>
    </w:rPr>
  </w:style>
  <w:style w:type="character" w:customStyle="1" w:styleId="Heading1Char">
    <w:name w:val="Heading 1 Char"/>
    <w:basedOn w:val="DefaultParagraphFont"/>
    <w:link w:val="Heading1"/>
    <w:uiPriority w:val="9"/>
    <w:rPr>
      <w:rFonts w:ascii="Calibri Light" w:eastAsia="DengXian Light" w:hAnsi="Calibri Light" w:cs="SimSun"/>
      <w:color w:val="2F5597"/>
      <w:sz w:val="40"/>
      <w:szCs w:val="40"/>
    </w:rPr>
  </w:style>
  <w:style w:type="character" w:customStyle="1" w:styleId="Heading2Char">
    <w:name w:val="Heading 2 Char"/>
    <w:basedOn w:val="DefaultParagraphFont"/>
    <w:link w:val="Heading2"/>
    <w:uiPriority w:val="9"/>
    <w:rPr>
      <w:rFonts w:ascii="Calibri Light" w:eastAsia="DengXian Light" w:hAnsi="Calibri Light" w:cs="SimSun"/>
      <w:color w:val="2F5597"/>
      <w:sz w:val="32"/>
      <w:szCs w:val="32"/>
    </w:rPr>
  </w:style>
  <w:style w:type="character" w:customStyle="1" w:styleId="Heading3Char">
    <w:name w:val="Heading 3 Char"/>
    <w:basedOn w:val="DefaultParagraphFont"/>
    <w:link w:val="Heading3"/>
    <w:uiPriority w:val="9"/>
    <w:rPr>
      <w:rFonts w:eastAsia="DengXian Light" w:cs="SimSun"/>
      <w:color w:val="2F5597"/>
      <w:sz w:val="28"/>
      <w:szCs w:val="28"/>
    </w:rPr>
  </w:style>
  <w:style w:type="character" w:customStyle="1" w:styleId="Heading4Char">
    <w:name w:val="Heading 4 Char"/>
    <w:basedOn w:val="DefaultParagraphFont"/>
    <w:link w:val="Heading4"/>
    <w:uiPriority w:val="9"/>
    <w:rPr>
      <w:rFonts w:eastAsia="DengXian Light" w:cs="SimSun"/>
      <w:i/>
      <w:iCs/>
      <w:color w:val="2F5597"/>
    </w:rPr>
  </w:style>
  <w:style w:type="character" w:customStyle="1" w:styleId="Heading5Char">
    <w:name w:val="Heading 5 Char"/>
    <w:basedOn w:val="DefaultParagraphFont"/>
    <w:link w:val="Heading5"/>
    <w:uiPriority w:val="9"/>
    <w:rPr>
      <w:rFonts w:eastAsia="DengXian Light" w:cs="SimSun"/>
      <w:color w:val="2F5597"/>
    </w:rPr>
  </w:style>
  <w:style w:type="character" w:customStyle="1" w:styleId="Heading6Char">
    <w:name w:val="Heading 6 Char"/>
    <w:basedOn w:val="DefaultParagraphFont"/>
    <w:link w:val="Heading6"/>
    <w:uiPriority w:val="9"/>
    <w:rPr>
      <w:rFonts w:eastAsia="DengXian Light" w:cs="SimSun"/>
      <w:i/>
      <w:iCs/>
      <w:color w:val="595959"/>
    </w:rPr>
  </w:style>
  <w:style w:type="character" w:customStyle="1" w:styleId="Heading7Char">
    <w:name w:val="Heading 7 Char"/>
    <w:basedOn w:val="DefaultParagraphFont"/>
    <w:link w:val="Heading7"/>
    <w:uiPriority w:val="9"/>
    <w:rPr>
      <w:rFonts w:eastAsia="DengXian Light" w:cs="SimSun"/>
      <w:color w:val="595959"/>
    </w:rPr>
  </w:style>
  <w:style w:type="character" w:customStyle="1" w:styleId="Heading8Char">
    <w:name w:val="Heading 8 Char"/>
    <w:basedOn w:val="DefaultParagraphFont"/>
    <w:link w:val="Heading8"/>
    <w:uiPriority w:val="9"/>
    <w:rPr>
      <w:rFonts w:eastAsia="DengXian Light" w:cs="SimSun"/>
      <w:i/>
      <w:iCs/>
      <w:color w:val="262626"/>
    </w:rPr>
  </w:style>
  <w:style w:type="character" w:customStyle="1" w:styleId="Heading9Char">
    <w:name w:val="Heading 9 Char"/>
    <w:basedOn w:val="DefaultParagraphFont"/>
    <w:link w:val="Heading9"/>
    <w:uiPriority w:val="9"/>
    <w:rPr>
      <w:rFonts w:eastAsia="DengXian Light" w:cs="SimSun"/>
      <w:color w:val="262626"/>
    </w:rPr>
  </w:style>
  <w:style w:type="character" w:customStyle="1" w:styleId="TitleChar">
    <w:name w:val="Title Char"/>
    <w:basedOn w:val="DefaultParagraphFont"/>
    <w:link w:val="Title"/>
    <w:uiPriority w:val="10"/>
    <w:rPr>
      <w:rFonts w:ascii="Calibri Light" w:eastAsia="DengXian Light" w:hAnsi="Calibri Light" w:cs="SimSun"/>
      <w:spacing w:val="-10"/>
      <w:kern w:val="28"/>
      <w:sz w:val="56"/>
      <w:szCs w:val="56"/>
    </w:rPr>
  </w:style>
  <w:style w:type="character" w:customStyle="1" w:styleId="SubtitleChar">
    <w:name w:val="Subtitle Char"/>
    <w:basedOn w:val="DefaultParagraphFont"/>
    <w:link w:val="Subtitle"/>
    <w:uiPriority w:val="11"/>
    <w:rPr>
      <w:rFonts w:eastAsia="DengXian Light" w:cs="SimSun"/>
      <w:color w:val="595959"/>
      <w:spacing w:val="15"/>
      <w:sz w:val="28"/>
      <w:szCs w:val="28"/>
    </w:rPr>
  </w:style>
  <w:style w:type="paragraph" w:customStyle="1" w:styleId="Quote1">
    <w:name w:val="Quote1"/>
    <w:basedOn w:val="Normal"/>
    <w:next w:val="Normal"/>
    <w:link w:val="QuoteChar4babaebf-d32a-44f2-bb77-c5a7ba1ccf7d"/>
    <w:uiPriority w:val="29"/>
    <w:qFormat/>
    <w:pPr>
      <w:spacing w:before="160"/>
      <w:jc w:val="center"/>
    </w:pPr>
    <w:rPr>
      <w:i/>
      <w:iCs/>
      <w:color w:val="3F3F3F"/>
    </w:rPr>
  </w:style>
  <w:style w:type="character" w:customStyle="1" w:styleId="QuoteChar4babaebf-d32a-44f2-bb77-c5a7ba1ccf7d">
    <w:name w:val="Quote Char_4babaebf-d32a-44f2-bb77-c5a7ba1ccf7d"/>
    <w:basedOn w:val="DefaultParagraphFont"/>
    <w:link w:val="Quote1"/>
    <w:uiPriority w:val="29"/>
    <w:rPr>
      <w:i/>
      <w:iCs/>
      <w:color w:val="3F3F3F"/>
    </w:rPr>
  </w:style>
  <w:style w:type="paragraph" w:customStyle="1" w:styleId="ListParagraph1">
    <w:name w:val="List Paragraph1"/>
    <w:basedOn w:val="Normal"/>
    <w:uiPriority w:val="34"/>
    <w:qFormat/>
    <w:pPr>
      <w:ind w:left="720"/>
      <w:contextualSpacing/>
    </w:pPr>
  </w:style>
  <w:style w:type="character" w:customStyle="1" w:styleId="IntenseEmphasis1">
    <w:name w:val="Intense Emphasis1"/>
    <w:basedOn w:val="DefaultParagraphFont"/>
    <w:uiPriority w:val="21"/>
    <w:qFormat/>
    <w:rPr>
      <w:i/>
      <w:iCs/>
      <w:color w:val="2F5597"/>
    </w:rPr>
  </w:style>
  <w:style w:type="paragraph" w:customStyle="1" w:styleId="IntenseQuote1">
    <w:name w:val="Intense Quote1"/>
    <w:basedOn w:val="Normal"/>
    <w:next w:val="Normal"/>
    <w:link w:val="IntenseQuoteCharf53586eb-edc2-410f-8bd1-276bd4d44750"/>
    <w:uiPriority w:val="30"/>
    <w:qFormat/>
    <w:pPr>
      <w:pBdr>
        <w:top w:val="single" w:sz="4" w:space="10" w:color="2F5496"/>
        <w:bottom w:val="single" w:sz="4" w:space="10" w:color="2F5496"/>
      </w:pBdr>
      <w:spacing w:before="360" w:after="360"/>
      <w:ind w:left="864" w:right="864"/>
      <w:jc w:val="center"/>
    </w:pPr>
    <w:rPr>
      <w:i/>
      <w:iCs/>
      <w:color w:val="2F5597"/>
    </w:rPr>
  </w:style>
  <w:style w:type="character" w:customStyle="1" w:styleId="IntenseQuoteCharf53586eb-edc2-410f-8bd1-276bd4d44750">
    <w:name w:val="Intense Quote Char_f53586eb-edc2-410f-8bd1-276bd4d44750"/>
    <w:basedOn w:val="DefaultParagraphFont"/>
    <w:link w:val="IntenseQuote1"/>
    <w:uiPriority w:val="30"/>
    <w:rPr>
      <w:i/>
      <w:iCs/>
      <w:color w:val="2F5597"/>
    </w:rPr>
  </w:style>
  <w:style w:type="character" w:customStyle="1" w:styleId="IntenseReference1">
    <w:name w:val="Intense Reference1"/>
    <w:basedOn w:val="DefaultParagraphFont"/>
    <w:uiPriority w:val="32"/>
    <w:qFormat/>
    <w:rPr>
      <w:b/>
      <w:bCs/>
      <w:smallCaps/>
      <w:color w:val="2F5597"/>
      <w:spacing w:val="5"/>
    </w:rPr>
  </w:style>
  <w:style w:type="character" w:customStyle="1" w:styleId="HeaderChar">
    <w:name w:val="Header Char"/>
    <w:basedOn w:val="DefaultParagraphFont"/>
    <w:link w:val="Header"/>
    <w:uiPriority w:val="99"/>
    <w:rPr>
      <w:rFonts w:ascii="Calibri" w:eastAsia="Calibri" w:hAnsi="Calibri" w:cs="SimSun"/>
      <w:kern w:val="2"/>
      <w:sz w:val="24"/>
      <w:szCs w:val="24"/>
    </w:rPr>
  </w:style>
  <w:style w:type="character" w:customStyle="1" w:styleId="FooterChar">
    <w:name w:val="Footer Char"/>
    <w:basedOn w:val="DefaultParagraphFont"/>
    <w:link w:val="Footer"/>
    <w:uiPriority w:val="99"/>
    <w:rPr>
      <w:rFonts w:ascii="Calibri" w:eastAsia="Calibri" w:hAnsi="Calibri" w:cs="SimSun"/>
      <w:kern w:val="2"/>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0</Pages>
  <Words>0</Words>
  <Characters>0</Characters>
  <Application>Microsoft Office Word</Application>
  <DocSecurity>4</DocSecurity>
  <Lines>0</Lines>
  <Paragraphs>0</Paragraphs>
  <ScaleCrop>false</ScaleCrop>
  <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abiodun adenuga</dc:creator>
  <cp:keywords/>
  <cp:lastModifiedBy>Abosede Banjo (2516291)</cp:lastModifiedBy>
  <cp:revision>2</cp:revision>
  <dcterms:created xsi:type="dcterms:W3CDTF">2026-08-01T08:48:00Z</dcterms:created>
  <dcterms:modified xsi:type="dcterms:W3CDTF">2026-08-01T08:57:00Z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5e5e7b004e0c4d909a141e67aff9a1fe_23</vt:lpwstr>
  </property>
  <property fmtid="{D5CDD505-2E9C-101B-9397-08002B2CF9AE}" pid="3" name="KSOProductBuildVer">
    <vt:lpwstr>1033-11.34.01</vt:lpwstr>
  </property>
</Properties>
</file>