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75120A" w14:textId="77777777" w:rsidR="00925B43" w:rsidRDefault="00390362" w:rsidP="00390362">
      <w:pPr>
        <w:jc w:val="center"/>
        <w:rPr>
          <w:sz w:val="32"/>
          <w:szCs w:val="32"/>
          <w:u w:val="single"/>
        </w:rPr>
      </w:pPr>
      <w:r w:rsidRPr="00390362">
        <w:rPr>
          <w:sz w:val="32"/>
          <w:szCs w:val="32"/>
          <w:u w:val="single"/>
        </w:rPr>
        <w:t>Herodotus 5.51</w:t>
      </w:r>
    </w:p>
    <w:p w14:paraId="1B42015F" w14:textId="77777777" w:rsidR="00390362" w:rsidRDefault="00390362" w:rsidP="00390362">
      <w:pPr>
        <w:jc w:val="center"/>
        <w:rPr>
          <w:sz w:val="32"/>
          <w:szCs w:val="32"/>
          <w:u w:val="single"/>
        </w:rPr>
      </w:pPr>
    </w:p>
    <w:p w14:paraId="4E3B572D" w14:textId="77777777" w:rsidR="00390362" w:rsidRDefault="00390362" w:rsidP="00390362">
      <w:pPr>
        <w:jc w:val="center"/>
        <w:rPr>
          <w:sz w:val="32"/>
          <w:szCs w:val="32"/>
          <w:u w:val="single"/>
        </w:rPr>
      </w:pPr>
    </w:p>
    <w:p w14:paraId="558C45FE" w14:textId="3FFB63E6" w:rsidR="00390362" w:rsidRDefault="00095693" w:rsidP="004528F7">
      <w:r>
        <w:tab/>
      </w:r>
      <w:r w:rsidR="0049659D">
        <w:t xml:space="preserve">Herodotus, born in </w:t>
      </w:r>
      <w:r w:rsidR="00BC208B">
        <w:t>approximately 485 BC</w:t>
      </w:r>
      <w:r w:rsidR="00BC208B">
        <w:rPr>
          <w:rStyle w:val="FootnoteReference"/>
        </w:rPr>
        <w:footnoteReference w:id="1"/>
      </w:r>
      <w:r w:rsidR="00BC208B">
        <w:t>, is the only ancient source available which documents the events of the Ionian Revolt.</w:t>
      </w:r>
      <w:r w:rsidR="006E0CD9">
        <w:t xml:space="preserve"> His </w:t>
      </w:r>
      <w:r>
        <w:t>information comes from speaking with locals</w:t>
      </w:r>
      <w:r w:rsidR="00812B5B">
        <w:t xml:space="preserve"> and listening to oral traditions</w:t>
      </w:r>
      <w:r w:rsidR="005654A3">
        <w:t xml:space="preserve"> of those with knowledge of the event.</w:t>
      </w:r>
      <w:r w:rsidR="005654A3">
        <w:rPr>
          <w:rStyle w:val="FootnoteReference"/>
        </w:rPr>
        <w:footnoteReference w:id="2"/>
      </w:r>
      <w:r w:rsidR="00BE350C">
        <w:t xml:space="preserve"> The text which is found in </w:t>
      </w:r>
      <w:r w:rsidR="00A708FC">
        <w:t xml:space="preserve">5.51 </w:t>
      </w:r>
      <w:r w:rsidR="00BE350C">
        <w:t xml:space="preserve">of his </w:t>
      </w:r>
      <w:r w:rsidR="00BE350C">
        <w:rPr>
          <w:i/>
        </w:rPr>
        <w:t xml:space="preserve">Histories </w:t>
      </w:r>
      <w:r w:rsidR="002630BF">
        <w:t xml:space="preserve">outlines the events </w:t>
      </w:r>
      <w:r w:rsidR="00856432">
        <w:t xml:space="preserve">which lead to </w:t>
      </w:r>
      <w:r w:rsidR="004E4243">
        <w:t>Cleomenes r</w:t>
      </w:r>
      <w:r w:rsidR="00856432">
        <w:t xml:space="preserve">ejecting the plea of Aristagoras to aid </w:t>
      </w:r>
      <w:r w:rsidR="00EB4D88">
        <w:t xml:space="preserve">Ionians in their </w:t>
      </w:r>
      <w:r w:rsidR="00E70FDB">
        <w:t xml:space="preserve">secession from Persian power. </w:t>
      </w:r>
      <w:r w:rsidR="003F0637">
        <w:t>He discusses the lengths to which Aristagoras would go to ensure Spartan aid, and the</w:t>
      </w:r>
      <w:r w:rsidR="004C2E06">
        <w:t xml:space="preserve"> apparent</w:t>
      </w:r>
      <w:r w:rsidR="003F0637">
        <w:t xml:space="preserve"> reason why Cleomenes refused. </w:t>
      </w:r>
      <w:r w:rsidR="008342F1">
        <w:t xml:space="preserve">Consequently, Ionia was unsuccessful in their revolution </w:t>
      </w:r>
      <w:r w:rsidR="0001402B">
        <w:t>and Sparta began to consider a drastic change in relations with her allies which lead to the foundi</w:t>
      </w:r>
      <w:r w:rsidR="00E43342">
        <w:t>ng of the Peloponnesian League.</w:t>
      </w:r>
      <w:r w:rsidR="00E43342">
        <w:rPr>
          <w:rStyle w:val="FootnoteReference"/>
        </w:rPr>
        <w:footnoteReference w:id="3"/>
      </w:r>
    </w:p>
    <w:p w14:paraId="17355500" w14:textId="7B994B48" w:rsidR="005D30A2" w:rsidRDefault="003478D8" w:rsidP="004528F7">
      <w:r>
        <w:tab/>
      </w:r>
      <w:r w:rsidR="00173181">
        <w:t>The issue of reliability when it comes to Herodotus’ account of the Ionian Revolt is something that is greatly commented on in scholarship.</w:t>
      </w:r>
      <w:r w:rsidR="00562C14">
        <w:t xml:space="preserve"> </w:t>
      </w:r>
      <w:r w:rsidR="004F27FE">
        <w:t>J. A. S. Evans outlines</w:t>
      </w:r>
      <w:r w:rsidR="00D15E0E">
        <w:rPr>
          <w:rStyle w:val="FootnoteReference"/>
        </w:rPr>
        <w:footnoteReference w:id="4"/>
      </w:r>
      <w:r w:rsidR="00AE5E00">
        <w:t xml:space="preserve"> a huge amount of bias which leads to </w:t>
      </w:r>
      <w:r w:rsidR="00201CCC">
        <w:t xml:space="preserve">a </w:t>
      </w:r>
      <w:r w:rsidR="00AE5E00">
        <w:t xml:space="preserve">narrow, disparaging, and </w:t>
      </w:r>
      <w:r w:rsidR="003C2750">
        <w:t>unfair retelling of the events which took place around 499 BC.</w:t>
      </w:r>
      <w:r w:rsidR="00FC2CA2">
        <w:rPr>
          <w:rStyle w:val="FootnoteReference"/>
        </w:rPr>
        <w:footnoteReference w:id="5"/>
      </w:r>
      <w:r w:rsidR="000E21EB">
        <w:t xml:space="preserve"> Whether or not that bias effe</w:t>
      </w:r>
      <w:r w:rsidR="008F7718">
        <w:t>cted Herodotus’</w:t>
      </w:r>
      <w:r w:rsidR="000E21EB">
        <w:t xml:space="preserve"> report of the conversation between Cleomenes and Aristagoras is up for debate. </w:t>
      </w:r>
    </w:p>
    <w:p w14:paraId="7AE66CCA" w14:textId="60B5083D" w:rsidR="003478D8" w:rsidRDefault="005D30A2" w:rsidP="004528F7">
      <w:r>
        <w:tab/>
        <w:t xml:space="preserve">The passages </w:t>
      </w:r>
      <w:r w:rsidR="004F11A1">
        <w:t>shown in 5.51 read like a story rather than a</w:t>
      </w:r>
      <w:r w:rsidR="0031100D">
        <w:t xml:space="preserve"> historical</w:t>
      </w:r>
      <w:r w:rsidR="004F11A1">
        <w:t xml:space="preserve"> </w:t>
      </w:r>
      <w:r w:rsidR="008F7718">
        <w:t>document</w:t>
      </w:r>
      <w:r w:rsidR="004F11A1">
        <w:t>.</w:t>
      </w:r>
      <w:r w:rsidR="00AF1903">
        <w:t xml:space="preserve"> </w:t>
      </w:r>
      <w:r w:rsidR="002D72A8">
        <w:t>It appears that the reason for Cleomenes’ refusal was</w:t>
      </w:r>
      <w:r w:rsidR="00F84EA6">
        <w:t xml:space="preserve"> fairly</w:t>
      </w:r>
      <w:r w:rsidR="002D72A8">
        <w:t xml:space="preserve"> trivial, as he took the advice of his young daughter to influence a major decision. </w:t>
      </w:r>
      <w:r>
        <w:t xml:space="preserve">This retelling could be entirely fictional and fueled by a resentment for the Ionian Revolt altogether, </w:t>
      </w:r>
      <w:r w:rsidR="00F84EA6">
        <w:t>or he could</w:t>
      </w:r>
      <w:r w:rsidR="000A041B">
        <w:t xml:space="preserve"> have</w:t>
      </w:r>
      <w:r w:rsidR="00F84EA6">
        <w:t xml:space="preserve"> genuinely believe</w:t>
      </w:r>
      <w:r w:rsidR="000A041B">
        <w:t>d</w:t>
      </w:r>
      <w:r w:rsidR="00F84EA6">
        <w:t xml:space="preserve"> that </w:t>
      </w:r>
      <w:r w:rsidR="00D417E3">
        <w:t xml:space="preserve">the conversation happened between the two leaders. </w:t>
      </w:r>
      <w:r w:rsidR="002661C8">
        <w:t xml:space="preserve">According to Herodotus, the only reason that Cleomenes had for rejecting Aristagoras was his daughter’s insistence that </w:t>
      </w:r>
      <w:r w:rsidR="00423C7F">
        <w:t>the amount of money being offered would ev</w:t>
      </w:r>
      <w:r w:rsidR="005F6D54">
        <w:t>entually lead to his corruption.</w:t>
      </w:r>
      <w:r w:rsidR="005F6D54">
        <w:rPr>
          <w:rStyle w:val="FootnoteReference"/>
        </w:rPr>
        <w:footnoteReference w:id="6"/>
      </w:r>
      <w:r w:rsidR="00780756">
        <w:t xml:space="preserve"> He does not mention the </w:t>
      </w:r>
      <w:r w:rsidR="008B1C88">
        <w:t xml:space="preserve">legitimate reasons that Cleomenes </w:t>
      </w:r>
      <w:r w:rsidR="00EE121D">
        <w:t>could have had for no</w:t>
      </w:r>
      <w:r w:rsidR="0087289E">
        <w:t>t</w:t>
      </w:r>
      <w:r w:rsidR="005F7E4E">
        <w:t xml:space="preserve"> wanting to enter</w:t>
      </w:r>
      <w:r w:rsidR="0087289E">
        <w:t xml:space="preserve"> into foreign affairs. </w:t>
      </w:r>
      <w:r w:rsidR="00713526">
        <w:t>At this time, Sparta was still recovering from an earlier failed attempt to interfere in Athens. Being that reputation was so important to Spartans, it is understandable that the risk of repe</w:t>
      </w:r>
      <w:r w:rsidR="008356D9">
        <w:t>at failure was too great</w:t>
      </w:r>
      <w:r w:rsidR="00713526">
        <w:t>.</w:t>
      </w:r>
      <w:r w:rsidR="00713526">
        <w:rPr>
          <w:rStyle w:val="FootnoteReference"/>
        </w:rPr>
        <w:footnoteReference w:id="7"/>
      </w:r>
      <w:r w:rsidR="008356D9">
        <w:t xml:space="preserve"> </w:t>
      </w:r>
      <w:r w:rsidR="00207693">
        <w:t xml:space="preserve">It </w:t>
      </w:r>
      <w:r w:rsidR="00C43010">
        <w:t>is difficult to discern if Herodotus’ telling of this event was intentionally narrow-minded. Thus the issue of only h</w:t>
      </w:r>
      <w:r w:rsidR="0027490B">
        <w:t xml:space="preserve">aving one ancient source arises. </w:t>
      </w:r>
      <w:r w:rsidR="00EC5861">
        <w:t>It is impossible to know whether this event transpired the way it is written, or if the biases of Herodotus play</w:t>
      </w:r>
      <w:r w:rsidR="000A4DDD">
        <w:t>ed</w:t>
      </w:r>
      <w:r w:rsidR="00EC5861">
        <w:t xml:space="preserve"> a part in twisting the truth. </w:t>
      </w:r>
    </w:p>
    <w:p w14:paraId="417BF650" w14:textId="7E5E40B2" w:rsidR="00880E93" w:rsidRDefault="00880E93" w:rsidP="004528F7">
      <w:r>
        <w:tab/>
        <w:t>In addition to the idea of corruption as a deterrent against sending aid to Ionia, distance from Sparta comes into play. Aristagoras</w:t>
      </w:r>
      <w:r w:rsidR="007E1921">
        <w:t xml:space="preserve"> was initially clever when discussing plans and prospective campaigns for Sparta. He brought a map</w:t>
      </w:r>
      <w:r w:rsidR="007E1921">
        <w:rPr>
          <w:rStyle w:val="FootnoteReference"/>
        </w:rPr>
        <w:footnoteReference w:id="8"/>
      </w:r>
      <w:r w:rsidR="007E1921">
        <w:t xml:space="preserve"> with him and began to outline all</w:t>
      </w:r>
      <w:r w:rsidR="005D5B72">
        <w:t xml:space="preserve"> of</w:t>
      </w:r>
      <w:r w:rsidR="007E1921">
        <w:t xml:space="preserve"> the different territories that Sparta could expect to gain control of if they</w:t>
      </w:r>
      <w:r w:rsidR="002C6ACD">
        <w:t xml:space="preserve"> successfully</w:t>
      </w:r>
      <w:r w:rsidR="007E1921">
        <w:t xml:space="preserve"> invaded Asia. However despite the promise of glory, Aristagoras</w:t>
      </w:r>
      <w:r>
        <w:t xml:space="preserve"> made the mistake of </w:t>
      </w:r>
      <w:r w:rsidR="007E1921">
        <w:t xml:space="preserve">informing Cleomenes </w:t>
      </w:r>
      <w:r w:rsidR="007E1921">
        <w:lastRenderedPageBreak/>
        <w:t>that it had taken him 3 months to travel inland to Sparta.</w:t>
      </w:r>
      <w:r w:rsidR="007E1921">
        <w:rPr>
          <w:rStyle w:val="FootnoteReference"/>
        </w:rPr>
        <w:footnoteReference w:id="9"/>
      </w:r>
      <w:r w:rsidR="007E1921">
        <w:t xml:space="preserve"> It is possible that the idea of traveling away from Sparta for such a long period of time was the true reason for the refusal, and that Cleomenes was simply humouring Aritagoras when listening to his plea. </w:t>
      </w:r>
    </w:p>
    <w:p w14:paraId="37BE3EC3" w14:textId="748ADF16" w:rsidR="008D5F24" w:rsidRDefault="008D5F24" w:rsidP="004528F7">
      <w:r>
        <w:tab/>
        <w:t xml:space="preserve">Ultimately, the true intentions of Herodotus and the reality of the situation which he outlines cannot be discovered. </w:t>
      </w:r>
      <w:r w:rsidR="00F05725">
        <w:t xml:space="preserve">The original sources used and the bias of Herodotus both cast doubt on the reliability of this as a source on the Ionian Revolt and the circumstances surrounding it. It is helpful that he was writing relatively close to these events, however reading around the subject and thinking critically is essential to try to uncover the reality as much as possible. </w:t>
      </w:r>
    </w:p>
    <w:p w14:paraId="585A26EE" w14:textId="77777777" w:rsidR="00A30044" w:rsidRDefault="00A30044" w:rsidP="004528F7"/>
    <w:p w14:paraId="159463FD" w14:textId="77777777" w:rsidR="00A30044" w:rsidRDefault="00A30044" w:rsidP="004528F7"/>
    <w:p w14:paraId="78CC9582" w14:textId="77777777" w:rsidR="00A30044" w:rsidRDefault="00A30044" w:rsidP="004528F7"/>
    <w:p w14:paraId="5B9089B2" w14:textId="77777777" w:rsidR="00A30044" w:rsidRDefault="00A30044" w:rsidP="004528F7"/>
    <w:p w14:paraId="52FF5A0A" w14:textId="77777777" w:rsidR="00A30044" w:rsidRDefault="00A30044" w:rsidP="004528F7"/>
    <w:p w14:paraId="292E0C73" w14:textId="77777777" w:rsidR="00A30044" w:rsidRDefault="00A30044" w:rsidP="004528F7"/>
    <w:p w14:paraId="66A050F2" w14:textId="77777777" w:rsidR="00A30044" w:rsidRDefault="00A30044" w:rsidP="004528F7"/>
    <w:p w14:paraId="2F4E4475" w14:textId="77777777" w:rsidR="00A30044" w:rsidRDefault="00A30044" w:rsidP="004528F7"/>
    <w:p w14:paraId="68A50F99" w14:textId="77777777" w:rsidR="00A30044" w:rsidRDefault="00A30044" w:rsidP="004528F7"/>
    <w:p w14:paraId="1F544B48" w14:textId="77777777" w:rsidR="00A30044" w:rsidRDefault="00A30044" w:rsidP="004528F7"/>
    <w:p w14:paraId="7FD8D5CE" w14:textId="77777777" w:rsidR="00A30044" w:rsidRDefault="00A30044" w:rsidP="004528F7"/>
    <w:p w14:paraId="3C8F3912" w14:textId="77777777" w:rsidR="00A30044" w:rsidRDefault="00A30044" w:rsidP="004528F7"/>
    <w:p w14:paraId="5D8D3D7B" w14:textId="77777777" w:rsidR="00A30044" w:rsidRDefault="00A30044" w:rsidP="004528F7"/>
    <w:p w14:paraId="0E7C7EA3" w14:textId="77777777" w:rsidR="00A30044" w:rsidRDefault="00A30044" w:rsidP="004528F7"/>
    <w:p w14:paraId="5912FCB8" w14:textId="77777777" w:rsidR="00A30044" w:rsidRDefault="00A30044" w:rsidP="004528F7"/>
    <w:p w14:paraId="4875FFF3" w14:textId="77777777" w:rsidR="00A30044" w:rsidRDefault="00A30044" w:rsidP="004528F7"/>
    <w:p w14:paraId="71E8F6B3" w14:textId="77777777" w:rsidR="00A30044" w:rsidRDefault="00A30044" w:rsidP="004528F7"/>
    <w:p w14:paraId="114D20AC" w14:textId="77777777" w:rsidR="00A30044" w:rsidRDefault="00A30044" w:rsidP="004528F7"/>
    <w:p w14:paraId="56EB32D6" w14:textId="77777777" w:rsidR="00A30044" w:rsidRDefault="00A30044" w:rsidP="004528F7"/>
    <w:p w14:paraId="180A191B" w14:textId="77777777" w:rsidR="00A30044" w:rsidRDefault="00A30044" w:rsidP="004528F7"/>
    <w:p w14:paraId="5671E0B9" w14:textId="77777777" w:rsidR="00A30044" w:rsidRDefault="00A30044" w:rsidP="004528F7"/>
    <w:p w14:paraId="69C6F0B9" w14:textId="77777777" w:rsidR="00A30044" w:rsidRDefault="00A30044" w:rsidP="004528F7"/>
    <w:p w14:paraId="100DC90B" w14:textId="77777777" w:rsidR="00A30044" w:rsidRDefault="00A30044" w:rsidP="004528F7"/>
    <w:p w14:paraId="7BE66AAF" w14:textId="77777777" w:rsidR="00A30044" w:rsidRDefault="00A30044" w:rsidP="004528F7"/>
    <w:p w14:paraId="5197A48C" w14:textId="77777777" w:rsidR="00A30044" w:rsidRDefault="00A30044" w:rsidP="004528F7"/>
    <w:p w14:paraId="41907B22" w14:textId="77777777" w:rsidR="00A30044" w:rsidRDefault="00A30044" w:rsidP="004528F7"/>
    <w:p w14:paraId="5ED08CE2" w14:textId="77777777" w:rsidR="00A30044" w:rsidRDefault="00A30044" w:rsidP="004528F7"/>
    <w:p w14:paraId="01B9A986" w14:textId="77777777" w:rsidR="00A30044" w:rsidRDefault="00A30044" w:rsidP="004528F7"/>
    <w:p w14:paraId="4AA930FA" w14:textId="77777777" w:rsidR="00A30044" w:rsidRDefault="00A30044" w:rsidP="004528F7"/>
    <w:p w14:paraId="57C8C29C" w14:textId="77777777" w:rsidR="00A30044" w:rsidRDefault="00A30044" w:rsidP="004528F7"/>
    <w:p w14:paraId="4BDEB8B5" w14:textId="77777777" w:rsidR="00A30044" w:rsidRDefault="00A30044" w:rsidP="004528F7"/>
    <w:p w14:paraId="3A60D005" w14:textId="77777777" w:rsidR="00A30044" w:rsidRDefault="00A30044" w:rsidP="004528F7"/>
    <w:p w14:paraId="2F19289C" w14:textId="77777777" w:rsidR="00A30044" w:rsidRDefault="00A30044" w:rsidP="004528F7"/>
    <w:p w14:paraId="7337A583" w14:textId="77777777" w:rsidR="00A30044" w:rsidRDefault="00A30044" w:rsidP="004528F7"/>
    <w:p w14:paraId="38D57F50" w14:textId="77777777" w:rsidR="00A30044" w:rsidRDefault="00A30044" w:rsidP="004528F7"/>
    <w:p w14:paraId="1FD90190" w14:textId="77777777" w:rsidR="00A30044" w:rsidRDefault="00A30044" w:rsidP="00A30044">
      <w:pPr>
        <w:jc w:val="center"/>
        <w:rPr>
          <w:sz w:val="32"/>
          <w:szCs w:val="32"/>
          <w:u w:val="single"/>
        </w:rPr>
      </w:pPr>
      <w:r w:rsidRPr="00485F44">
        <w:rPr>
          <w:sz w:val="32"/>
          <w:szCs w:val="32"/>
          <w:u w:val="single"/>
        </w:rPr>
        <w:t>Bibliography</w:t>
      </w:r>
    </w:p>
    <w:p w14:paraId="631DA6E2" w14:textId="77777777" w:rsidR="00A30044" w:rsidRDefault="00A30044" w:rsidP="00A30044">
      <w:pPr>
        <w:jc w:val="center"/>
        <w:rPr>
          <w:sz w:val="32"/>
          <w:szCs w:val="32"/>
          <w:u w:val="single"/>
        </w:rPr>
      </w:pPr>
    </w:p>
    <w:p w14:paraId="03982770" w14:textId="77777777" w:rsidR="00A30044" w:rsidRDefault="00A30044" w:rsidP="00A30044">
      <w:pPr>
        <w:rPr>
          <w:sz w:val="32"/>
          <w:szCs w:val="32"/>
        </w:rPr>
      </w:pPr>
    </w:p>
    <w:p w14:paraId="7F2DA669" w14:textId="77777777" w:rsidR="00A30044" w:rsidRDefault="00A30044" w:rsidP="00A30044">
      <w:pPr>
        <w:rPr>
          <w:sz w:val="32"/>
          <w:szCs w:val="32"/>
        </w:rPr>
      </w:pPr>
    </w:p>
    <w:p w14:paraId="1556093A" w14:textId="77777777" w:rsidR="00A30044" w:rsidRDefault="00A30044" w:rsidP="00A30044">
      <w:r>
        <w:t>Ancient:</w:t>
      </w:r>
    </w:p>
    <w:p w14:paraId="20ACABF2" w14:textId="77777777" w:rsidR="00A30044" w:rsidRDefault="00A30044" w:rsidP="00A30044"/>
    <w:p w14:paraId="1B4D2D65" w14:textId="77777777" w:rsidR="00A30044" w:rsidRDefault="00A30044" w:rsidP="00A30044">
      <w:r w:rsidRPr="003B2707">
        <w:t xml:space="preserve">Herodotus, </w:t>
      </w:r>
      <w:r w:rsidRPr="003B2707">
        <w:rPr>
          <w:i/>
        </w:rPr>
        <w:t xml:space="preserve">The Histories. </w:t>
      </w:r>
      <w:r w:rsidRPr="003B2707">
        <w:t>Godley (trans.). 1920. Cambridge: Harvard University</w:t>
      </w:r>
      <w:r>
        <w:t xml:space="preserve"> Press</w:t>
      </w:r>
    </w:p>
    <w:p w14:paraId="7AD3444B" w14:textId="77777777" w:rsidR="00A30044" w:rsidRDefault="00A30044" w:rsidP="00A30044"/>
    <w:p w14:paraId="15EFF1D3" w14:textId="77777777" w:rsidR="00A30044" w:rsidRPr="008C46C1" w:rsidRDefault="00A30044" w:rsidP="00A30044">
      <w:r w:rsidRPr="008C46C1">
        <w:rPr>
          <w:rFonts w:hint="eastAsia"/>
        </w:rPr>
        <w:t>Herodotus, Strassler,</w:t>
      </w:r>
      <w:r>
        <w:t xml:space="preserve"> R. B.,</w:t>
      </w:r>
      <w:r w:rsidRPr="008C46C1">
        <w:rPr>
          <w:rFonts w:hint="eastAsia"/>
        </w:rPr>
        <w:t xml:space="preserve"> and Purvis</w:t>
      </w:r>
      <w:r>
        <w:t>, A. L</w:t>
      </w:r>
      <w:r w:rsidRPr="008C46C1">
        <w:rPr>
          <w:rFonts w:hint="eastAsia"/>
        </w:rPr>
        <w:t>. 2007. </w:t>
      </w:r>
      <w:r w:rsidRPr="008C46C1">
        <w:rPr>
          <w:rFonts w:hint="eastAsia"/>
          <w:i/>
          <w:iCs/>
        </w:rPr>
        <w:t>The Landmark Herodotus: the histories</w:t>
      </w:r>
      <w:r w:rsidRPr="008C46C1">
        <w:rPr>
          <w:rFonts w:hint="eastAsia"/>
        </w:rPr>
        <w:t>. New York: Pantheon Books</w:t>
      </w:r>
    </w:p>
    <w:p w14:paraId="311CF9CE" w14:textId="77777777" w:rsidR="00A30044" w:rsidRDefault="00A30044" w:rsidP="00A30044"/>
    <w:p w14:paraId="3FA8189F" w14:textId="77777777" w:rsidR="00A30044" w:rsidRDefault="00A30044" w:rsidP="00A30044"/>
    <w:p w14:paraId="2EC55BDD" w14:textId="77777777" w:rsidR="00A30044" w:rsidRDefault="00A30044" w:rsidP="00A30044">
      <w:r>
        <w:t>Modern:</w:t>
      </w:r>
    </w:p>
    <w:p w14:paraId="6461E76D" w14:textId="77777777" w:rsidR="00A30044" w:rsidRDefault="00A30044" w:rsidP="00A30044"/>
    <w:p w14:paraId="1AF83F01" w14:textId="77777777" w:rsidR="00A30044" w:rsidRDefault="00A30044" w:rsidP="00A30044">
      <w:r>
        <w:t>Branscome, D</w:t>
      </w:r>
      <w:r w:rsidRPr="009F5F4F">
        <w:t>. “Herodotus and the Map of Aristagoras.” </w:t>
      </w:r>
      <w:r w:rsidRPr="009F5F4F">
        <w:rPr>
          <w:i/>
          <w:iCs/>
        </w:rPr>
        <w:t>Classical Antiquity</w:t>
      </w:r>
      <w:r w:rsidRPr="009F5F4F">
        <w:t>, vol. 29, no. 1, 2010, pp. 1–44</w:t>
      </w:r>
    </w:p>
    <w:p w14:paraId="4095CD40" w14:textId="77777777" w:rsidR="00A30044" w:rsidRDefault="00A30044" w:rsidP="00A30044"/>
    <w:p w14:paraId="4DEFD974" w14:textId="77777777" w:rsidR="00A30044" w:rsidRDefault="00A30044" w:rsidP="00A30044">
      <w:r w:rsidRPr="001F2A06">
        <w:t>Evans, J. A. S. “Herodotus and the Ionian Revolt.” </w:t>
      </w:r>
      <w:r w:rsidRPr="001F2A06">
        <w:rPr>
          <w:i/>
          <w:iCs/>
        </w:rPr>
        <w:t>Historia: Zeitschrift Für Alte Geschichte</w:t>
      </w:r>
      <w:r w:rsidRPr="001F2A06">
        <w:t>, vol. 25, no. 1, 1976, pp. 31–37</w:t>
      </w:r>
    </w:p>
    <w:p w14:paraId="057622BE" w14:textId="77777777" w:rsidR="00A30044" w:rsidRDefault="00A30044" w:rsidP="00A30044">
      <w:bookmarkStart w:id="0" w:name="_GoBack"/>
      <w:bookmarkEnd w:id="0"/>
    </w:p>
    <w:p w14:paraId="201F8035" w14:textId="77777777" w:rsidR="00A30044" w:rsidRDefault="00A30044" w:rsidP="00A30044">
      <w:r w:rsidRPr="00633E12">
        <w:t>Larsen</w:t>
      </w:r>
      <w:r>
        <w:t>, J. A. O</w:t>
      </w:r>
      <w:r w:rsidRPr="00633E12">
        <w:t>. “Sparta and the Ionian Revolt: A Study of Spartan Foreign Policy and the Genesis of the Peloponnesian League.” </w:t>
      </w:r>
      <w:r w:rsidRPr="00633E12">
        <w:rPr>
          <w:i/>
          <w:iCs/>
        </w:rPr>
        <w:t>Classical Philology</w:t>
      </w:r>
      <w:r w:rsidRPr="00633E12">
        <w:t>, vol. 27, no. 2, 1932, pp. 136–150</w:t>
      </w:r>
    </w:p>
    <w:p w14:paraId="73863908" w14:textId="77777777" w:rsidR="00A30044" w:rsidRDefault="00A30044" w:rsidP="00A30044"/>
    <w:p w14:paraId="7F46E88E" w14:textId="77777777" w:rsidR="00A30044" w:rsidRDefault="00A30044" w:rsidP="00A30044">
      <w:r>
        <w:t xml:space="preserve">Meister, K., Dorandi, T., Touwaide, A., Neudecker, R. 2006. Herodotus. Brill’s New Pauly. Available from:  </w:t>
      </w:r>
      <w:hyperlink r:id="rId6" w:history="1">
        <w:r w:rsidRPr="00E21EBB">
          <w:rPr>
            <w:rStyle w:val="Hyperlink"/>
          </w:rPr>
          <w:t>https://referenceworks-brillonline-com.ezproxy.uwtsd.ac.uk/entries/brill-s-new-pauly/herodotus-e511320?s.num=0&amp;s.f.s2_parent=s.f.book.brill-s-new-pauly&amp;s.q=herodotus</w:t>
        </w:r>
      </w:hyperlink>
      <w:r>
        <w:t>. [Accessed 25</w:t>
      </w:r>
      <w:r w:rsidRPr="00733C42">
        <w:rPr>
          <w:vertAlign w:val="superscript"/>
        </w:rPr>
        <w:t>th</w:t>
      </w:r>
      <w:r>
        <w:t xml:space="preserve"> February 2019]</w:t>
      </w:r>
    </w:p>
    <w:p w14:paraId="5E548B24" w14:textId="77777777" w:rsidR="00A30044" w:rsidRDefault="00A30044" w:rsidP="00A30044"/>
    <w:p w14:paraId="6C6AD225" w14:textId="77777777" w:rsidR="00A30044" w:rsidRPr="0000074E" w:rsidRDefault="00A30044" w:rsidP="00A30044">
      <w:r>
        <w:t xml:space="preserve">Stein-Hölkeskamp, E. 2006. Ionian Revolt. Brill’s New Pauly. Available from: </w:t>
      </w:r>
      <w:hyperlink r:id="rId7" w:history="1">
        <w:r w:rsidRPr="00E21EBB">
          <w:rPr>
            <w:rStyle w:val="Hyperlink"/>
          </w:rPr>
          <w:t>https://referenceworks-brillonline-com.ezproxy.uwtsd.ac.uk/entries/brill-s-new-pauly/ionian-revolt-e526560?s.num=0&amp;s.f.s2_paren</w:t>
        </w:r>
        <w:r w:rsidRPr="00E21EBB">
          <w:rPr>
            <w:rStyle w:val="Hyperlink"/>
          </w:rPr>
          <w:t>t</w:t>
        </w:r>
        <w:r w:rsidRPr="00E21EBB">
          <w:rPr>
            <w:rStyle w:val="Hyperlink"/>
          </w:rPr>
          <w:t>=s.f.book.brill-s-new-pauly&amp;s.q=ionian+revolt</w:t>
        </w:r>
      </w:hyperlink>
      <w:r>
        <w:t>. [Accessed 25</w:t>
      </w:r>
      <w:r w:rsidRPr="00D000B5">
        <w:rPr>
          <w:vertAlign w:val="superscript"/>
        </w:rPr>
        <w:t>th</w:t>
      </w:r>
      <w:r>
        <w:t xml:space="preserve"> February 2019]</w:t>
      </w:r>
    </w:p>
    <w:p w14:paraId="590CCF20" w14:textId="77777777" w:rsidR="00A30044" w:rsidRDefault="00A30044" w:rsidP="00A30044"/>
    <w:p w14:paraId="5B72D7DD" w14:textId="77777777" w:rsidR="00A30044" w:rsidRDefault="00A30044" w:rsidP="00A30044">
      <w:r w:rsidRPr="00142AF1">
        <w:t>Wallinga, H. T. “The Ionian Revolt.” </w:t>
      </w:r>
      <w:r w:rsidRPr="00142AF1">
        <w:rPr>
          <w:i/>
          <w:iCs/>
        </w:rPr>
        <w:t>Mnemosyne</w:t>
      </w:r>
      <w:r w:rsidRPr="00142AF1">
        <w:t>, vol. 37, no. 3/4, 1984, pp. 401–437</w:t>
      </w:r>
    </w:p>
    <w:p w14:paraId="5FD01FEF" w14:textId="77777777" w:rsidR="00A30044" w:rsidRDefault="00A30044" w:rsidP="00A30044"/>
    <w:p w14:paraId="4E660E2E" w14:textId="77777777" w:rsidR="00A30044" w:rsidRPr="00EC43ED" w:rsidRDefault="00A30044" w:rsidP="00A30044">
      <w:r w:rsidRPr="00EC43ED">
        <w:t>Wells, J. “Some Points as to the Chronology of the Reign of Cleomenes I.” </w:t>
      </w:r>
      <w:r w:rsidRPr="00EC43ED">
        <w:rPr>
          <w:i/>
          <w:iCs/>
        </w:rPr>
        <w:t>The Journal of Hellenic Studies</w:t>
      </w:r>
      <w:r w:rsidRPr="00EC43ED">
        <w:t>, vol. 25, 1905, pp. 193–203</w:t>
      </w:r>
    </w:p>
    <w:p w14:paraId="7181E91D" w14:textId="77777777" w:rsidR="00A30044" w:rsidRDefault="00A30044" w:rsidP="004528F7"/>
    <w:p w14:paraId="7D486D21" w14:textId="5E8F81D3" w:rsidR="00DF0477" w:rsidRPr="00BE350C" w:rsidRDefault="00DF0477" w:rsidP="004528F7">
      <w:r>
        <w:tab/>
      </w:r>
    </w:p>
    <w:sectPr w:rsidR="00DF0477" w:rsidRPr="00BE350C" w:rsidSect="00705F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751A8D" w14:textId="77777777" w:rsidR="002A3F63" w:rsidRDefault="002A3F63" w:rsidP="00BC208B">
      <w:r>
        <w:separator/>
      </w:r>
    </w:p>
  </w:endnote>
  <w:endnote w:type="continuationSeparator" w:id="0">
    <w:p w14:paraId="097C2899" w14:textId="77777777" w:rsidR="002A3F63" w:rsidRDefault="002A3F63" w:rsidP="00BC20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7DB4DE" w14:textId="77777777" w:rsidR="002A3F63" w:rsidRDefault="002A3F63" w:rsidP="00BC208B">
      <w:r>
        <w:separator/>
      </w:r>
    </w:p>
  </w:footnote>
  <w:footnote w:type="continuationSeparator" w:id="0">
    <w:p w14:paraId="1C0FCE88" w14:textId="77777777" w:rsidR="002A3F63" w:rsidRDefault="002A3F63" w:rsidP="00BC208B">
      <w:r>
        <w:continuationSeparator/>
      </w:r>
    </w:p>
  </w:footnote>
  <w:footnote w:id="1">
    <w:p w14:paraId="38933380" w14:textId="5D78FF60" w:rsidR="00BC208B" w:rsidRDefault="00BC208B">
      <w:pPr>
        <w:pStyle w:val="FootnoteText"/>
      </w:pPr>
      <w:r>
        <w:rPr>
          <w:rStyle w:val="FootnoteReference"/>
        </w:rPr>
        <w:footnoteRef/>
      </w:r>
      <w:r>
        <w:t xml:space="preserve"> Meister 2006</w:t>
      </w:r>
    </w:p>
  </w:footnote>
  <w:footnote w:id="2">
    <w:p w14:paraId="25F39DDA" w14:textId="521594D1" w:rsidR="005654A3" w:rsidRDefault="005654A3">
      <w:pPr>
        <w:pStyle w:val="FootnoteText"/>
      </w:pPr>
      <w:r>
        <w:rPr>
          <w:rStyle w:val="FootnoteReference"/>
        </w:rPr>
        <w:footnoteRef/>
      </w:r>
      <w:r>
        <w:t xml:space="preserve"> </w:t>
      </w:r>
      <w:r w:rsidRPr="005654A3">
        <w:t>Stein-Hölkeskamp</w:t>
      </w:r>
      <w:r>
        <w:t xml:space="preserve"> 2006</w:t>
      </w:r>
    </w:p>
  </w:footnote>
  <w:footnote w:id="3">
    <w:p w14:paraId="2A343956" w14:textId="20FAF310" w:rsidR="00E43342" w:rsidRDefault="00E43342">
      <w:pPr>
        <w:pStyle w:val="FootnoteText"/>
      </w:pPr>
      <w:r>
        <w:rPr>
          <w:rStyle w:val="FootnoteReference"/>
        </w:rPr>
        <w:footnoteRef/>
      </w:r>
      <w:r>
        <w:t xml:space="preserve"> Larsen 1932: 140</w:t>
      </w:r>
    </w:p>
  </w:footnote>
  <w:footnote w:id="4">
    <w:p w14:paraId="70A1F3A0" w14:textId="7A3E5281" w:rsidR="00D15E0E" w:rsidRDefault="00D15E0E">
      <w:pPr>
        <w:pStyle w:val="FootnoteText"/>
      </w:pPr>
      <w:r>
        <w:rPr>
          <w:rStyle w:val="FootnoteReference"/>
        </w:rPr>
        <w:footnoteRef/>
      </w:r>
      <w:r>
        <w:t xml:space="preserve"> Evans 1976: 31</w:t>
      </w:r>
    </w:p>
  </w:footnote>
  <w:footnote w:id="5">
    <w:p w14:paraId="42106CFE" w14:textId="406F261E" w:rsidR="00FC2CA2" w:rsidRDefault="00FC2CA2">
      <w:pPr>
        <w:pStyle w:val="FootnoteText"/>
      </w:pPr>
      <w:r>
        <w:rPr>
          <w:rStyle w:val="FootnoteReference"/>
        </w:rPr>
        <w:footnoteRef/>
      </w:r>
      <w:r>
        <w:t xml:space="preserve"> </w:t>
      </w:r>
      <w:r w:rsidRPr="005654A3">
        <w:t>Stein-Hölkeskamp</w:t>
      </w:r>
      <w:r>
        <w:t xml:space="preserve"> 2006</w:t>
      </w:r>
    </w:p>
  </w:footnote>
  <w:footnote w:id="6">
    <w:p w14:paraId="26E9450E" w14:textId="61EDF3F2" w:rsidR="005F6D54" w:rsidRDefault="005F6D54">
      <w:pPr>
        <w:pStyle w:val="FootnoteText"/>
      </w:pPr>
      <w:r>
        <w:rPr>
          <w:rStyle w:val="FootnoteReference"/>
        </w:rPr>
        <w:footnoteRef/>
      </w:r>
      <w:r>
        <w:t xml:space="preserve"> Hdt. 5.51.2.</w:t>
      </w:r>
    </w:p>
  </w:footnote>
  <w:footnote w:id="7">
    <w:p w14:paraId="2FF17D80" w14:textId="25CD7ACC" w:rsidR="00713526" w:rsidRDefault="00713526">
      <w:pPr>
        <w:pStyle w:val="FootnoteText"/>
      </w:pPr>
      <w:r>
        <w:rPr>
          <w:rStyle w:val="FootnoteReference"/>
        </w:rPr>
        <w:footnoteRef/>
      </w:r>
      <w:r>
        <w:t xml:space="preserve"> Larsen 1932: 139</w:t>
      </w:r>
    </w:p>
  </w:footnote>
  <w:footnote w:id="8">
    <w:p w14:paraId="422ABA0C" w14:textId="1E6F5394" w:rsidR="007E1921" w:rsidRDefault="007E1921">
      <w:pPr>
        <w:pStyle w:val="FootnoteText"/>
      </w:pPr>
      <w:r>
        <w:rPr>
          <w:rStyle w:val="FootnoteReference"/>
        </w:rPr>
        <w:footnoteRef/>
      </w:r>
      <w:r>
        <w:t xml:space="preserve"> Branscome 2010: 1</w:t>
      </w:r>
    </w:p>
  </w:footnote>
  <w:footnote w:id="9">
    <w:p w14:paraId="1A4248B3" w14:textId="1FDB25C0" w:rsidR="007E1921" w:rsidRDefault="007E1921">
      <w:pPr>
        <w:pStyle w:val="FootnoteText"/>
      </w:pPr>
      <w:r>
        <w:rPr>
          <w:rStyle w:val="FootnoteReference"/>
        </w:rPr>
        <w:footnoteRef/>
      </w:r>
      <w:r>
        <w:t xml:space="preserve"> Hdt. 5.50.2.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0362"/>
    <w:rsid w:val="0001402B"/>
    <w:rsid w:val="00095693"/>
    <w:rsid w:val="000A041B"/>
    <w:rsid w:val="000A4DDD"/>
    <w:rsid w:val="000A6EFA"/>
    <w:rsid w:val="000E21EB"/>
    <w:rsid w:val="00173181"/>
    <w:rsid w:val="00201CCC"/>
    <w:rsid w:val="00207693"/>
    <w:rsid w:val="002630BF"/>
    <w:rsid w:val="002661C8"/>
    <w:rsid w:val="0027490B"/>
    <w:rsid w:val="00274C4E"/>
    <w:rsid w:val="0028746A"/>
    <w:rsid w:val="002A3F63"/>
    <w:rsid w:val="002C6ACD"/>
    <w:rsid w:val="002D72A8"/>
    <w:rsid w:val="0031100D"/>
    <w:rsid w:val="003478D8"/>
    <w:rsid w:val="00390362"/>
    <w:rsid w:val="003C2750"/>
    <w:rsid w:val="003F0637"/>
    <w:rsid w:val="003F18F4"/>
    <w:rsid w:val="00423C7F"/>
    <w:rsid w:val="004528F7"/>
    <w:rsid w:val="0049659D"/>
    <w:rsid w:val="004C2E06"/>
    <w:rsid w:val="004E4243"/>
    <w:rsid w:val="004F11A1"/>
    <w:rsid w:val="004F27FE"/>
    <w:rsid w:val="00562C14"/>
    <w:rsid w:val="005654A3"/>
    <w:rsid w:val="005C72E4"/>
    <w:rsid w:val="005D30A2"/>
    <w:rsid w:val="005D5B72"/>
    <w:rsid w:val="005F6D54"/>
    <w:rsid w:val="005F7E4E"/>
    <w:rsid w:val="00667E73"/>
    <w:rsid w:val="006E0CD9"/>
    <w:rsid w:val="00705F83"/>
    <w:rsid w:val="00713526"/>
    <w:rsid w:val="00780756"/>
    <w:rsid w:val="007E1921"/>
    <w:rsid w:val="00812B5B"/>
    <w:rsid w:val="008342F1"/>
    <w:rsid w:val="008356D9"/>
    <w:rsid w:val="00850C64"/>
    <w:rsid w:val="00856432"/>
    <w:rsid w:val="0087289E"/>
    <w:rsid w:val="00880E93"/>
    <w:rsid w:val="008A22E4"/>
    <w:rsid w:val="008B1C88"/>
    <w:rsid w:val="008D5F24"/>
    <w:rsid w:val="008F58C8"/>
    <w:rsid w:val="008F7718"/>
    <w:rsid w:val="00925B43"/>
    <w:rsid w:val="00A2530E"/>
    <w:rsid w:val="00A30044"/>
    <w:rsid w:val="00A55E79"/>
    <w:rsid w:val="00A708FC"/>
    <w:rsid w:val="00AE5E00"/>
    <w:rsid w:val="00AF1903"/>
    <w:rsid w:val="00BC208B"/>
    <w:rsid w:val="00BE350C"/>
    <w:rsid w:val="00C102C8"/>
    <w:rsid w:val="00C43010"/>
    <w:rsid w:val="00D15E0E"/>
    <w:rsid w:val="00D417E3"/>
    <w:rsid w:val="00D56700"/>
    <w:rsid w:val="00DA79B9"/>
    <w:rsid w:val="00DF0477"/>
    <w:rsid w:val="00E43342"/>
    <w:rsid w:val="00E70FDB"/>
    <w:rsid w:val="00EB3908"/>
    <w:rsid w:val="00EB4D88"/>
    <w:rsid w:val="00EC5861"/>
    <w:rsid w:val="00EE121D"/>
    <w:rsid w:val="00F05725"/>
    <w:rsid w:val="00F37916"/>
    <w:rsid w:val="00F773B6"/>
    <w:rsid w:val="00F84EA6"/>
    <w:rsid w:val="00F85533"/>
    <w:rsid w:val="00FB6C94"/>
    <w:rsid w:val="00FC2C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B36AB2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C208B"/>
  </w:style>
  <w:style w:type="character" w:customStyle="1" w:styleId="FootnoteTextChar">
    <w:name w:val="Footnote Text Char"/>
    <w:basedOn w:val="DefaultParagraphFont"/>
    <w:link w:val="FootnoteText"/>
    <w:uiPriority w:val="99"/>
    <w:rsid w:val="00BC208B"/>
  </w:style>
  <w:style w:type="character" w:styleId="FootnoteReference">
    <w:name w:val="footnote reference"/>
    <w:basedOn w:val="DefaultParagraphFont"/>
    <w:uiPriority w:val="99"/>
    <w:unhideWhenUsed/>
    <w:rsid w:val="00BC208B"/>
    <w:rPr>
      <w:vertAlign w:val="superscript"/>
    </w:rPr>
  </w:style>
  <w:style w:type="character" w:styleId="Hyperlink">
    <w:name w:val="Hyperlink"/>
    <w:basedOn w:val="DefaultParagraphFont"/>
    <w:uiPriority w:val="99"/>
    <w:unhideWhenUsed/>
    <w:rsid w:val="00A30044"/>
    <w:rPr>
      <w:color w:val="0563C1" w:themeColor="hyperlink"/>
      <w:u w:val="single"/>
    </w:rPr>
  </w:style>
  <w:style w:type="character" w:styleId="FollowedHyperlink">
    <w:name w:val="FollowedHyperlink"/>
    <w:basedOn w:val="DefaultParagraphFont"/>
    <w:uiPriority w:val="99"/>
    <w:semiHidden/>
    <w:unhideWhenUsed/>
    <w:rsid w:val="00A300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323894">
      <w:bodyDiv w:val="1"/>
      <w:marLeft w:val="0"/>
      <w:marRight w:val="0"/>
      <w:marTop w:val="0"/>
      <w:marBottom w:val="0"/>
      <w:divBdr>
        <w:top w:val="none" w:sz="0" w:space="0" w:color="auto"/>
        <w:left w:val="none" w:sz="0" w:space="0" w:color="auto"/>
        <w:bottom w:val="none" w:sz="0" w:space="0" w:color="auto"/>
        <w:right w:val="none" w:sz="0" w:space="0" w:color="auto"/>
      </w:divBdr>
    </w:div>
    <w:div w:id="971984523">
      <w:bodyDiv w:val="1"/>
      <w:marLeft w:val="0"/>
      <w:marRight w:val="0"/>
      <w:marTop w:val="0"/>
      <w:marBottom w:val="0"/>
      <w:divBdr>
        <w:top w:val="none" w:sz="0" w:space="0" w:color="auto"/>
        <w:left w:val="none" w:sz="0" w:space="0" w:color="auto"/>
        <w:bottom w:val="none" w:sz="0" w:space="0" w:color="auto"/>
        <w:right w:val="none" w:sz="0" w:space="0" w:color="auto"/>
      </w:divBdr>
    </w:div>
    <w:div w:id="1141775466">
      <w:bodyDiv w:val="1"/>
      <w:marLeft w:val="0"/>
      <w:marRight w:val="0"/>
      <w:marTop w:val="0"/>
      <w:marBottom w:val="0"/>
      <w:divBdr>
        <w:top w:val="none" w:sz="0" w:space="0" w:color="auto"/>
        <w:left w:val="none" w:sz="0" w:space="0" w:color="auto"/>
        <w:bottom w:val="none" w:sz="0" w:space="0" w:color="auto"/>
        <w:right w:val="none" w:sz="0" w:space="0" w:color="auto"/>
      </w:divBdr>
    </w:div>
    <w:div w:id="135831242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referenceworks-brillonline-com.ezproxy.uwtsd.ac.uk/entries/brill-s-new-pauly/herodotus-e511320?s.num=0&amp;s.f.s2_parent=s.f.book.brill-s-new-pauly&amp;s.q=herodotus" TargetMode="External"/><Relationship Id="rId7" Type="http://schemas.openxmlformats.org/officeDocument/2006/relationships/hyperlink" Target="https://referenceworks-brillonline-com.ezproxy.uwtsd.ac.uk/entries/brill-s-new-pauly/ionian-revolt-e526560?s.num=0&amp;s.f.s2_parent=s.f.book.brill-s-new-pauly&amp;s.q=ionian+revolt"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3</Pages>
  <Words>824</Words>
  <Characters>4697</Characters>
  <Application>Microsoft Macintosh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5510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Kinnicutt</dc:creator>
  <cp:keywords/>
  <dc:description/>
  <cp:lastModifiedBy>Jordan Kinnicutt</cp:lastModifiedBy>
  <cp:revision>105</cp:revision>
  <dcterms:created xsi:type="dcterms:W3CDTF">2019-02-25T21:54:00Z</dcterms:created>
  <dcterms:modified xsi:type="dcterms:W3CDTF">2019-02-25T23:54:00Z</dcterms:modified>
</cp:coreProperties>
</file>