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F91C71" w14:textId="77777777" w:rsidR="008D3CF6" w:rsidRDefault="004344B4" w:rsidP="004344B4">
      <w:pPr>
        <w:jc w:val="center"/>
        <w:rPr>
          <w:sz w:val="24"/>
          <w:szCs w:val="24"/>
          <w:u w:val="single"/>
        </w:rPr>
      </w:pPr>
      <w:r>
        <w:rPr>
          <w:sz w:val="24"/>
          <w:szCs w:val="24"/>
          <w:u w:val="single"/>
        </w:rPr>
        <w:t xml:space="preserve">Annotated Bibliography </w:t>
      </w:r>
    </w:p>
    <w:p w14:paraId="6F5981FD" w14:textId="694952C4" w:rsidR="00B25160" w:rsidRDefault="004344B4" w:rsidP="004344B4">
      <w:pPr>
        <w:jc w:val="center"/>
        <w:rPr>
          <w:sz w:val="24"/>
          <w:szCs w:val="24"/>
          <w:u w:val="single"/>
        </w:rPr>
      </w:pPr>
      <w:r>
        <w:rPr>
          <w:sz w:val="24"/>
          <w:szCs w:val="24"/>
          <w:u w:val="single"/>
        </w:rPr>
        <w:t xml:space="preserve">for </w:t>
      </w:r>
    </w:p>
    <w:p w14:paraId="7F3D9C3A" w14:textId="5A261AA9" w:rsidR="004344B4" w:rsidRDefault="004344B4" w:rsidP="004344B4">
      <w:pPr>
        <w:jc w:val="center"/>
        <w:rPr>
          <w:sz w:val="24"/>
          <w:szCs w:val="24"/>
          <w:u w:val="single"/>
        </w:rPr>
      </w:pPr>
      <w:r>
        <w:rPr>
          <w:sz w:val="24"/>
          <w:szCs w:val="24"/>
          <w:u w:val="single"/>
        </w:rPr>
        <w:t>Edward Gibbon</w:t>
      </w:r>
    </w:p>
    <w:p w14:paraId="02D9BC16" w14:textId="761140AD" w:rsidR="004344B4" w:rsidRDefault="004344B4" w:rsidP="004344B4">
      <w:pPr>
        <w:jc w:val="center"/>
        <w:rPr>
          <w:sz w:val="24"/>
          <w:szCs w:val="24"/>
          <w:u w:val="single"/>
        </w:rPr>
      </w:pPr>
    </w:p>
    <w:p w14:paraId="0EEB1EE5" w14:textId="4677019E" w:rsidR="004344B4" w:rsidRDefault="004344B4" w:rsidP="004344B4">
      <w:pPr>
        <w:rPr>
          <w:sz w:val="24"/>
          <w:szCs w:val="24"/>
          <w:u w:val="single"/>
        </w:rPr>
      </w:pPr>
      <w:r>
        <w:rPr>
          <w:sz w:val="24"/>
          <w:szCs w:val="24"/>
          <w:u w:val="single"/>
        </w:rPr>
        <w:t>Primary Sources</w:t>
      </w:r>
    </w:p>
    <w:p w14:paraId="5E85EB47" w14:textId="529FFDAD" w:rsidR="004344B4" w:rsidRDefault="004344B4" w:rsidP="004344B4">
      <w:pPr>
        <w:rPr>
          <w:sz w:val="24"/>
          <w:szCs w:val="24"/>
          <w:u w:val="single"/>
        </w:rPr>
      </w:pPr>
    </w:p>
    <w:p w14:paraId="7CD7F3E7" w14:textId="6188950F" w:rsidR="00EE11AA" w:rsidRPr="00EE11AA" w:rsidRDefault="00EE11AA" w:rsidP="00EE11AA">
      <w:pPr>
        <w:rPr>
          <w:sz w:val="24"/>
          <w:szCs w:val="24"/>
        </w:rPr>
      </w:pPr>
      <w:r w:rsidRPr="00EE11AA">
        <w:rPr>
          <w:sz w:val="24"/>
          <w:szCs w:val="24"/>
        </w:rPr>
        <w:t xml:space="preserve">Gibbon </w:t>
      </w:r>
      <w:proofErr w:type="spellStart"/>
      <w:r w:rsidRPr="00EE11AA">
        <w:rPr>
          <w:sz w:val="24"/>
          <w:szCs w:val="24"/>
        </w:rPr>
        <w:t>Esq.</w:t>
      </w:r>
      <w:proofErr w:type="spellEnd"/>
      <w:r w:rsidRPr="00EE11AA">
        <w:rPr>
          <w:sz w:val="24"/>
          <w:szCs w:val="24"/>
        </w:rPr>
        <w:t xml:space="preserve"> Edward, </w:t>
      </w:r>
      <w:bookmarkStart w:id="0" w:name="_Hlk54787890"/>
      <w:r w:rsidRPr="00EE11AA">
        <w:rPr>
          <w:i/>
          <w:iCs/>
          <w:sz w:val="24"/>
          <w:szCs w:val="24"/>
        </w:rPr>
        <w:t>The History of the Decline and Fall of the Roman Empire</w:t>
      </w:r>
      <w:bookmarkEnd w:id="0"/>
      <w:r w:rsidRPr="00EE11AA">
        <w:rPr>
          <w:i/>
          <w:iCs/>
          <w:sz w:val="24"/>
          <w:szCs w:val="24"/>
        </w:rPr>
        <w:t>.</w:t>
      </w:r>
      <w:r w:rsidR="00D60E97">
        <w:rPr>
          <w:i/>
          <w:iCs/>
          <w:sz w:val="24"/>
          <w:szCs w:val="24"/>
        </w:rPr>
        <w:t xml:space="preserve"> </w:t>
      </w:r>
      <w:r w:rsidR="00D60E97" w:rsidRPr="00D60E97">
        <w:rPr>
          <w:i/>
          <w:iCs/>
          <w:sz w:val="24"/>
          <w:szCs w:val="24"/>
        </w:rPr>
        <w:t xml:space="preserve">With notes by the Rev. H. H. </w:t>
      </w:r>
      <w:proofErr w:type="spellStart"/>
      <w:r w:rsidR="00D60E97" w:rsidRPr="00D60E97">
        <w:rPr>
          <w:i/>
          <w:iCs/>
          <w:sz w:val="24"/>
          <w:szCs w:val="24"/>
        </w:rPr>
        <w:t>Milman</w:t>
      </w:r>
      <w:proofErr w:type="spellEnd"/>
      <w:r w:rsidR="00D60E97">
        <w:rPr>
          <w:i/>
          <w:iCs/>
          <w:sz w:val="24"/>
          <w:szCs w:val="24"/>
        </w:rPr>
        <w:t>.</w:t>
      </w:r>
      <w:r w:rsidRPr="00EE11AA">
        <w:rPr>
          <w:sz w:val="24"/>
          <w:szCs w:val="24"/>
        </w:rPr>
        <w:t> (London: Strahan and Cadell)</w:t>
      </w:r>
      <w:r w:rsidR="00D60E97">
        <w:rPr>
          <w:sz w:val="24"/>
          <w:szCs w:val="24"/>
        </w:rPr>
        <w:t>. Volumes 1-6 published 1776, 1781, 1788, 1789.</w:t>
      </w:r>
    </w:p>
    <w:p w14:paraId="2D92290A" w14:textId="11D246CB" w:rsidR="00DF78F4" w:rsidRDefault="00D60E97" w:rsidP="00EE11AA">
      <w:pPr>
        <w:rPr>
          <w:sz w:val="24"/>
          <w:szCs w:val="24"/>
        </w:rPr>
      </w:pPr>
      <w:r>
        <w:rPr>
          <w:sz w:val="24"/>
          <w:szCs w:val="24"/>
        </w:rPr>
        <w:t>All six volumes of this work can be found on the Project Gutenberg website.</w:t>
      </w:r>
    </w:p>
    <w:p w14:paraId="2F81A974" w14:textId="7B8754EF" w:rsidR="00D60E97" w:rsidRDefault="008D3CF6" w:rsidP="00EE11AA">
      <w:pPr>
        <w:rPr>
          <w:sz w:val="24"/>
          <w:szCs w:val="24"/>
        </w:rPr>
      </w:pPr>
      <w:hyperlink r:id="rId5" w:history="1">
        <w:r w:rsidR="00D60E97" w:rsidRPr="00BE695D">
          <w:rPr>
            <w:rStyle w:val="Hyperlink"/>
            <w:sz w:val="24"/>
            <w:szCs w:val="24"/>
          </w:rPr>
          <w:t>https://www.gutenberg.org/files/25717/25717-h/25717-h.htm</w:t>
        </w:r>
      </w:hyperlink>
      <w:r w:rsidR="00D60E97">
        <w:rPr>
          <w:sz w:val="24"/>
          <w:szCs w:val="24"/>
        </w:rPr>
        <w:t xml:space="preserve"> [accessed 28/10/2020]</w:t>
      </w:r>
      <w:r w:rsidR="00F23D2F">
        <w:rPr>
          <w:sz w:val="24"/>
          <w:szCs w:val="24"/>
        </w:rPr>
        <w:t>.</w:t>
      </w:r>
    </w:p>
    <w:p w14:paraId="29010299" w14:textId="26CD731D" w:rsidR="00827F29" w:rsidRDefault="00827F29" w:rsidP="00EE11AA">
      <w:pPr>
        <w:rPr>
          <w:sz w:val="24"/>
          <w:szCs w:val="24"/>
        </w:rPr>
      </w:pPr>
    </w:p>
    <w:p w14:paraId="32C5D69C" w14:textId="77DDA704" w:rsidR="00827F29" w:rsidRDefault="00827F29" w:rsidP="00EE11AA">
      <w:pPr>
        <w:rPr>
          <w:sz w:val="24"/>
          <w:szCs w:val="24"/>
        </w:rPr>
      </w:pPr>
      <w:r>
        <w:rPr>
          <w:sz w:val="24"/>
          <w:szCs w:val="24"/>
        </w:rPr>
        <w:t xml:space="preserve">Volume one contains an engraving of Gibbon along with eight maps of the Roman Empire. The maps are very detailed regarding place names, mountain ranges, rivers, </w:t>
      </w:r>
      <w:proofErr w:type="spellStart"/>
      <w:r>
        <w:rPr>
          <w:sz w:val="24"/>
          <w:szCs w:val="24"/>
        </w:rPr>
        <w:t>e.t.c</w:t>
      </w:r>
      <w:proofErr w:type="spellEnd"/>
      <w:r>
        <w:rPr>
          <w:sz w:val="24"/>
          <w:szCs w:val="24"/>
        </w:rPr>
        <w:t>. but they do not provide clear details of the boundaries of the Empire or denote what exact period they are meant to represent. Next</w:t>
      </w:r>
      <w:r w:rsidR="00F23D2F">
        <w:rPr>
          <w:sz w:val="24"/>
          <w:szCs w:val="24"/>
        </w:rPr>
        <w:t>,</w:t>
      </w:r>
      <w:r>
        <w:rPr>
          <w:sz w:val="24"/>
          <w:szCs w:val="24"/>
        </w:rPr>
        <w:t xml:space="preserve"> the contents page lists all the chapters in all six volumes, this is far more comprehensive, with clear chapter headings, sub-headings</w:t>
      </w:r>
      <w:r w:rsidR="00351691">
        <w:rPr>
          <w:sz w:val="24"/>
          <w:szCs w:val="24"/>
        </w:rPr>
        <w:t>,</w:t>
      </w:r>
      <w:r>
        <w:rPr>
          <w:sz w:val="24"/>
          <w:szCs w:val="24"/>
        </w:rPr>
        <w:t xml:space="preserve"> and some of the chapters also have a brief synopsis. </w:t>
      </w:r>
      <w:r w:rsidR="00067A0A">
        <w:rPr>
          <w:sz w:val="24"/>
          <w:szCs w:val="24"/>
        </w:rPr>
        <w:t>There are no page numbers listed alongside the chapters however clicking on a heading or sub-heading takes you straight to it, t</w:t>
      </w:r>
      <w:r>
        <w:rPr>
          <w:sz w:val="24"/>
          <w:szCs w:val="24"/>
        </w:rPr>
        <w:t xml:space="preserve">his </w:t>
      </w:r>
      <w:r w:rsidR="00067A0A">
        <w:rPr>
          <w:sz w:val="24"/>
          <w:szCs w:val="24"/>
        </w:rPr>
        <w:t xml:space="preserve">makes the </w:t>
      </w:r>
      <w:r>
        <w:rPr>
          <w:sz w:val="24"/>
          <w:szCs w:val="24"/>
        </w:rPr>
        <w:t>contents</w:t>
      </w:r>
      <w:r w:rsidR="00FF79A4">
        <w:rPr>
          <w:sz w:val="24"/>
          <w:szCs w:val="24"/>
        </w:rPr>
        <w:t xml:space="preserve"> page</w:t>
      </w:r>
      <w:r>
        <w:rPr>
          <w:sz w:val="24"/>
          <w:szCs w:val="24"/>
        </w:rPr>
        <w:t xml:space="preserve"> very user</w:t>
      </w:r>
      <w:r w:rsidR="0045243A">
        <w:rPr>
          <w:sz w:val="24"/>
          <w:szCs w:val="24"/>
        </w:rPr>
        <w:t>-</w:t>
      </w:r>
      <w:r>
        <w:rPr>
          <w:sz w:val="24"/>
          <w:szCs w:val="24"/>
        </w:rPr>
        <w:t>friendly which is invaluable for such a vast work.</w:t>
      </w:r>
      <w:r w:rsidR="00067A0A">
        <w:rPr>
          <w:sz w:val="24"/>
          <w:szCs w:val="24"/>
        </w:rPr>
        <w:t xml:space="preserve"> This work covers a wide array of subjects from Rome’s military </w:t>
      </w:r>
      <w:r w:rsidR="00FF79A4">
        <w:rPr>
          <w:sz w:val="24"/>
          <w:szCs w:val="24"/>
        </w:rPr>
        <w:t>capabilities, the tyranny of emperors, the rise of Christianity, and the barbarian invasions.</w:t>
      </w:r>
      <w:r w:rsidR="00067A0A">
        <w:rPr>
          <w:sz w:val="24"/>
          <w:szCs w:val="24"/>
        </w:rPr>
        <w:t xml:space="preserve"> There is no bibliography or index with this work which makes it difficult to establish Gibbons sources.</w:t>
      </w:r>
      <w:r w:rsidR="00FF79A4">
        <w:rPr>
          <w:sz w:val="24"/>
          <w:szCs w:val="24"/>
        </w:rPr>
        <w:t xml:space="preserve"> It is still, however, an important work for the study of historical attitudes especially regarding the ancient world in 18</w:t>
      </w:r>
      <w:r w:rsidR="00FF79A4" w:rsidRPr="00FF79A4">
        <w:rPr>
          <w:sz w:val="24"/>
          <w:szCs w:val="24"/>
          <w:vertAlign w:val="superscript"/>
        </w:rPr>
        <w:t>th</w:t>
      </w:r>
      <w:r w:rsidR="00FF79A4">
        <w:rPr>
          <w:sz w:val="24"/>
          <w:szCs w:val="24"/>
        </w:rPr>
        <w:t xml:space="preserve"> century</w:t>
      </w:r>
      <w:r w:rsidR="003826DB">
        <w:rPr>
          <w:sz w:val="24"/>
          <w:szCs w:val="24"/>
        </w:rPr>
        <w:t xml:space="preserve"> Britain</w:t>
      </w:r>
      <w:r w:rsidR="00FF79A4">
        <w:rPr>
          <w:sz w:val="24"/>
          <w:szCs w:val="24"/>
        </w:rPr>
        <w:t>.</w:t>
      </w:r>
    </w:p>
    <w:p w14:paraId="0CF26F0F" w14:textId="4B9B5416" w:rsidR="00711A14" w:rsidRDefault="00711A14" w:rsidP="00EE11AA">
      <w:pPr>
        <w:rPr>
          <w:sz w:val="24"/>
          <w:szCs w:val="24"/>
        </w:rPr>
      </w:pPr>
    </w:p>
    <w:p w14:paraId="7A1E604C" w14:textId="77777777" w:rsidR="00711A14" w:rsidRDefault="00711A14" w:rsidP="00EE11AA">
      <w:pPr>
        <w:rPr>
          <w:sz w:val="24"/>
          <w:szCs w:val="24"/>
        </w:rPr>
      </w:pPr>
    </w:p>
    <w:p w14:paraId="20F5AE54" w14:textId="7A612F34" w:rsidR="00711A14" w:rsidRDefault="00711A14" w:rsidP="00EE11AA">
      <w:pPr>
        <w:rPr>
          <w:sz w:val="24"/>
          <w:szCs w:val="24"/>
        </w:rPr>
      </w:pPr>
      <w:r w:rsidRPr="00711A14">
        <w:rPr>
          <w:sz w:val="24"/>
          <w:szCs w:val="24"/>
        </w:rPr>
        <w:lastRenderedPageBreak/>
        <w:t xml:space="preserve">Gibbon </w:t>
      </w:r>
      <w:proofErr w:type="spellStart"/>
      <w:r w:rsidRPr="00711A14">
        <w:rPr>
          <w:sz w:val="24"/>
          <w:szCs w:val="24"/>
        </w:rPr>
        <w:t>Esq.</w:t>
      </w:r>
      <w:proofErr w:type="spellEnd"/>
      <w:r w:rsidRPr="00711A14">
        <w:rPr>
          <w:sz w:val="24"/>
          <w:szCs w:val="24"/>
        </w:rPr>
        <w:t xml:space="preserve"> Edward, </w:t>
      </w:r>
      <w:r w:rsidRPr="00711A14">
        <w:rPr>
          <w:i/>
          <w:iCs/>
          <w:sz w:val="24"/>
          <w:szCs w:val="24"/>
        </w:rPr>
        <w:t>The Private Letters of Edward Gibbon (1753-1794) Volume 2.</w:t>
      </w:r>
      <w:r w:rsidRPr="00711A14">
        <w:rPr>
          <w:sz w:val="24"/>
          <w:szCs w:val="24"/>
        </w:rPr>
        <w:t> (London: John Murray, 1804)</w:t>
      </w:r>
      <w:r>
        <w:rPr>
          <w:sz w:val="24"/>
          <w:szCs w:val="24"/>
        </w:rPr>
        <w:t>.</w:t>
      </w:r>
    </w:p>
    <w:p w14:paraId="7D5CD7CC" w14:textId="10BF3514" w:rsidR="00711A14" w:rsidRDefault="00711A14" w:rsidP="00EE11AA">
      <w:pPr>
        <w:rPr>
          <w:sz w:val="24"/>
          <w:szCs w:val="24"/>
        </w:rPr>
      </w:pPr>
      <w:r>
        <w:rPr>
          <w:sz w:val="24"/>
          <w:szCs w:val="24"/>
        </w:rPr>
        <w:t>This source can be found on the Project Gutenberg website.</w:t>
      </w:r>
    </w:p>
    <w:p w14:paraId="1263FC23" w14:textId="330D91DC" w:rsidR="00711A14" w:rsidRDefault="00711A14" w:rsidP="00EE11AA">
      <w:pPr>
        <w:rPr>
          <w:sz w:val="24"/>
          <w:szCs w:val="24"/>
        </w:rPr>
      </w:pPr>
      <w:hyperlink r:id="rId6" w:history="1">
        <w:r w:rsidRPr="009658FE">
          <w:rPr>
            <w:rStyle w:val="Hyperlink"/>
            <w:sz w:val="24"/>
            <w:szCs w:val="24"/>
          </w:rPr>
          <w:t>http://www.gutenberg.org/ebooks/42632</w:t>
        </w:r>
      </w:hyperlink>
      <w:r>
        <w:rPr>
          <w:sz w:val="24"/>
          <w:szCs w:val="24"/>
        </w:rPr>
        <w:t xml:space="preserve"> [Accessed 21/10/2020].</w:t>
      </w:r>
    </w:p>
    <w:p w14:paraId="75842C88" w14:textId="30CC014B" w:rsidR="005E5B2A" w:rsidRDefault="00711A14" w:rsidP="00EE11AA">
      <w:pPr>
        <w:rPr>
          <w:sz w:val="24"/>
          <w:szCs w:val="24"/>
        </w:rPr>
      </w:pPr>
      <w:r>
        <w:rPr>
          <w:sz w:val="24"/>
          <w:szCs w:val="24"/>
        </w:rPr>
        <w:t xml:space="preserve">These letters give an interesting insight into Gibbon’s personal life. I think this source works well in conjunction with </w:t>
      </w:r>
      <w:proofErr w:type="spellStart"/>
      <w:r>
        <w:rPr>
          <w:sz w:val="24"/>
          <w:szCs w:val="24"/>
        </w:rPr>
        <w:t>Carnochan’s</w:t>
      </w:r>
      <w:proofErr w:type="spellEnd"/>
      <w:r>
        <w:rPr>
          <w:sz w:val="24"/>
          <w:szCs w:val="24"/>
        </w:rPr>
        <w:t xml:space="preserve"> study of Gibbon’s private affairs. What is most intriguing about these letters is that Gibbon so rarely mentions his work which must have taken up an enormous amount of his time. This may prove useful as a starting point for study into Gibbon’s psychological state.</w:t>
      </w:r>
    </w:p>
    <w:p w14:paraId="1D5A5A03" w14:textId="2E3BEEAC" w:rsidR="00F23D2F" w:rsidRDefault="00F23D2F" w:rsidP="00EE11AA">
      <w:pPr>
        <w:rPr>
          <w:sz w:val="24"/>
          <w:szCs w:val="24"/>
        </w:rPr>
      </w:pPr>
    </w:p>
    <w:p w14:paraId="4C3FFE32" w14:textId="77777777" w:rsidR="00F23D2F" w:rsidRDefault="00F23D2F" w:rsidP="00EE11AA">
      <w:pPr>
        <w:rPr>
          <w:sz w:val="24"/>
          <w:szCs w:val="24"/>
        </w:rPr>
      </w:pPr>
    </w:p>
    <w:p w14:paraId="141BA764" w14:textId="16FD2A40" w:rsidR="005E5B2A" w:rsidRDefault="005E5B2A" w:rsidP="00EE11AA">
      <w:pPr>
        <w:rPr>
          <w:sz w:val="24"/>
          <w:szCs w:val="24"/>
        </w:rPr>
      </w:pPr>
      <w:r w:rsidRPr="005E5B2A">
        <w:rPr>
          <w:sz w:val="24"/>
          <w:szCs w:val="24"/>
        </w:rPr>
        <w:t xml:space="preserve">Letter </w:t>
      </w:r>
      <w:r w:rsidR="00F23D2F">
        <w:rPr>
          <w:sz w:val="24"/>
          <w:szCs w:val="24"/>
        </w:rPr>
        <w:t>t</w:t>
      </w:r>
      <w:r w:rsidRPr="005E5B2A">
        <w:rPr>
          <w:sz w:val="24"/>
          <w:szCs w:val="24"/>
        </w:rPr>
        <w:t xml:space="preserve">o Edward Gibbon, </w:t>
      </w:r>
      <w:proofErr w:type="spellStart"/>
      <w:r w:rsidRPr="005E5B2A">
        <w:rPr>
          <w:sz w:val="24"/>
          <w:szCs w:val="24"/>
        </w:rPr>
        <w:t>Esq.</w:t>
      </w:r>
      <w:proofErr w:type="spellEnd"/>
      <w:r>
        <w:rPr>
          <w:sz w:val="24"/>
          <w:szCs w:val="24"/>
        </w:rPr>
        <w:t xml:space="preserve"> From Horace Walpole</w:t>
      </w:r>
      <w:r w:rsidRPr="005E5B2A">
        <w:rPr>
          <w:sz w:val="24"/>
          <w:szCs w:val="24"/>
        </w:rPr>
        <w:br/>
        <w:t>February 14, 1776.</w:t>
      </w:r>
    </w:p>
    <w:p w14:paraId="0BAD6F89" w14:textId="7DC12D9D" w:rsidR="00687EF5" w:rsidRDefault="00687EF5" w:rsidP="00EE11AA">
      <w:pPr>
        <w:rPr>
          <w:sz w:val="24"/>
          <w:szCs w:val="24"/>
        </w:rPr>
      </w:pPr>
      <w:r>
        <w:rPr>
          <w:sz w:val="24"/>
          <w:szCs w:val="24"/>
        </w:rPr>
        <w:t xml:space="preserve">Walpole Horace, </w:t>
      </w:r>
      <w:r w:rsidRPr="00687EF5">
        <w:rPr>
          <w:i/>
          <w:iCs/>
          <w:sz w:val="24"/>
          <w:szCs w:val="24"/>
        </w:rPr>
        <w:t>The letters of Horace Walpole. Volume 4</w:t>
      </w:r>
      <w:r>
        <w:rPr>
          <w:sz w:val="24"/>
          <w:szCs w:val="24"/>
        </w:rPr>
        <w:t>. (Philadelphia: Lea and Blanchard, 1842).</w:t>
      </w:r>
    </w:p>
    <w:p w14:paraId="19595D9E" w14:textId="77777777" w:rsidR="005E5B2A" w:rsidRDefault="005E5B2A" w:rsidP="00EE11AA">
      <w:pPr>
        <w:rPr>
          <w:sz w:val="24"/>
          <w:szCs w:val="24"/>
        </w:rPr>
      </w:pPr>
      <w:r>
        <w:rPr>
          <w:sz w:val="24"/>
          <w:szCs w:val="24"/>
        </w:rPr>
        <w:t>This letter can be found on the project Guttenberg website.</w:t>
      </w:r>
    </w:p>
    <w:p w14:paraId="1D3A175F" w14:textId="094AA1EF" w:rsidR="005E5B2A" w:rsidRDefault="005E5B2A" w:rsidP="00EE11AA">
      <w:pPr>
        <w:rPr>
          <w:sz w:val="24"/>
          <w:szCs w:val="24"/>
        </w:rPr>
      </w:pPr>
      <w:r w:rsidRPr="005E5B2A">
        <w:rPr>
          <w:sz w:val="24"/>
          <w:szCs w:val="24"/>
        </w:rPr>
        <w:t xml:space="preserve"> </w:t>
      </w:r>
      <w:hyperlink r:id="rId7" w:history="1">
        <w:r w:rsidRPr="009658FE">
          <w:rPr>
            <w:rStyle w:val="Hyperlink"/>
            <w:sz w:val="24"/>
            <w:szCs w:val="24"/>
          </w:rPr>
          <w:t>http://www.gutenberg.org/cache/epub/4919/pg4919.html</w:t>
        </w:r>
      </w:hyperlink>
      <w:r>
        <w:rPr>
          <w:sz w:val="24"/>
          <w:szCs w:val="24"/>
        </w:rPr>
        <w:t xml:space="preserve"> [Accessed 21/10/2020]</w:t>
      </w:r>
      <w:r w:rsidR="00F23D2F">
        <w:rPr>
          <w:sz w:val="24"/>
          <w:szCs w:val="24"/>
        </w:rPr>
        <w:t>.</w:t>
      </w:r>
    </w:p>
    <w:p w14:paraId="6C4CF49E" w14:textId="4E30F200" w:rsidR="005E5B2A" w:rsidRDefault="005E5B2A" w:rsidP="00EE11AA">
      <w:pPr>
        <w:rPr>
          <w:sz w:val="24"/>
          <w:szCs w:val="24"/>
        </w:rPr>
      </w:pPr>
      <w:r>
        <w:rPr>
          <w:sz w:val="24"/>
          <w:szCs w:val="24"/>
        </w:rPr>
        <w:t xml:space="preserve">Horace Walpole was a respected literary contemporary of Gibbon. Although this is a short letter it is full of praise and admiration. This source is useful for understanding the reception Gibbon’s work received when first published.  </w:t>
      </w:r>
    </w:p>
    <w:p w14:paraId="26A3ED83" w14:textId="77777777" w:rsidR="005E5B2A" w:rsidRDefault="005E5B2A" w:rsidP="00EE11AA">
      <w:pPr>
        <w:rPr>
          <w:sz w:val="24"/>
          <w:szCs w:val="24"/>
        </w:rPr>
      </w:pPr>
    </w:p>
    <w:p w14:paraId="0E0CF794" w14:textId="77777777" w:rsidR="00D60E97" w:rsidRDefault="00D60E97" w:rsidP="00EE11AA">
      <w:pPr>
        <w:rPr>
          <w:sz w:val="24"/>
          <w:szCs w:val="24"/>
        </w:rPr>
      </w:pPr>
    </w:p>
    <w:p w14:paraId="3981CD69" w14:textId="77777777" w:rsidR="005C3568" w:rsidRDefault="005C3568" w:rsidP="00EE11AA">
      <w:pPr>
        <w:rPr>
          <w:sz w:val="24"/>
          <w:szCs w:val="24"/>
          <w:u w:val="single"/>
        </w:rPr>
      </w:pPr>
    </w:p>
    <w:p w14:paraId="1D7D732F" w14:textId="77777777" w:rsidR="005C3568" w:rsidRDefault="005C3568" w:rsidP="00EE11AA">
      <w:pPr>
        <w:rPr>
          <w:sz w:val="24"/>
          <w:szCs w:val="24"/>
          <w:u w:val="single"/>
        </w:rPr>
      </w:pPr>
    </w:p>
    <w:p w14:paraId="33DF6BF9" w14:textId="77777777" w:rsidR="00F23D2F" w:rsidRDefault="00F23D2F" w:rsidP="00EE11AA">
      <w:pPr>
        <w:rPr>
          <w:sz w:val="24"/>
          <w:szCs w:val="24"/>
          <w:u w:val="single"/>
        </w:rPr>
      </w:pPr>
    </w:p>
    <w:p w14:paraId="6CDE1DF9" w14:textId="77777777" w:rsidR="00F23D2F" w:rsidRDefault="00F23D2F" w:rsidP="00EE11AA">
      <w:pPr>
        <w:rPr>
          <w:sz w:val="24"/>
          <w:szCs w:val="24"/>
          <w:u w:val="single"/>
        </w:rPr>
      </w:pPr>
    </w:p>
    <w:p w14:paraId="57C0778F" w14:textId="1D3DF49E" w:rsidR="00DF78F4" w:rsidRDefault="00DF78F4" w:rsidP="00EE11AA">
      <w:pPr>
        <w:rPr>
          <w:sz w:val="24"/>
          <w:szCs w:val="24"/>
          <w:u w:val="single"/>
        </w:rPr>
      </w:pPr>
      <w:r>
        <w:rPr>
          <w:sz w:val="24"/>
          <w:szCs w:val="24"/>
          <w:u w:val="single"/>
        </w:rPr>
        <w:lastRenderedPageBreak/>
        <w:t>Secondary Sources</w:t>
      </w:r>
    </w:p>
    <w:p w14:paraId="282F9C8A" w14:textId="45952117" w:rsidR="00865F05" w:rsidRDefault="00865F05" w:rsidP="00EE11AA">
      <w:pPr>
        <w:rPr>
          <w:sz w:val="24"/>
          <w:szCs w:val="24"/>
          <w:u w:val="single"/>
        </w:rPr>
      </w:pPr>
    </w:p>
    <w:p w14:paraId="052349B9" w14:textId="4D70A267" w:rsidR="00865F05" w:rsidRDefault="00865F05" w:rsidP="00EE11AA">
      <w:pPr>
        <w:rPr>
          <w:sz w:val="24"/>
          <w:szCs w:val="24"/>
        </w:rPr>
      </w:pPr>
      <w:proofErr w:type="spellStart"/>
      <w:r w:rsidRPr="00865F05">
        <w:rPr>
          <w:sz w:val="24"/>
          <w:szCs w:val="24"/>
        </w:rPr>
        <w:t>Carnochan</w:t>
      </w:r>
      <w:proofErr w:type="spellEnd"/>
      <w:r w:rsidRPr="00865F05">
        <w:rPr>
          <w:sz w:val="24"/>
          <w:szCs w:val="24"/>
        </w:rPr>
        <w:t xml:space="preserve"> W. B. </w:t>
      </w:r>
      <w:r w:rsidRPr="00865F05">
        <w:rPr>
          <w:i/>
          <w:iCs/>
          <w:sz w:val="24"/>
          <w:szCs w:val="24"/>
        </w:rPr>
        <w:t>Gibbon's Solitude: The Inward World of the Historian</w:t>
      </w:r>
      <w:r w:rsidRPr="00865F05">
        <w:rPr>
          <w:sz w:val="24"/>
          <w:szCs w:val="24"/>
        </w:rPr>
        <w:t> (Stanford: Stanford University Press, 1987)</w:t>
      </w:r>
      <w:r>
        <w:rPr>
          <w:sz w:val="24"/>
          <w:szCs w:val="24"/>
        </w:rPr>
        <w:t>.</w:t>
      </w:r>
    </w:p>
    <w:p w14:paraId="75132A99" w14:textId="47C0ECFB" w:rsidR="00865F05" w:rsidRDefault="00865F05" w:rsidP="00EE11AA">
      <w:pPr>
        <w:rPr>
          <w:sz w:val="24"/>
          <w:szCs w:val="24"/>
        </w:rPr>
      </w:pPr>
      <w:r>
        <w:rPr>
          <w:sz w:val="24"/>
          <w:szCs w:val="24"/>
        </w:rPr>
        <w:t>A preview of this book can be found on Google Books.</w:t>
      </w:r>
    </w:p>
    <w:p w14:paraId="4F503951" w14:textId="0B37927D" w:rsidR="00865F05" w:rsidRDefault="00865F05" w:rsidP="00EE11AA">
      <w:pPr>
        <w:rPr>
          <w:sz w:val="24"/>
          <w:szCs w:val="24"/>
        </w:rPr>
      </w:pPr>
      <w:hyperlink r:id="rId8" w:history="1">
        <w:r w:rsidRPr="009658FE">
          <w:rPr>
            <w:rStyle w:val="Hyperlink"/>
            <w:sz w:val="24"/>
            <w:szCs w:val="24"/>
          </w:rPr>
          <w:t>https://books.google.co.uk/books/about/Gibbon</w:t>
        </w:r>
      </w:hyperlink>
      <w:r>
        <w:rPr>
          <w:sz w:val="24"/>
          <w:szCs w:val="24"/>
        </w:rPr>
        <w:t xml:space="preserve"> [Accessed 21/10/2020].</w:t>
      </w:r>
    </w:p>
    <w:p w14:paraId="6DFB6F25" w14:textId="77E7C039" w:rsidR="00865F05" w:rsidRDefault="00E01077" w:rsidP="00EE11AA">
      <w:pPr>
        <w:rPr>
          <w:sz w:val="24"/>
          <w:szCs w:val="24"/>
        </w:rPr>
      </w:pPr>
      <w:r>
        <w:rPr>
          <w:sz w:val="24"/>
          <w:szCs w:val="24"/>
        </w:rPr>
        <w:t xml:space="preserve">This book is a study of Gibbon’s work and its </w:t>
      </w:r>
      <w:r w:rsidR="0045243A">
        <w:rPr>
          <w:sz w:val="24"/>
          <w:szCs w:val="24"/>
        </w:rPr>
        <w:t>e</w:t>
      </w:r>
      <w:r>
        <w:rPr>
          <w:sz w:val="24"/>
          <w:szCs w:val="24"/>
        </w:rPr>
        <w:t>ffect on his life. The introduction is very well written it describes each chapter in detail making the book very easy to navigate for the research of specific topics. This book also explores Gibbon’s personal relationships which may be an interesting area for further study.</w:t>
      </w:r>
    </w:p>
    <w:p w14:paraId="6307EF61" w14:textId="42773687" w:rsidR="000D2299" w:rsidRDefault="000D2299" w:rsidP="00EE11AA">
      <w:pPr>
        <w:rPr>
          <w:sz w:val="24"/>
          <w:szCs w:val="24"/>
        </w:rPr>
      </w:pPr>
    </w:p>
    <w:p w14:paraId="7273AE29" w14:textId="21DB66AD" w:rsidR="000D2299" w:rsidRDefault="000D2299" w:rsidP="00EE11AA">
      <w:pPr>
        <w:rPr>
          <w:sz w:val="24"/>
          <w:szCs w:val="24"/>
        </w:rPr>
      </w:pPr>
      <w:r w:rsidRPr="000D2299">
        <w:rPr>
          <w:sz w:val="24"/>
          <w:szCs w:val="24"/>
        </w:rPr>
        <w:t>Green Celia, </w:t>
      </w:r>
      <w:r w:rsidRPr="000D2299">
        <w:rPr>
          <w:i/>
          <w:iCs/>
          <w:sz w:val="24"/>
          <w:szCs w:val="24"/>
        </w:rPr>
        <w:t>The Decline and Fall of Science</w:t>
      </w:r>
      <w:r w:rsidRPr="000D2299">
        <w:rPr>
          <w:sz w:val="24"/>
          <w:szCs w:val="24"/>
        </w:rPr>
        <w:t> (Michigan: Hamilton, 1976)</w:t>
      </w:r>
      <w:r>
        <w:rPr>
          <w:sz w:val="24"/>
          <w:szCs w:val="24"/>
        </w:rPr>
        <w:t>.</w:t>
      </w:r>
    </w:p>
    <w:p w14:paraId="78FEBBA8" w14:textId="21F84AC3" w:rsidR="000D2299" w:rsidRPr="00865F05" w:rsidRDefault="000D2299" w:rsidP="00EE11AA">
      <w:pPr>
        <w:rPr>
          <w:sz w:val="24"/>
          <w:szCs w:val="24"/>
        </w:rPr>
      </w:pPr>
      <w:r>
        <w:rPr>
          <w:sz w:val="24"/>
          <w:szCs w:val="24"/>
        </w:rPr>
        <w:t>Celia Green is a writer of psychology and philosophical scepticism. Although the subject matter of this book is not directly related to Gibbon’s work it is an example of his legacy. Dozens of authors have used his ‘</w:t>
      </w:r>
      <w:r w:rsidRPr="000D2299">
        <w:rPr>
          <w:i/>
          <w:iCs/>
          <w:sz w:val="24"/>
          <w:szCs w:val="24"/>
        </w:rPr>
        <w:t>decline and fall</w:t>
      </w:r>
      <w:r>
        <w:rPr>
          <w:sz w:val="24"/>
          <w:szCs w:val="24"/>
        </w:rPr>
        <w:t>’ phrase in their own works as an homage to Gibbon’s work. This work exemplifies the long</w:t>
      </w:r>
      <w:r w:rsidR="0045243A">
        <w:rPr>
          <w:sz w:val="24"/>
          <w:szCs w:val="24"/>
        </w:rPr>
        <w:t>-r</w:t>
      </w:r>
      <w:r>
        <w:rPr>
          <w:sz w:val="24"/>
          <w:szCs w:val="24"/>
        </w:rPr>
        <w:t>eaching impact of ‘</w:t>
      </w:r>
      <w:r w:rsidRPr="000D2299">
        <w:rPr>
          <w:i/>
          <w:iCs/>
          <w:sz w:val="24"/>
          <w:szCs w:val="24"/>
        </w:rPr>
        <w:t>The History of the Decline and Fall of the Roman Empire</w:t>
      </w:r>
      <w:r>
        <w:rPr>
          <w:i/>
          <w:iCs/>
          <w:sz w:val="24"/>
          <w:szCs w:val="24"/>
        </w:rPr>
        <w:t>’.</w:t>
      </w:r>
    </w:p>
    <w:p w14:paraId="567093B9" w14:textId="77777777" w:rsidR="00355E6D" w:rsidRDefault="00355E6D" w:rsidP="00EE11AA">
      <w:pPr>
        <w:rPr>
          <w:sz w:val="24"/>
          <w:szCs w:val="24"/>
          <w:u w:val="single"/>
        </w:rPr>
      </w:pPr>
    </w:p>
    <w:p w14:paraId="4A5F693B" w14:textId="4296499D" w:rsidR="00DF78F4" w:rsidRPr="005C3568" w:rsidRDefault="00151410" w:rsidP="00EE11AA">
      <w:pPr>
        <w:rPr>
          <w:sz w:val="24"/>
          <w:szCs w:val="24"/>
        </w:rPr>
      </w:pPr>
      <w:r w:rsidRPr="00151410">
        <w:rPr>
          <w:sz w:val="24"/>
          <w:szCs w:val="24"/>
        </w:rPr>
        <w:t>Cosgrove Peter, 'The Circulation of Genres in Gibbon's Decline and Fall of the Roman Empire', </w:t>
      </w:r>
      <w:r w:rsidRPr="00151410">
        <w:rPr>
          <w:i/>
          <w:iCs/>
          <w:sz w:val="24"/>
          <w:szCs w:val="24"/>
        </w:rPr>
        <w:t>E</w:t>
      </w:r>
      <w:r>
        <w:rPr>
          <w:i/>
          <w:iCs/>
          <w:sz w:val="24"/>
          <w:szCs w:val="24"/>
        </w:rPr>
        <w:t>LH</w:t>
      </w:r>
      <w:r w:rsidRPr="00151410">
        <w:rPr>
          <w:i/>
          <w:iCs/>
          <w:sz w:val="24"/>
          <w:szCs w:val="24"/>
        </w:rPr>
        <w:t>, </w:t>
      </w:r>
      <w:r w:rsidRPr="00151410">
        <w:rPr>
          <w:sz w:val="24"/>
          <w:szCs w:val="24"/>
        </w:rPr>
        <w:t>63 (1996), 109-138</w:t>
      </w:r>
      <w:r>
        <w:rPr>
          <w:sz w:val="24"/>
          <w:szCs w:val="24"/>
        </w:rPr>
        <w:t>.</w:t>
      </w:r>
    </w:p>
    <w:p w14:paraId="54572800" w14:textId="302813B1" w:rsidR="00DF78F4" w:rsidRDefault="00151410" w:rsidP="00EE11AA">
      <w:pPr>
        <w:rPr>
          <w:sz w:val="24"/>
          <w:szCs w:val="24"/>
        </w:rPr>
      </w:pPr>
      <w:r>
        <w:rPr>
          <w:sz w:val="24"/>
          <w:szCs w:val="24"/>
        </w:rPr>
        <w:t xml:space="preserve">This work can be found on </w:t>
      </w:r>
      <w:proofErr w:type="spellStart"/>
      <w:r>
        <w:rPr>
          <w:sz w:val="24"/>
          <w:szCs w:val="24"/>
        </w:rPr>
        <w:t>Jstor</w:t>
      </w:r>
      <w:proofErr w:type="spellEnd"/>
      <w:r>
        <w:rPr>
          <w:sz w:val="24"/>
          <w:szCs w:val="24"/>
        </w:rPr>
        <w:t>.</w:t>
      </w:r>
    </w:p>
    <w:p w14:paraId="0C8829A9" w14:textId="2030CBBA" w:rsidR="00151410" w:rsidRDefault="008D3CF6" w:rsidP="00EE11AA">
      <w:pPr>
        <w:rPr>
          <w:sz w:val="24"/>
          <w:szCs w:val="24"/>
        </w:rPr>
      </w:pPr>
      <w:hyperlink r:id="rId9" w:history="1">
        <w:r w:rsidR="00151410" w:rsidRPr="00BE695D">
          <w:rPr>
            <w:rStyle w:val="Hyperlink"/>
            <w:sz w:val="24"/>
            <w:szCs w:val="24"/>
          </w:rPr>
          <w:t>https://www-jstor-org.ezproxy.uwtsd.ac.uk/</w:t>
        </w:r>
      </w:hyperlink>
      <w:r w:rsidR="00151410">
        <w:rPr>
          <w:sz w:val="24"/>
          <w:szCs w:val="24"/>
        </w:rPr>
        <w:t xml:space="preserve"> [Accessed 28/10/2020]</w:t>
      </w:r>
      <w:r w:rsidR="00F23D2F">
        <w:rPr>
          <w:sz w:val="24"/>
          <w:szCs w:val="24"/>
        </w:rPr>
        <w:t>.</w:t>
      </w:r>
    </w:p>
    <w:p w14:paraId="277B8522" w14:textId="047C4B6F" w:rsidR="005C4FDB" w:rsidRDefault="00151410" w:rsidP="00EE11AA">
      <w:pPr>
        <w:rPr>
          <w:sz w:val="24"/>
          <w:szCs w:val="24"/>
        </w:rPr>
      </w:pPr>
      <w:r>
        <w:rPr>
          <w:sz w:val="24"/>
          <w:szCs w:val="24"/>
        </w:rPr>
        <w:t xml:space="preserve">Cosgrave’s article seeks to explore the extra-historical </w:t>
      </w:r>
      <w:r w:rsidR="00795AE9">
        <w:rPr>
          <w:sz w:val="24"/>
          <w:szCs w:val="24"/>
        </w:rPr>
        <w:t>genres</w:t>
      </w:r>
      <w:r>
        <w:rPr>
          <w:sz w:val="24"/>
          <w:szCs w:val="24"/>
        </w:rPr>
        <w:t xml:space="preserve"> found in </w:t>
      </w:r>
      <w:r w:rsidR="00F23D2F">
        <w:rPr>
          <w:sz w:val="24"/>
          <w:szCs w:val="24"/>
        </w:rPr>
        <w:t>‘</w:t>
      </w:r>
      <w:r w:rsidRPr="00151410">
        <w:rPr>
          <w:i/>
          <w:iCs/>
          <w:sz w:val="24"/>
          <w:szCs w:val="24"/>
        </w:rPr>
        <w:t>The History of the Decline and Fall of the Roman Empire</w:t>
      </w:r>
      <w:r w:rsidR="00F23D2F">
        <w:rPr>
          <w:i/>
          <w:iCs/>
          <w:sz w:val="24"/>
          <w:szCs w:val="24"/>
        </w:rPr>
        <w:t>’</w:t>
      </w:r>
      <w:r>
        <w:rPr>
          <w:sz w:val="24"/>
          <w:szCs w:val="24"/>
        </w:rPr>
        <w:t>. He claims that Gibbon’s work falls between paradigms representing both traditional modes of epic and rhetoric while also being part of the newer romantic genre.</w:t>
      </w:r>
      <w:r w:rsidR="00795AE9">
        <w:rPr>
          <w:sz w:val="24"/>
          <w:szCs w:val="24"/>
        </w:rPr>
        <w:t xml:space="preserve"> This article is a useful tool in understanding the nuances of Gibbon’s work and situating it within contemporary literary traditions. </w:t>
      </w:r>
      <w:r>
        <w:rPr>
          <w:sz w:val="24"/>
          <w:szCs w:val="24"/>
        </w:rPr>
        <w:t xml:space="preserve"> </w:t>
      </w:r>
    </w:p>
    <w:p w14:paraId="6C1E6B4E" w14:textId="539F3535" w:rsidR="00355E6D" w:rsidRDefault="006E5FFF" w:rsidP="00EE11AA">
      <w:pPr>
        <w:rPr>
          <w:sz w:val="24"/>
          <w:szCs w:val="24"/>
        </w:rPr>
      </w:pPr>
      <w:proofErr w:type="spellStart"/>
      <w:r w:rsidRPr="006E5FFF">
        <w:rPr>
          <w:sz w:val="24"/>
          <w:szCs w:val="24"/>
        </w:rPr>
        <w:lastRenderedPageBreak/>
        <w:t>DeGabriele</w:t>
      </w:r>
      <w:proofErr w:type="spellEnd"/>
      <w:r w:rsidRPr="006E5FFF">
        <w:rPr>
          <w:sz w:val="24"/>
          <w:szCs w:val="24"/>
        </w:rPr>
        <w:t xml:space="preserve"> Peter, </w:t>
      </w:r>
      <w:r w:rsidRPr="006E5FFF">
        <w:rPr>
          <w:i/>
          <w:iCs/>
          <w:sz w:val="24"/>
          <w:szCs w:val="24"/>
        </w:rPr>
        <w:t xml:space="preserve">Sympathy for the Sovereign: Sovereignty, Sympathy, and the Colonial Relation in Edward Gibbon's </w:t>
      </w:r>
      <w:proofErr w:type="gramStart"/>
      <w:r w:rsidRPr="006E5FFF">
        <w:rPr>
          <w:i/>
          <w:iCs/>
          <w:sz w:val="24"/>
          <w:szCs w:val="24"/>
        </w:rPr>
        <w:t>The</w:t>
      </w:r>
      <w:proofErr w:type="gramEnd"/>
      <w:r w:rsidRPr="006E5FFF">
        <w:rPr>
          <w:i/>
          <w:iCs/>
          <w:sz w:val="24"/>
          <w:szCs w:val="24"/>
        </w:rPr>
        <w:t> Decline and Fall of the Roman Empire.</w:t>
      </w:r>
      <w:r w:rsidRPr="006E5FFF">
        <w:rPr>
          <w:sz w:val="24"/>
          <w:szCs w:val="24"/>
        </w:rPr>
        <w:t> (Philadelphia: University of Pennsylvania Press, 2012)</w:t>
      </w:r>
      <w:r>
        <w:rPr>
          <w:sz w:val="24"/>
          <w:szCs w:val="24"/>
        </w:rPr>
        <w:t>.</w:t>
      </w:r>
    </w:p>
    <w:p w14:paraId="35A59905" w14:textId="6690B108" w:rsidR="00D16744" w:rsidRDefault="006E5FFF" w:rsidP="00EE11AA">
      <w:pPr>
        <w:rPr>
          <w:sz w:val="24"/>
          <w:szCs w:val="24"/>
        </w:rPr>
      </w:pPr>
      <w:r>
        <w:rPr>
          <w:sz w:val="24"/>
          <w:szCs w:val="24"/>
        </w:rPr>
        <w:t xml:space="preserve">This book explores Gibbon’s attitude towards the distribution of political power and his belief that sympathy for the people was not sufficient to ensure just governance by an emperor. Given the time in which Gibbon was writing and publishing his works, between the American and French revolutions, </w:t>
      </w:r>
      <w:proofErr w:type="spellStart"/>
      <w:r>
        <w:rPr>
          <w:sz w:val="24"/>
          <w:szCs w:val="24"/>
        </w:rPr>
        <w:t>DeGabriele’s</w:t>
      </w:r>
      <w:proofErr w:type="spellEnd"/>
      <w:r>
        <w:rPr>
          <w:sz w:val="24"/>
          <w:szCs w:val="24"/>
        </w:rPr>
        <w:t xml:space="preserve"> interpretations provide </w:t>
      </w:r>
      <w:r w:rsidR="00D16744">
        <w:rPr>
          <w:sz w:val="24"/>
          <w:szCs w:val="24"/>
        </w:rPr>
        <w:t>an</w:t>
      </w:r>
      <w:r>
        <w:rPr>
          <w:sz w:val="24"/>
          <w:szCs w:val="24"/>
        </w:rPr>
        <w:t xml:space="preserve"> interesting angle for further enquiry.  </w:t>
      </w:r>
    </w:p>
    <w:p w14:paraId="0AC68192" w14:textId="7C6572C9" w:rsidR="00DC7B5C" w:rsidRDefault="00DC7B5C" w:rsidP="00EE11AA">
      <w:pPr>
        <w:rPr>
          <w:sz w:val="24"/>
          <w:szCs w:val="24"/>
        </w:rPr>
      </w:pPr>
    </w:p>
    <w:p w14:paraId="5AF1846D" w14:textId="79D5FDA2" w:rsidR="00DC7B5C" w:rsidRDefault="00460477" w:rsidP="00EE11AA">
      <w:pPr>
        <w:rPr>
          <w:sz w:val="24"/>
          <w:szCs w:val="24"/>
        </w:rPr>
      </w:pPr>
      <w:r w:rsidRPr="00460477">
        <w:rPr>
          <w:sz w:val="24"/>
          <w:szCs w:val="24"/>
        </w:rPr>
        <w:t>Griffin Dustin, '[Untitled] Review: </w:t>
      </w:r>
      <w:r w:rsidRPr="00460477">
        <w:rPr>
          <w:i/>
          <w:iCs/>
          <w:sz w:val="24"/>
          <w:szCs w:val="24"/>
        </w:rPr>
        <w:t xml:space="preserve">Gibbon's Solitude: The Inward World of the Historian. by W. B. </w:t>
      </w:r>
      <w:proofErr w:type="spellStart"/>
      <w:r w:rsidRPr="00460477">
        <w:rPr>
          <w:i/>
          <w:iCs/>
          <w:sz w:val="24"/>
          <w:szCs w:val="24"/>
        </w:rPr>
        <w:t>Carnochan</w:t>
      </w:r>
      <w:proofErr w:type="spellEnd"/>
      <w:r w:rsidRPr="00460477">
        <w:rPr>
          <w:sz w:val="24"/>
          <w:szCs w:val="24"/>
        </w:rPr>
        <w:t>', </w:t>
      </w:r>
      <w:r w:rsidRPr="00460477">
        <w:rPr>
          <w:i/>
          <w:iCs/>
          <w:sz w:val="24"/>
          <w:szCs w:val="24"/>
        </w:rPr>
        <w:t>Eighteenth-Century Studies, </w:t>
      </w:r>
      <w:r w:rsidRPr="00460477">
        <w:rPr>
          <w:sz w:val="24"/>
          <w:szCs w:val="24"/>
        </w:rPr>
        <w:t>22 (1988), 282-286</w:t>
      </w:r>
      <w:r>
        <w:rPr>
          <w:sz w:val="24"/>
          <w:szCs w:val="24"/>
        </w:rPr>
        <w:t>.</w:t>
      </w:r>
    </w:p>
    <w:p w14:paraId="21701C93" w14:textId="6773E5D8" w:rsidR="00460477" w:rsidRDefault="00460477" w:rsidP="00EE11AA">
      <w:pPr>
        <w:rPr>
          <w:sz w:val="24"/>
          <w:szCs w:val="24"/>
        </w:rPr>
      </w:pPr>
      <w:r>
        <w:rPr>
          <w:sz w:val="24"/>
          <w:szCs w:val="24"/>
        </w:rPr>
        <w:t xml:space="preserve">This article can be found on </w:t>
      </w:r>
      <w:proofErr w:type="spellStart"/>
      <w:r>
        <w:rPr>
          <w:sz w:val="24"/>
          <w:szCs w:val="24"/>
        </w:rPr>
        <w:t>Jstor</w:t>
      </w:r>
      <w:proofErr w:type="spellEnd"/>
      <w:r>
        <w:rPr>
          <w:sz w:val="24"/>
          <w:szCs w:val="24"/>
        </w:rPr>
        <w:t>.</w:t>
      </w:r>
    </w:p>
    <w:p w14:paraId="6445754B" w14:textId="6F3C9B95" w:rsidR="00460477" w:rsidRDefault="00460477" w:rsidP="00EE11AA">
      <w:pPr>
        <w:rPr>
          <w:sz w:val="24"/>
          <w:szCs w:val="24"/>
        </w:rPr>
      </w:pPr>
      <w:hyperlink r:id="rId10" w:history="1">
        <w:r w:rsidRPr="009658FE">
          <w:rPr>
            <w:rStyle w:val="Hyperlink"/>
            <w:sz w:val="24"/>
            <w:szCs w:val="24"/>
          </w:rPr>
          <w:t>https://www.jstor.org/stable/2738884?seq=1</w:t>
        </w:r>
      </w:hyperlink>
      <w:r>
        <w:rPr>
          <w:sz w:val="24"/>
          <w:szCs w:val="24"/>
        </w:rPr>
        <w:t xml:space="preserve"> [Accessed 21/10/2020]</w:t>
      </w:r>
      <w:r w:rsidR="00F23D2F">
        <w:rPr>
          <w:sz w:val="24"/>
          <w:szCs w:val="24"/>
        </w:rPr>
        <w:t>.</w:t>
      </w:r>
    </w:p>
    <w:p w14:paraId="1CDA4EFF" w14:textId="512B0D27" w:rsidR="00460477" w:rsidRDefault="00460477" w:rsidP="00EE11AA">
      <w:pPr>
        <w:rPr>
          <w:sz w:val="24"/>
          <w:szCs w:val="24"/>
        </w:rPr>
      </w:pPr>
      <w:r>
        <w:rPr>
          <w:sz w:val="24"/>
          <w:szCs w:val="24"/>
        </w:rPr>
        <w:t xml:space="preserve">This is a review of </w:t>
      </w:r>
      <w:proofErr w:type="spellStart"/>
      <w:r>
        <w:rPr>
          <w:sz w:val="24"/>
          <w:szCs w:val="24"/>
        </w:rPr>
        <w:t>Carnochan’s</w:t>
      </w:r>
      <w:proofErr w:type="spellEnd"/>
      <w:r>
        <w:rPr>
          <w:sz w:val="24"/>
          <w:szCs w:val="24"/>
        </w:rPr>
        <w:t xml:space="preserve"> book on Gibbon’s work. Peer reviews are useful in determining the validity and usefulness of a work and identifying any bias the author may have. </w:t>
      </w:r>
    </w:p>
    <w:p w14:paraId="44007E77" w14:textId="77777777" w:rsidR="005C4FDB" w:rsidRDefault="005C4FDB" w:rsidP="00EE11AA">
      <w:pPr>
        <w:rPr>
          <w:sz w:val="24"/>
          <w:szCs w:val="24"/>
        </w:rPr>
      </w:pPr>
    </w:p>
    <w:p w14:paraId="7B119CD9" w14:textId="6200725F" w:rsidR="00D16744" w:rsidRDefault="005C4FDB" w:rsidP="00EE11AA">
      <w:pPr>
        <w:rPr>
          <w:sz w:val="24"/>
          <w:szCs w:val="24"/>
        </w:rPr>
      </w:pPr>
      <w:r w:rsidRPr="005C4FDB">
        <w:rPr>
          <w:sz w:val="24"/>
          <w:szCs w:val="24"/>
        </w:rPr>
        <w:t>Kelly Christopher, 'A Grand Tour: Reading Gibbon's '</w:t>
      </w:r>
      <w:r w:rsidRPr="005C4FDB">
        <w:rPr>
          <w:i/>
          <w:iCs/>
          <w:sz w:val="24"/>
          <w:szCs w:val="24"/>
        </w:rPr>
        <w:t>Rise and Fall</w:t>
      </w:r>
      <w:r>
        <w:rPr>
          <w:i/>
          <w:iCs/>
          <w:sz w:val="24"/>
          <w:szCs w:val="24"/>
        </w:rPr>
        <w:t>’</w:t>
      </w:r>
      <w:r w:rsidRPr="005C4FDB">
        <w:rPr>
          <w:sz w:val="24"/>
          <w:szCs w:val="24"/>
        </w:rPr>
        <w:t>, </w:t>
      </w:r>
      <w:r w:rsidRPr="005C4FDB">
        <w:rPr>
          <w:i/>
          <w:iCs/>
          <w:sz w:val="24"/>
          <w:szCs w:val="24"/>
        </w:rPr>
        <w:t>Greece and Rome, </w:t>
      </w:r>
      <w:r w:rsidRPr="005C4FDB">
        <w:rPr>
          <w:sz w:val="24"/>
          <w:szCs w:val="24"/>
        </w:rPr>
        <w:t>44 (1997), 39-58</w:t>
      </w:r>
      <w:r>
        <w:rPr>
          <w:sz w:val="24"/>
          <w:szCs w:val="24"/>
        </w:rPr>
        <w:t>.</w:t>
      </w:r>
    </w:p>
    <w:p w14:paraId="463089DE" w14:textId="4204BD56" w:rsidR="005C4FDB" w:rsidRDefault="005C4FDB" w:rsidP="00EE11AA">
      <w:pPr>
        <w:rPr>
          <w:sz w:val="24"/>
          <w:szCs w:val="24"/>
        </w:rPr>
      </w:pPr>
      <w:r>
        <w:rPr>
          <w:sz w:val="24"/>
          <w:szCs w:val="24"/>
        </w:rPr>
        <w:t xml:space="preserve">This article can be found on </w:t>
      </w:r>
      <w:proofErr w:type="spellStart"/>
      <w:r>
        <w:rPr>
          <w:sz w:val="24"/>
          <w:szCs w:val="24"/>
        </w:rPr>
        <w:t>Jstor</w:t>
      </w:r>
      <w:proofErr w:type="spellEnd"/>
      <w:r>
        <w:rPr>
          <w:sz w:val="24"/>
          <w:szCs w:val="24"/>
        </w:rPr>
        <w:t>.</w:t>
      </w:r>
    </w:p>
    <w:p w14:paraId="1DB956C1" w14:textId="77777777" w:rsidR="005C4FDB" w:rsidRDefault="005C4FDB" w:rsidP="00EE11AA">
      <w:pPr>
        <w:rPr>
          <w:sz w:val="24"/>
          <w:szCs w:val="24"/>
        </w:rPr>
      </w:pPr>
      <w:hyperlink r:id="rId11" w:history="1">
        <w:r w:rsidRPr="009658FE">
          <w:rPr>
            <w:rStyle w:val="Hyperlink"/>
            <w:sz w:val="24"/>
            <w:szCs w:val="24"/>
          </w:rPr>
          <w:t>https://www-jstor-org.ezproxy.uwtsd.ac.uk/stable/643145</w:t>
        </w:r>
      </w:hyperlink>
      <w:r w:rsidRPr="005C4FDB">
        <w:rPr>
          <w:sz w:val="24"/>
          <w:szCs w:val="24"/>
        </w:rPr>
        <w:t>?</w:t>
      </w:r>
      <w:r>
        <w:rPr>
          <w:sz w:val="24"/>
          <w:szCs w:val="24"/>
        </w:rPr>
        <w:t xml:space="preserve"> [Accessed 21/10/2020].</w:t>
      </w:r>
    </w:p>
    <w:p w14:paraId="4AE05599" w14:textId="731D5B79" w:rsidR="005C4FDB" w:rsidRDefault="005C4FDB" w:rsidP="00EE11AA">
      <w:pPr>
        <w:rPr>
          <w:sz w:val="24"/>
          <w:szCs w:val="24"/>
        </w:rPr>
      </w:pPr>
      <w:r>
        <w:rPr>
          <w:sz w:val="24"/>
          <w:szCs w:val="24"/>
        </w:rPr>
        <w:t>Kelly’s article examines the range of reactions to Gibbon</w:t>
      </w:r>
      <w:r w:rsidR="0045243A">
        <w:rPr>
          <w:sz w:val="24"/>
          <w:szCs w:val="24"/>
        </w:rPr>
        <w:t>’</w:t>
      </w:r>
      <w:r>
        <w:rPr>
          <w:sz w:val="24"/>
          <w:szCs w:val="24"/>
        </w:rPr>
        <w:t xml:space="preserve">s work both contemporary and more recent. He includes in his work some primary sources that would be difficult to gain access to. This is a useful article as an introduction to the scholarly debate surrounding </w:t>
      </w:r>
      <w:r w:rsidR="00F23D2F">
        <w:rPr>
          <w:sz w:val="24"/>
          <w:szCs w:val="24"/>
        </w:rPr>
        <w:t>‘</w:t>
      </w:r>
      <w:r w:rsidRPr="005C4FDB">
        <w:rPr>
          <w:i/>
          <w:iCs/>
          <w:sz w:val="24"/>
          <w:szCs w:val="24"/>
        </w:rPr>
        <w:t>The History of the Decline and Fall of the Roman Empire</w:t>
      </w:r>
      <w:r w:rsidR="00F23D2F">
        <w:rPr>
          <w:i/>
          <w:iCs/>
          <w:sz w:val="24"/>
          <w:szCs w:val="24"/>
        </w:rPr>
        <w:t>’</w:t>
      </w:r>
      <w:r>
        <w:rPr>
          <w:i/>
          <w:iCs/>
          <w:sz w:val="24"/>
          <w:szCs w:val="24"/>
        </w:rPr>
        <w:t>.</w:t>
      </w:r>
      <w:r>
        <w:rPr>
          <w:sz w:val="24"/>
          <w:szCs w:val="24"/>
        </w:rPr>
        <w:t xml:space="preserve"> </w:t>
      </w:r>
    </w:p>
    <w:p w14:paraId="505FEF9B" w14:textId="77777777" w:rsidR="00AC7D1E" w:rsidRDefault="00AC7D1E" w:rsidP="00EE11AA">
      <w:pPr>
        <w:rPr>
          <w:sz w:val="24"/>
          <w:szCs w:val="24"/>
        </w:rPr>
      </w:pPr>
    </w:p>
    <w:p w14:paraId="51CF7CD2" w14:textId="77777777" w:rsidR="005C4FDB" w:rsidRPr="005C4FDB" w:rsidRDefault="005C4FDB" w:rsidP="005C4FDB">
      <w:pPr>
        <w:rPr>
          <w:sz w:val="24"/>
          <w:szCs w:val="24"/>
        </w:rPr>
      </w:pPr>
      <w:proofErr w:type="spellStart"/>
      <w:r w:rsidRPr="005C4FDB">
        <w:rPr>
          <w:sz w:val="24"/>
          <w:szCs w:val="24"/>
        </w:rPr>
        <w:lastRenderedPageBreak/>
        <w:t>Wormesley</w:t>
      </w:r>
      <w:proofErr w:type="spellEnd"/>
      <w:r w:rsidRPr="005C4FDB">
        <w:rPr>
          <w:sz w:val="24"/>
          <w:szCs w:val="24"/>
        </w:rPr>
        <w:t xml:space="preserve"> David and Warton Thomas, </w:t>
      </w:r>
      <w:r w:rsidRPr="005C4FDB">
        <w:rPr>
          <w:i/>
          <w:iCs/>
          <w:sz w:val="24"/>
          <w:szCs w:val="24"/>
        </w:rPr>
        <w:t>The Transformation of the Decline and Fall of the Roman Empire</w:t>
      </w:r>
      <w:r w:rsidRPr="005C4FDB">
        <w:rPr>
          <w:sz w:val="24"/>
          <w:szCs w:val="24"/>
        </w:rPr>
        <w:t> (Cambridge: Cambridge University Press, 1988).</w:t>
      </w:r>
    </w:p>
    <w:p w14:paraId="1FF464B9" w14:textId="2C4D890C" w:rsidR="005C4FDB" w:rsidRPr="005C4FDB" w:rsidRDefault="005C4FDB" w:rsidP="005C4FDB">
      <w:pPr>
        <w:rPr>
          <w:sz w:val="24"/>
          <w:szCs w:val="24"/>
        </w:rPr>
      </w:pPr>
      <w:r w:rsidRPr="005C4FDB">
        <w:rPr>
          <w:sz w:val="24"/>
          <w:szCs w:val="24"/>
        </w:rPr>
        <w:t xml:space="preserve">This book analyses Gibbon’s </w:t>
      </w:r>
      <w:bookmarkStart w:id="1" w:name="_Hlk54855817"/>
      <w:r w:rsidR="00F23D2F">
        <w:rPr>
          <w:sz w:val="24"/>
          <w:szCs w:val="24"/>
        </w:rPr>
        <w:t>‘</w:t>
      </w:r>
      <w:r w:rsidRPr="005C4FDB">
        <w:rPr>
          <w:i/>
          <w:iCs/>
          <w:sz w:val="24"/>
          <w:szCs w:val="24"/>
        </w:rPr>
        <w:t>The History of the Decline and Fall of the Roman Empire</w:t>
      </w:r>
      <w:bookmarkEnd w:id="1"/>
      <w:r w:rsidR="00F23D2F">
        <w:rPr>
          <w:i/>
          <w:iCs/>
          <w:sz w:val="24"/>
          <w:szCs w:val="24"/>
        </w:rPr>
        <w:t>’</w:t>
      </w:r>
      <w:r w:rsidRPr="005C4FDB">
        <w:rPr>
          <w:sz w:val="24"/>
          <w:szCs w:val="24"/>
        </w:rPr>
        <w:t xml:space="preserve"> both as a work of literature and history. It traces the French and Classical sources used by Gibbon which makes it useful to remedy the flaw highlighted in the description of the original work. </w:t>
      </w:r>
    </w:p>
    <w:p w14:paraId="04807EF3" w14:textId="77777777" w:rsidR="005C4FDB" w:rsidRDefault="005C4FDB" w:rsidP="00EE11AA">
      <w:pPr>
        <w:rPr>
          <w:sz w:val="24"/>
          <w:szCs w:val="24"/>
        </w:rPr>
      </w:pPr>
    </w:p>
    <w:p w14:paraId="737EBD02" w14:textId="64A4E5B9" w:rsidR="00151410" w:rsidRDefault="00151410" w:rsidP="00EE11AA">
      <w:pPr>
        <w:rPr>
          <w:sz w:val="24"/>
          <w:szCs w:val="24"/>
        </w:rPr>
      </w:pPr>
      <w:r>
        <w:rPr>
          <w:sz w:val="24"/>
          <w:szCs w:val="24"/>
        </w:rPr>
        <w:t xml:space="preserve"> </w:t>
      </w:r>
    </w:p>
    <w:p w14:paraId="0FFA382B" w14:textId="0D49777B" w:rsidR="00151410" w:rsidRDefault="00151410" w:rsidP="00EE11AA">
      <w:pPr>
        <w:rPr>
          <w:sz w:val="24"/>
          <w:szCs w:val="24"/>
        </w:rPr>
      </w:pPr>
    </w:p>
    <w:p w14:paraId="56796374" w14:textId="09E934B5" w:rsidR="00151410" w:rsidRDefault="00151410" w:rsidP="00EE11AA">
      <w:pPr>
        <w:rPr>
          <w:sz w:val="24"/>
          <w:szCs w:val="24"/>
        </w:rPr>
      </w:pPr>
    </w:p>
    <w:p w14:paraId="5297B5E1" w14:textId="77777777" w:rsidR="00151410" w:rsidRPr="00EE11AA" w:rsidRDefault="00151410" w:rsidP="00EE11AA">
      <w:pPr>
        <w:rPr>
          <w:sz w:val="24"/>
          <w:szCs w:val="24"/>
        </w:rPr>
      </w:pPr>
    </w:p>
    <w:p w14:paraId="5ED3AB7D" w14:textId="77777777" w:rsidR="004344B4" w:rsidRPr="004344B4" w:rsidRDefault="004344B4" w:rsidP="004344B4">
      <w:pPr>
        <w:rPr>
          <w:sz w:val="24"/>
          <w:szCs w:val="24"/>
        </w:rPr>
      </w:pPr>
    </w:p>
    <w:sectPr w:rsidR="004344B4" w:rsidRPr="004344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6451ED"/>
    <w:multiLevelType w:val="hybridMultilevel"/>
    <w:tmpl w:val="72A6BB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89C6B20"/>
    <w:multiLevelType w:val="hybridMultilevel"/>
    <w:tmpl w:val="120C9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5632E2"/>
    <w:multiLevelType w:val="hybridMultilevel"/>
    <w:tmpl w:val="AF48E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160"/>
    <w:rsid w:val="00067A0A"/>
    <w:rsid w:val="000D2299"/>
    <w:rsid w:val="00143F7D"/>
    <w:rsid w:val="00151410"/>
    <w:rsid w:val="00351691"/>
    <w:rsid w:val="00355E6D"/>
    <w:rsid w:val="003826DB"/>
    <w:rsid w:val="003B0EAF"/>
    <w:rsid w:val="004344B4"/>
    <w:rsid w:val="0045243A"/>
    <w:rsid w:val="00460477"/>
    <w:rsid w:val="005C3568"/>
    <w:rsid w:val="005C4FDB"/>
    <w:rsid w:val="005E5B2A"/>
    <w:rsid w:val="00687EF5"/>
    <w:rsid w:val="006E5FFF"/>
    <w:rsid w:val="00711A14"/>
    <w:rsid w:val="007165C2"/>
    <w:rsid w:val="00725FA8"/>
    <w:rsid w:val="00795AE9"/>
    <w:rsid w:val="00827F29"/>
    <w:rsid w:val="00831590"/>
    <w:rsid w:val="00865F05"/>
    <w:rsid w:val="008D3CF6"/>
    <w:rsid w:val="00A337D6"/>
    <w:rsid w:val="00AC7D1E"/>
    <w:rsid w:val="00B25160"/>
    <w:rsid w:val="00C30530"/>
    <w:rsid w:val="00D16744"/>
    <w:rsid w:val="00D60E97"/>
    <w:rsid w:val="00DC7B5C"/>
    <w:rsid w:val="00DF78F4"/>
    <w:rsid w:val="00E01077"/>
    <w:rsid w:val="00EE11AA"/>
    <w:rsid w:val="00F23D2F"/>
    <w:rsid w:val="00FF7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7CEFD"/>
  <w15:chartTrackingRefBased/>
  <w15:docId w15:val="{3E8F763A-BF98-4D20-9BC6-1AB0F1934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EAF"/>
    <w:pPr>
      <w:ind w:left="720"/>
      <w:contextualSpacing/>
    </w:pPr>
  </w:style>
  <w:style w:type="character" w:styleId="Hyperlink">
    <w:name w:val="Hyperlink"/>
    <w:basedOn w:val="DefaultParagraphFont"/>
    <w:uiPriority w:val="99"/>
    <w:unhideWhenUsed/>
    <w:rsid w:val="00D60E97"/>
    <w:rPr>
      <w:color w:val="0563C1" w:themeColor="hyperlink"/>
      <w:u w:val="single"/>
    </w:rPr>
  </w:style>
  <w:style w:type="character" w:styleId="UnresolvedMention">
    <w:name w:val="Unresolved Mention"/>
    <w:basedOn w:val="DefaultParagraphFont"/>
    <w:uiPriority w:val="99"/>
    <w:semiHidden/>
    <w:unhideWhenUsed/>
    <w:rsid w:val="00D60E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9944195">
      <w:bodyDiv w:val="1"/>
      <w:marLeft w:val="0"/>
      <w:marRight w:val="0"/>
      <w:marTop w:val="0"/>
      <w:marBottom w:val="0"/>
      <w:divBdr>
        <w:top w:val="none" w:sz="0" w:space="0" w:color="auto"/>
        <w:left w:val="none" w:sz="0" w:space="0" w:color="auto"/>
        <w:bottom w:val="none" w:sz="0" w:space="0" w:color="auto"/>
        <w:right w:val="none" w:sz="0" w:space="0" w:color="auto"/>
      </w:divBdr>
    </w:div>
    <w:div w:id="1007714000">
      <w:bodyDiv w:val="1"/>
      <w:marLeft w:val="0"/>
      <w:marRight w:val="0"/>
      <w:marTop w:val="0"/>
      <w:marBottom w:val="0"/>
      <w:divBdr>
        <w:top w:val="none" w:sz="0" w:space="0" w:color="auto"/>
        <w:left w:val="none" w:sz="0" w:space="0" w:color="auto"/>
        <w:bottom w:val="none" w:sz="0" w:space="0" w:color="auto"/>
        <w:right w:val="none" w:sz="0" w:space="0" w:color="auto"/>
      </w:divBdr>
    </w:div>
    <w:div w:id="2147160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Gibbon"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utenberg.org/cache/epub/4919/pg4919.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utenberg.org/ebooks/42632" TargetMode="External"/><Relationship Id="rId11" Type="http://schemas.openxmlformats.org/officeDocument/2006/relationships/hyperlink" Target="https://www-jstor-org.ezproxy.uwtsd.ac.uk/stable/643145" TargetMode="External"/><Relationship Id="rId5" Type="http://schemas.openxmlformats.org/officeDocument/2006/relationships/hyperlink" Target="https://www.gutenberg.org/files/25717/25717-h/25717-h.htm" TargetMode="External"/><Relationship Id="rId10" Type="http://schemas.openxmlformats.org/officeDocument/2006/relationships/hyperlink" Target="https://www.jstor.org/stable/2738884?seq=1" TargetMode="External"/><Relationship Id="rId4" Type="http://schemas.openxmlformats.org/officeDocument/2006/relationships/webSettings" Target="webSettings.xml"/><Relationship Id="rId9" Type="http://schemas.openxmlformats.org/officeDocument/2006/relationships/hyperlink" Target="https://www-jstor-org.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5</Pages>
  <Words>1023</Words>
  <Characters>5835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morris</dc:creator>
  <cp:keywords/>
  <dc:description/>
  <cp:lastModifiedBy>rosie morris</cp:lastModifiedBy>
  <cp:revision>21</cp:revision>
  <dcterms:created xsi:type="dcterms:W3CDTF">2020-10-07T20:07:00Z</dcterms:created>
  <dcterms:modified xsi:type="dcterms:W3CDTF">2020-10-29T14:33:00Z</dcterms:modified>
</cp:coreProperties>
</file>