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DCC18" w14:textId="5F79D67B" w:rsidR="009544F4" w:rsidRPr="007B1194" w:rsidRDefault="009544F4" w:rsidP="00E220DC">
      <w:pPr>
        <w:spacing w:before="240"/>
        <w:jc w:val="center"/>
        <w:rPr>
          <w:rFonts w:ascii="Times New Roman" w:hAnsi="Times New Roman" w:cs="Times New Roman"/>
          <w:sz w:val="28"/>
          <w:szCs w:val="28"/>
          <w:u w:val="single"/>
        </w:rPr>
      </w:pPr>
      <w:bookmarkStart w:id="0" w:name="_Hlk171027070"/>
      <w:r w:rsidRPr="007B1194">
        <w:rPr>
          <w:rFonts w:ascii="Times New Roman" w:hAnsi="Times New Roman" w:cs="Times New Roman"/>
          <w:sz w:val="28"/>
          <w:szCs w:val="28"/>
          <w:u w:val="single"/>
        </w:rPr>
        <w:t>Essay Plan</w:t>
      </w:r>
    </w:p>
    <w:p w14:paraId="2982423F" w14:textId="6455AEF4" w:rsidR="00CC0E1A" w:rsidRPr="007C036B" w:rsidRDefault="009544F4">
      <w:pPr>
        <w:rPr>
          <w:rFonts w:ascii="Times New Roman" w:hAnsi="Times New Roman" w:cs="Times New Roman"/>
          <w:sz w:val="24"/>
          <w:szCs w:val="24"/>
        </w:rPr>
      </w:pPr>
      <w:r w:rsidRPr="007C036B">
        <w:rPr>
          <w:rFonts w:ascii="Times New Roman" w:hAnsi="Times New Roman" w:cs="Times New Roman"/>
          <w:b/>
          <w:bCs/>
          <w:sz w:val="24"/>
          <w:szCs w:val="24"/>
        </w:rPr>
        <w:t>ESSAY TITLE</w:t>
      </w:r>
      <w:r w:rsidR="00ED3D7D" w:rsidRPr="007C036B">
        <w:rPr>
          <w:rFonts w:ascii="Times New Roman" w:hAnsi="Times New Roman" w:cs="Times New Roman"/>
          <w:b/>
          <w:bCs/>
          <w:sz w:val="24"/>
          <w:szCs w:val="24"/>
        </w:rPr>
        <w:t>:</w:t>
      </w:r>
      <w:r w:rsidR="00CC0E1A" w:rsidRPr="007C036B">
        <w:rPr>
          <w:rFonts w:ascii="Times New Roman" w:hAnsi="Times New Roman" w:cs="Times New Roman"/>
          <w:sz w:val="24"/>
          <w:szCs w:val="24"/>
        </w:rPr>
        <w:t xml:space="preserve"> </w:t>
      </w:r>
      <w:r w:rsidR="00ED3D7D" w:rsidRPr="007C036B">
        <w:rPr>
          <w:rFonts w:ascii="Times New Roman" w:hAnsi="Times New Roman" w:cs="Times New Roman"/>
          <w:sz w:val="24"/>
          <w:szCs w:val="24"/>
        </w:rPr>
        <w:t xml:space="preserve">Wonder or None: Glass Beads as Grave Goods in Iron Age Britain </w:t>
      </w:r>
    </w:p>
    <w:p w14:paraId="52EA85BB" w14:textId="60260672" w:rsidR="00CC0E1A" w:rsidRPr="007C036B" w:rsidRDefault="00CC0E1A" w:rsidP="00FE177C">
      <w:pPr>
        <w:jc w:val="center"/>
        <w:rPr>
          <w:rFonts w:ascii="Times New Roman" w:hAnsi="Times New Roman" w:cs="Times New Roman"/>
          <w:b/>
          <w:bCs/>
          <w:sz w:val="24"/>
          <w:szCs w:val="24"/>
          <w:highlight w:val="yellow"/>
        </w:rPr>
      </w:pPr>
      <w:r w:rsidRPr="007C036B">
        <w:rPr>
          <w:rFonts w:ascii="Times New Roman" w:hAnsi="Times New Roman" w:cs="Times New Roman"/>
          <w:b/>
          <w:bCs/>
          <w:sz w:val="24"/>
          <w:szCs w:val="24"/>
        </w:rPr>
        <w:t>INTRODUCTION</w:t>
      </w:r>
      <w:r w:rsidR="00ED3D7D" w:rsidRPr="007C036B">
        <w:rPr>
          <w:rFonts w:ascii="Times New Roman" w:hAnsi="Times New Roman" w:cs="Times New Roman"/>
          <w:b/>
          <w:bCs/>
          <w:sz w:val="24"/>
          <w:szCs w:val="24"/>
        </w:rPr>
        <w:t>:</w:t>
      </w:r>
    </w:p>
    <w:p w14:paraId="3FEE6AAA" w14:textId="5ACE2F67" w:rsidR="009544F4" w:rsidRPr="007C036B" w:rsidRDefault="009544F4" w:rsidP="009544F4">
      <w:pPr>
        <w:rPr>
          <w:rFonts w:ascii="Times New Roman" w:hAnsi="Times New Roman" w:cs="Times New Roman"/>
          <w:sz w:val="24"/>
          <w:szCs w:val="24"/>
        </w:rPr>
      </w:pPr>
      <w:r w:rsidRPr="007C036B">
        <w:rPr>
          <w:rFonts w:ascii="Times New Roman" w:hAnsi="Times New Roman" w:cs="Times New Roman"/>
          <w:sz w:val="24"/>
          <w:szCs w:val="24"/>
        </w:rPr>
        <w:t>BACKGROUND AND CONTEXT</w:t>
      </w:r>
      <w:r w:rsidR="009E17E5" w:rsidRPr="007C036B">
        <w:rPr>
          <w:rFonts w:ascii="Times New Roman" w:hAnsi="Times New Roman" w:cs="Times New Roman"/>
          <w:sz w:val="24"/>
          <w:szCs w:val="24"/>
        </w:rPr>
        <w:t xml:space="preserve">: </w:t>
      </w:r>
    </w:p>
    <w:p w14:paraId="5ACA3515" w14:textId="7A7E7300" w:rsidR="005C5C31" w:rsidRPr="007C036B" w:rsidRDefault="009544F4" w:rsidP="005C5C31">
      <w:pPr>
        <w:pStyle w:val="ListParagraph"/>
        <w:numPr>
          <w:ilvl w:val="0"/>
          <w:numId w:val="2"/>
        </w:numPr>
        <w:rPr>
          <w:rFonts w:ascii="Times New Roman" w:hAnsi="Times New Roman" w:cs="Times New Roman"/>
          <w:sz w:val="24"/>
          <w:szCs w:val="24"/>
        </w:rPr>
      </w:pPr>
      <w:r w:rsidRPr="007C036B">
        <w:rPr>
          <w:rFonts w:ascii="Times New Roman" w:hAnsi="Times New Roman" w:cs="Times New Roman"/>
          <w:sz w:val="24"/>
          <w:szCs w:val="24"/>
        </w:rPr>
        <w:t xml:space="preserve">The essay focuses on glass bead finds in burials from Iron Age Britain. </w:t>
      </w:r>
      <w:r w:rsidR="007D3996">
        <w:rPr>
          <w:rFonts w:ascii="Times New Roman" w:hAnsi="Times New Roman" w:cs="Times New Roman"/>
          <w:sz w:val="24"/>
          <w:szCs w:val="24"/>
        </w:rPr>
        <w:t>In particular, the role that glass beads may have played in Iron Age societies.</w:t>
      </w:r>
      <w:r w:rsidR="007D3996">
        <w:rPr>
          <w:rStyle w:val="FootnoteReference"/>
          <w:rFonts w:ascii="Times New Roman" w:hAnsi="Times New Roman" w:cs="Times New Roman"/>
          <w:sz w:val="24"/>
          <w:szCs w:val="24"/>
        </w:rPr>
        <w:footnoteReference w:id="1"/>
      </w:r>
      <w:r w:rsidR="007D3996">
        <w:rPr>
          <w:rFonts w:ascii="Times New Roman" w:hAnsi="Times New Roman" w:cs="Times New Roman"/>
          <w:sz w:val="24"/>
          <w:szCs w:val="24"/>
        </w:rPr>
        <w:t xml:space="preserve"> </w:t>
      </w:r>
    </w:p>
    <w:p w14:paraId="557142D0" w14:textId="1B405924" w:rsidR="009E17E5" w:rsidRPr="007C036B" w:rsidRDefault="009E17E5" w:rsidP="005C5C31">
      <w:pPr>
        <w:pStyle w:val="ListParagraph"/>
        <w:numPr>
          <w:ilvl w:val="0"/>
          <w:numId w:val="2"/>
        </w:numPr>
        <w:rPr>
          <w:rFonts w:ascii="Times New Roman" w:hAnsi="Times New Roman" w:cs="Times New Roman"/>
          <w:sz w:val="24"/>
          <w:szCs w:val="24"/>
        </w:rPr>
      </w:pPr>
      <w:r w:rsidRPr="007C036B">
        <w:rPr>
          <w:rFonts w:ascii="Times New Roman" w:hAnsi="Times New Roman" w:cs="Times New Roman"/>
          <w:sz w:val="24"/>
          <w:szCs w:val="24"/>
        </w:rPr>
        <w:t>This essay will utilise two case studies</w:t>
      </w:r>
      <w:r w:rsidR="007D3996">
        <w:rPr>
          <w:rFonts w:ascii="Times New Roman" w:hAnsi="Times New Roman" w:cs="Times New Roman"/>
          <w:sz w:val="24"/>
          <w:szCs w:val="24"/>
        </w:rPr>
        <w:t xml:space="preserve"> </w:t>
      </w:r>
      <w:r w:rsidR="007D3996" w:rsidRPr="007C036B">
        <w:rPr>
          <w:rFonts w:ascii="Times New Roman" w:hAnsi="Times New Roman" w:cs="Times New Roman"/>
          <w:sz w:val="24"/>
          <w:szCs w:val="24"/>
        </w:rPr>
        <w:t>to explore the importance of ‘strings’ of beads to Iron Age peoples</w:t>
      </w:r>
      <w:r w:rsidRPr="007C036B">
        <w:rPr>
          <w:rFonts w:ascii="Times New Roman" w:hAnsi="Times New Roman" w:cs="Times New Roman"/>
          <w:sz w:val="24"/>
          <w:szCs w:val="24"/>
        </w:rPr>
        <w:t xml:space="preserve"> – the Chesil Mirror Burial, Dorset,</w:t>
      </w:r>
      <w:r w:rsidR="007D3996">
        <w:rPr>
          <w:rStyle w:val="FootnoteReference"/>
          <w:rFonts w:ascii="Times New Roman" w:hAnsi="Times New Roman" w:cs="Times New Roman"/>
          <w:sz w:val="24"/>
          <w:szCs w:val="24"/>
        </w:rPr>
        <w:footnoteReference w:id="2"/>
      </w:r>
      <w:r w:rsidRPr="007C036B">
        <w:rPr>
          <w:rFonts w:ascii="Times New Roman" w:hAnsi="Times New Roman" w:cs="Times New Roman"/>
          <w:sz w:val="24"/>
          <w:szCs w:val="24"/>
        </w:rPr>
        <w:t xml:space="preserve"> and the Queen’s Barrow in Arras, Yorkshire</w:t>
      </w:r>
      <w:r w:rsidR="007D3996">
        <w:rPr>
          <w:rFonts w:ascii="Times New Roman" w:hAnsi="Times New Roman" w:cs="Times New Roman"/>
          <w:sz w:val="24"/>
          <w:szCs w:val="24"/>
        </w:rPr>
        <w:t>.</w:t>
      </w:r>
      <w:r w:rsidR="00AA385A">
        <w:rPr>
          <w:rStyle w:val="FootnoteReference"/>
          <w:rFonts w:ascii="Times New Roman" w:hAnsi="Times New Roman" w:cs="Times New Roman"/>
          <w:sz w:val="24"/>
          <w:szCs w:val="24"/>
        </w:rPr>
        <w:footnoteReference w:id="3"/>
      </w:r>
      <w:r w:rsidR="007D3996">
        <w:rPr>
          <w:rFonts w:ascii="Times New Roman" w:hAnsi="Times New Roman" w:cs="Times New Roman"/>
          <w:sz w:val="24"/>
          <w:szCs w:val="24"/>
        </w:rPr>
        <w:t xml:space="preserve"> </w:t>
      </w:r>
    </w:p>
    <w:p w14:paraId="7243ADCB" w14:textId="0F034540" w:rsidR="005C5C31" w:rsidRPr="007C036B" w:rsidRDefault="009E17E5" w:rsidP="005C5C31">
      <w:pPr>
        <w:pStyle w:val="ListParagraph"/>
        <w:numPr>
          <w:ilvl w:val="0"/>
          <w:numId w:val="2"/>
        </w:numPr>
        <w:rPr>
          <w:rFonts w:ascii="Times New Roman" w:hAnsi="Times New Roman" w:cs="Times New Roman"/>
          <w:sz w:val="24"/>
          <w:szCs w:val="24"/>
        </w:rPr>
      </w:pPr>
      <w:r w:rsidRPr="007C036B">
        <w:rPr>
          <w:rFonts w:ascii="Times New Roman" w:hAnsi="Times New Roman" w:cs="Times New Roman"/>
          <w:sz w:val="24"/>
          <w:szCs w:val="24"/>
        </w:rPr>
        <w:t>This essay will analyse secondary scholarship on these cases, and on beads in Iron Age Britain generally, with the aim of understanding the role the beads played in burials.</w:t>
      </w:r>
      <w:r w:rsidR="005C5C31" w:rsidRPr="007C036B">
        <w:rPr>
          <w:rFonts w:ascii="Times New Roman" w:hAnsi="Times New Roman" w:cs="Times New Roman"/>
          <w:sz w:val="24"/>
          <w:szCs w:val="24"/>
        </w:rPr>
        <w:t xml:space="preserve"> </w:t>
      </w:r>
    </w:p>
    <w:p w14:paraId="010226D1" w14:textId="13E9E287" w:rsidR="009E17E5" w:rsidRPr="007C036B" w:rsidRDefault="009E17E5" w:rsidP="009544F4">
      <w:pPr>
        <w:rPr>
          <w:rFonts w:ascii="Times New Roman" w:hAnsi="Times New Roman" w:cs="Times New Roman"/>
          <w:sz w:val="24"/>
          <w:szCs w:val="24"/>
        </w:rPr>
      </w:pPr>
      <w:r w:rsidRPr="007C036B">
        <w:rPr>
          <w:rFonts w:ascii="Times New Roman" w:hAnsi="Times New Roman" w:cs="Times New Roman"/>
          <w:sz w:val="24"/>
          <w:szCs w:val="24"/>
        </w:rPr>
        <w:t xml:space="preserve">ISSUES AND CONTENSIONS: </w:t>
      </w:r>
    </w:p>
    <w:p w14:paraId="63BB100C" w14:textId="5BE4A643" w:rsidR="00586345" w:rsidRPr="007C036B" w:rsidRDefault="00ED3D7D" w:rsidP="00500DEC">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 xml:space="preserve">Glass beads are not uncommon finds </w:t>
      </w:r>
      <w:r w:rsidR="00586345" w:rsidRPr="007C036B">
        <w:rPr>
          <w:rFonts w:ascii="Times New Roman" w:hAnsi="Times New Roman" w:cs="Times New Roman"/>
          <w:sz w:val="24"/>
          <w:szCs w:val="24"/>
        </w:rPr>
        <w:t>from</w:t>
      </w:r>
      <w:r w:rsidRPr="007C036B">
        <w:rPr>
          <w:rFonts w:ascii="Times New Roman" w:hAnsi="Times New Roman" w:cs="Times New Roman"/>
          <w:sz w:val="24"/>
          <w:szCs w:val="24"/>
        </w:rPr>
        <w:t xml:space="preserve"> Iron Age Britain, but ‘strings’ of beads,</w:t>
      </w:r>
      <w:r w:rsidR="00586345" w:rsidRPr="007C036B">
        <w:rPr>
          <w:rFonts w:ascii="Times New Roman" w:hAnsi="Times New Roman" w:cs="Times New Roman"/>
          <w:sz w:val="24"/>
          <w:szCs w:val="24"/>
        </w:rPr>
        <w:t xml:space="preserve"> as in a necklace, are almost unheard of outside of burials</w:t>
      </w:r>
      <w:r w:rsidR="00AA385A">
        <w:rPr>
          <w:rFonts w:ascii="Times New Roman" w:hAnsi="Times New Roman" w:cs="Times New Roman"/>
          <w:sz w:val="24"/>
          <w:szCs w:val="24"/>
        </w:rPr>
        <w:t>, with Elizabeth Foulds stating</w:t>
      </w:r>
      <w:r w:rsidR="00BE6C83">
        <w:rPr>
          <w:rFonts w:ascii="Times New Roman" w:hAnsi="Times New Roman" w:cs="Times New Roman"/>
          <w:sz w:val="24"/>
          <w:szCs w:val="24"/>
        </w:rPr>
        <w:t>:</w:t>
      </w:r>
      <w:r w:rsidR="00AA385A">
        <w:rPr>
          <w:rFonts w:ascii="Times New Roman" w:hAnsi="Times New Roman" w:cs="Times New Roman"/>
          <w:sz w:val="24"/>
          <w:szCs w:val="24"/>
        </w:rPr>
        <w:t xml:space="preserve"> ‘</w:t>
      </w:r>
      <w:r w:rsidR="00BE6C83">
        <w:rPr>
          <w:rFonts w:ascii="Times New Roman" w:hAnsi="Times New Roman" w:cs="Times New Roman"/>
          <w:sz w:val="24"/>
          <w:szCs w:val="24"/>
        </w:rPr>
        <w:t>I</w:t>
      </w:r>
      <w:r w:rsidR="005251D8" w:rsidRPr="005251D8">
        <w:rPr>
          <w:rFonts w:ascii="Times New Roman" w:hAnsi="Times New Roman" w:cs="Times New Roman"/>
          <w:sz w:val="24"/>
          <w:szCs w:val="24"/>
        </w:rPr>
        <w:t xml:space="preserve">n settlement contexts it is normal to find individual beads within features. ‘Strings’ of beads, often interpreted as necklaces, are usually only found as grave goods in </w:t>
      </w:r>
      <w:proofErr w:type="gramStart"/>
      <w:r w:rsidR="005251D8" w:rsidRPr="005251D8">
        <w:rPr>
          <w:rFonts w:ascii="Times New Roman" w:hAnsi="Times New Roman" w:cs="Times New Roman"/>
          <w:sz w:val="24"/>
          <w:szCs w:val="24"/>
        </w:rPr>
        <w:t>burials</w:t>
      </w:r>
      <w:r w:rsidR="005251D8">
        <w:rPr>
          <w:rFonts w:ascii="Times New Roman" w:hAnsi="Times New Roman" w:cs="Times New Roman"/>
          <w:sz w:val="24"/>
          <w:szCs w:val="24"/>
        </w:rPr>
        <w:t>’</w:t>
      </w:r>
      <w:proofErr w:type="gramEnd"/>
      <w:r w:rsidR="00586345" w:rsidRPr="007C036B">
        <w:rPr>
          <w:rFonts w:ascii="Times New Roman" w:hAnsi="Times New Roman" w:cs="Times New Roman"/>
          <w:sz w:val="24"/>
          <w:szCs w:val="24"/>
        </w:rPr>
        <w:t>.</w:t>
      </w:r>
      <w:r w:rsidR="005251D8">
        <w:rPr>
          <w:rStyle w:val="FootnoteReference"/>
          <w:rFonts w:ascii="Times New Roman" w:hAnsi="Times New Roman" w:cs="Times New Roman"/>
          <w:sz w:val="24"/>
          <w:szCs w:val="24"/>
        </w:rPr>
        <w:footnoteReference w:id="4"/>
      </w:r>
      <w:r w:rsidR="00586345" w:rsidRPr="007C036B">
        <w:rPr>
          <w:rFonts w:ascii="Times New Roman" w:hAnsi="Times New Roman" w:cs="Times New Roman"/>
          <w:sz w:val="24"/>
          <w:szCs w:val="24"/>
        </w:rPr>
        <w:t xml:space="preserve"> </w:t>
      </w:r>
      <w:r w:rsidR="00500DEC" w:rsidRPr="000408FE">
        <w:rPr>
          <w:rFonts w:ascii="Times New Roman" w:hAnsi="Times New Roman" w:cs="Times New Roman"/>
          <w:sz w:val="24"/>
          <w:szCs w:val="24"/>
        </w:rPr>
        <w:t xml:space="preserve">These ‘strings’ of glass beads </w:t>
      </w:r>
      <w:r w:rsidR="004E773C" w:rsidRPr="000408FE">
        <w:rPr>
          <w:rFonts w:ascii="Times New Roman" w:hAnsi="Times New Roman" w:cs="Times New Roman"/>
          <w:sz w:val="24"/>
          <w:szCs w:val="24"/>
        </w:rPr>
        <w:t xml:space="preserve">may be status </w:t>
      </w:r>
      <w:r w:rsidR="00AA385A" w:rsidRPr="000408FE">
        <w:rPr>
          <w:rFonts w:ascii="Times New Roman" w:hAnsi="Times New Roman" w:cs="Times New Roman"/>
          <w:sz w:val="24"/>
          <w:szCs w:val="24"/>
        </w:rPr>
        <w:t>objects or</w:t>
      </w:r>
      <w:r w:rsidR="004E773C" w:rsidRPr="000408FE">
        <w:rPr>
          <w:rFonts w:ascii="Times New Roman" w:hAnsi="Times New Roman" w:cs="Times New Roman"/>
          <w:sz w:val="24"/>
          <w:szCs w:val="24"/>
        </w:rPr>
        <w:t xml:space="preserve"> </w:t>
      </w:r>
      <w:r w:rsidR="00AA385A" w:rsidRPr="000408FE">
        <w:rPr>
          <w:rFonts w:ascii="Times New Roman" w:hAnsi="Times New Roman" w:cs="Times New Roman"/>
          <w:sz w:val="24"/>
          <w:szCs w:val="24"/>
        </w:rPr>
        <w:t xml:space="preserve">may </w:t>
      </w:r>
      <w:r w:rsidR="004E773C" w:rsidRPr="000408FE">
        <w:rPr>
          <w:rFonts w:ascii="Times New Roman" w:hAnsi="Times New Roman" w:cs="Times New Roman"/>
          <w:sz w:val="24"/>
          <w:szCs w:val="24"/>
        </w:rPr>
        <w:t>have another purpose.</w:t>
      </w:r>
      <w:r w:rsidR="004E773C" w:rsidRPr="007C036B">
        <w:rPr>
          <w:rFonts w:ascii="Times New Roman" w:hAnsi="Times New Roman" w:cs="Times New Roman"/>
          <w:sz w:val="24"/>
          <w:szCs w:val="24"/>
        </w:rPr>
        <w:t xml:space="preserve"> </w:t>
      </w:r>
    </w:p>
    <w:p w14:paraId="11406DDD" w14:textId="443596F8" w:rsidR="004E773C" w:rsidRPr="005D2D0F" w:rsidRDefault="00BD3843" w:rsidP="00500DEC">
      <w:pPr>
        <w:pStyle w:val="ListParagraph"/>
        <w:numPr>
          <w:ilvl w:val="0"/>
          <w:numId w:val="1"/>
        </w:numPr>
        <w:rPr>
          <w:rFonts w:ascii="Times New Roman" w:hAnsi="Times New Roman" w:cs="Times New Roman"/>
          <w:sz w:val="24"/>
          <w:szCs w:val="24"/>
        </w:rPr>
      </w:pPr>
      <w:r w:rsidRPr="005D2D0F">
        <w:rPr>
          <w:rFonts w:ascii="Times New Roman" w:hAnsi="Times New Roman" w:cs="Times New Roman"/>
          <w:sz w:val="24"/>
          <w:szCs w:val="24"/>
        </w:rPr>
        <w:t>It is important to consider more ‘mundane’ grave goods, such as beads, in context of the full assemblage</w:t>
      </w:r>
      <w:r w:rsidR="000653F3" w:rsidRPr="005D2D0F">
        <w:rPr>
          <w:rFonts w:ascii="Times New Roman" w:hAnsi="Times New Roman" w:cs="Times New Roman"/>
          <w:sz w:val="24"/>
          <w:szCs w:val="24"/>
        </w:rPr>
        <w:t>.</w:t>
      </w:r>
      <w:r w:rsidRPr="005D2D0F">
        <w:rPr>
          <w:rStyle w:val="FootnoteReference"/>
          <w:rFonts w:ascii="Times New Roman" w:hAnsi="Times New Roman" w:cs="Times New Roman"/>
          <w:sz w:val="24"/>
          <w:szCs w:val="24"/>
        </w:rPr>
        <w:footnoteReference w:id="5"/>
      </w:r>
      <w:r w:rsidR="000653F3" w:rsidRPr="005D2D0F">
        <w:rPr>
          <w:rFonts w:ascii="Times New Roman" w:hAnsi="Times New Roman" w:cs="Times New Roman"/>
          <w:sz w:val="24"/>
          <w:szCs w:val="24"/>
        </w:rPr>
        <w:t xml:space="preserve"> </w:t>
      </w:r>
      <w:r w:rsidR="00E220DC" w:rsidRPr="005D2D0F">
        <w:rPr>
          <w:rFonts w:ascii="Times New Roman" w:hAnsi="Times New Roman" w:cs="Times New Roman"/>
          <w:sz w:val="24"/>
          <w:szCs w:val="24"/>
        </w:rPr>
        <w:t>One of the</w:t>
      </w:r>
      <w:r w:rsidR="000653F3" w:rsidRPr="005D2D0F">
        <w:rPr>
          <w:rFonts w:ascii="Times New Roman" w:hAnsi="Times New Roman" w:cs="Times New Roman"/>
          <w:sz w:val="24"/>
          <w:szCs w:val="24"/>
        </w:rPr>
        <w:t xml:space="preserve"> burials also contained a mirror, which </w:t>
      </w:r>
      <w:r w:rsidR="005D2D0F" w:rsidRPr="005D2D0F">
        <w:rPr>
          <w:rFonts w:ascii="Times New Roman" w:hAnsi="Times New Roman" w:cs="Times New Roman"/>
          <w:sz w:val="24"/>
          <w:szCs w:val="24"/>
        </w:rPr>
        <w:t>has been</w:t>
      </w:r>
      <w:r w:rsidR="000653F3" w:rsidRPr="005D2D0F">
        <w:rPr>
          <w:rFonts w:ascii="Times New Roman" w:hAnsi="Times New Roman" w:cs="Times New Roman"/>
          <w:sz w:val="24"/>
          <w:szCs w:val="24"/>
        </w:rPr>
        <w:t xml:space="preserve"> interpreted as a ritual tool.</w:t>
      </w:r>
      <w:r w:rsidR="005D2D0F" w:rsidRPr="005D2D0F">
        <w:rPr>
          <w:rStyle w:val="FootnoteReference"/>
          <w:rFonts w:ascii="Times New Roman" w:hAnsi="Times New Roman" w:cs="Times New Roman"/>
          <w:sz w:val="24"/>
          <w:szCs w:val="24"/>
        </w:rPr>
        <w:footnoteReference w:id="6"/>
      </w:r>
      <w:r w:rsidR="000653F3" w:rsidRPr="005D2D0F">
        <w:rPr>
          <w:rFonts w:ascii="Times New Roman" w:hAnsi="Times New Roman" w:cs="Times New Roman"/>
          <w:sz w:val="24"/>
          <w:szCs w:val="24"/>
        </w:rPr>
        <w:t xml:space="preserve"> </w:t>
      </w:r>
      <w:r w:rsidR="00873BFE" w:rsidRPr="005D2D0F">
        <w:rPr>
          <w:rFonts w:ascii="Times New Roman" w:hAnsi="Times New Roman" w:cs="Times New Roman"/>
          <w:sz w:val="24"/>
          <w:szCs w:val="24"/>
        </w:rPr>
        <w:t>Could</w:t>
      </w:r>
      <w:r w:rsidR="000653F3" w:rsidRPr="005D2D0F">
        <w:rPr>
          <w:rFonts w:ascii="Times New Roman" w:hAnsi="Times New Roman" w:cs="Times New Roman"/>
          <w:sz w:val="24"/>
          <w:szCs w:val="24"/>
        </w:rPr>
        <w:t xml:space="preserve"> the strings of beads also have a ritual purpose? </w:t>
      </w:r>
    </w:p>
    <w:p w14:paraId="7D1E3E5E" w14:textId="58E511A3" w:rsidR="009E17E5" w:rsidRPr="007C036B" w:rsidRDefault="009E17E5" w:rsidP="009E17E5">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The limitations of this exploration lie in the discrepancy in date and region of the two burials, lack of historical evidence, as well as the date of excavation of the Queen’s Barrow</w:t>
      </w:r>
      <w:r w:rsidR="000E527F">
        <w:rPr>
          <w:rFonts w:ascii="Times New Roman" w:hAnsi="Times New Roman" w:cs="Times New Roman"/>
          <w:sz w:val="24"/>
          <w:szCs w:val="24"/>
        </w:rPr>
        <w:t xml:space="preserve">. </w:t>
      </w:r>
    </w:p>
    <w:p w14:paraId="774F23FC" w14:textId="4D3D19ED" w:rsidR="004E773C" w:rsidRPr="00CD059A" w:rsidRDefault="00A16163" w:rsidP="005C5C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is difficulty</w:t>
      </w:r>
      <w:r w:rsidR="005C5C31" w:rsidRPr="00CD059A">
        <w:rPr>
          <w:rFonts w:ascii="Times New Roman" w:hAnsi="Times New Roman" w:cs="Times New Roman"/>
          <w:sz w:val="24"/>
          <w:szCs w:val="24"/>
        </w:rPr>
        <w:t xml:space="preserve"> in ascribing meaning to grave goods from prehistoric cultures.</w:t>
      </w:r>
      <w:r w:rsidR="00CD059A" w:rsidRPr="00CD059A">
        <w:rPr>
          <w:rStyle w:val="FootnoteReference"/>
          <w:rFonts w:ascii="Times New Roman" w:hAnsi="Times New Roman" w:cs="Times New Roman"/>
          <w:sz w:val="24"/>
          <w:szCs w:val="24"/>
        </w:rPr>
        <w:footnoteReference w:id="7"/>
      </w:r>
      <w:r w:rsidR="00CD059A" w:rsidRPr="00CD059A">
        <w:rPr>
          <w:rFonts w:ascii="Times New Roman" w:hAnsi="Times New Roman" w:cs="Times New Roman"/>
          <w:sz w:val="24"/>
          <w:szCs w:val="24"/>
        </w:rPr>
        <w:t xml:space="preserve"> </w:t>
      </w:r>
    </w:p>
    <w:p w14:paraId="6FB7CD28" w14:textId="7CFCB5B7" w:rsidR="009E17E5" w:rsidRPr="007C036B" w:rsidRDefault="009E17E5" w:rsidP="009E17E5">
      <w:pPr>
        <w:rPr>
          <w:rFonts w:ascii="Times New Roman" w:hAnsi="Times New Roman" w:cs="Times New Roman"/>
          <w:sz w:val="24"/>
          <w:szCs w:val="24"/>
        </w:rPr>
      </w:pPr>
      <w:r w:rsidRPr="007C036B">
        <w:rPr>
          <w:rFonts w:ascii="Times New Roman" w:hAnsi="Times New Roman" w:cs="Times New Roman"/>
          <w:sz w:val="24"/>
          <w:szCs w:val="24"/>
        </w:rPr>
        <w:lastRenderedPageBreak/>
        <w:t xml:space="preserve">THESIS: </w:t>
      </w:r>
    </w:p>
    <w:p w14:paraId="267BF978" w14:textId="6347F510" w:rsidR="009E17E5" w:rsidRPr="009F4178" w:rsidRDefault="009E17E5" w:rsidP="009E17E5">
      <w:pPr>
        <w:pStyle w:val="ListParagraph"/>
        <w:numPr>
          <w:ilvl w:val="0"/>
          <w:numId w:val="1"/>
        </w:numPr>
        <w:rPr>
          <w:rFonts w:ascii="Times New Roman" w:hAnsi="Times New Roman" w:cs="Times New Roman"/>
          <w:sz w:val="24"/>
          <w:szCs w:val="24"/>
        </w:rPr>
      </w:pPr>
      <w:r w:rsidRPr="009F4178">
        <w:rPr>
          <w:rFonts w:ascii="Times New Roman" w:hAnsi="Times New Roman" w:cs="Times New Roman"/>
          <w:sz w:val="24"/>
          <w:szCs w:val="24"/>
        </w:rPr>
        <w:t xml:space="preserve">Evidence from the </w:t>
      </w:r>
      <w:proofErr w:type="gramStart"/>
      <w:r w:rsidRPr="009F4178">
        <w:rPr>
          <w:rFonts w:ascii="Times New Roman" w:hAnsi="Times New Roman" w:cs="Times New Roman"/>
          <w:sz w:val="24"/>
          <w:szCs w:val="24"/>
        </w:rPr>
        <w:t>burials</w:t>
      </w:r>
      <w:proofErr w:type="gramEnd"/>
      <w:r w:rsidRPr="009F4178">
        <w:rPr>
          <w:rFonts w:ascii="Times New Roman" w:hAnsi="Times New Roman" w:cs="Times New Roman"/>
          <w:sz w:val="24"/>
          <w:szCs w:val="24"/>
        </w:rPr>
        <w:t xml:space="preserve"> points to a possible ritual purpose for the beads, rather than the usual status value of beads, due to the presence of a mirror in each burial</w:t>
      </w:r>
      <w:r w:rsidR="00EF7A57" w:rsidRPr="009F4178">
        <w:rPr>
          <w:rFonts w:ascii="Times New Roman" w:hAnsi="Times New Roman" w:cs="Times New Roman"/>
          <w:sz w:val="24"/>
          <w:szCs w:val="24"/>
        </w:rPr>
        <w:t>,</w:t>
      </w:r>
      <w:r w:rsidRPr="009F4178">
        <w:rPr>
          <w:rFonts w:ascii="Times New Roman" w:hAnsi="Times New Roman" w:cs="Times New Roman"/>
          <w:sz w:val="24"/>
          <w:szCs w:val="24"/>
        </w:rPr>
        <w:t xml:space="preserve"> and the absence of beads in other known high-status burials.</w:t>
      </w:r>
      <w:r w:rsidR="009F4178" w:rsidRPr="009F4178">
        <w:rPr>
          <w:rStyle w:val="FootnoteReference"/>
          <w:rFonts w:ascii="Times New Roman" w:hAnsi="Times New Roman" w:cs="Times New Roman"/>
          <w:sz w:val="24"/>
          <w:szCs w:val="24"/>
        </w:rPr>
        <w:footnoteReference w:id="8"/>
      </w:r>
      <w:r w:rsidR="009F4178" w:rsidRPr="009F4178">
        <w:rPr>
          <w:rFonts w:ascii="Times New Roman" w:hAnsi="Times New Roman" w:cs="Times New Roman"/>
          <w:sz w:val="24"/>
          <w:szCs w:val="24"/>
        </w:rPr>
        <w:t xml:space="preserve"> </w:t>
      </w:r>
    </w:p>
    <w:p w14:paraId="0C6AE4DF" w14:textId="77777777" w:rsidR="00936054" w:rsidRDefault="00936054" w:rsidP="00FE177C">
      <w:pPr>
        <w:jc w:val="center"/>
        <w:rPr>
          <w:rFonts w:ascii="Times New Roman" w:hAnsi="Times New Roman" w:cs="Times New Roman"/>
          <w:b/>
          <w:bCs/>
          <w:sz w:val="24"/>
          <w:szCs w:val="24"/>
        </w:rPr>
      </w:pPr>
    </w:p>
    <w:p w14:paraId="56A20187" w14:textId="0CB810D8" w:rsidR="00CC0E1A" w:rsidRPr="007C036B" w:rsidRDefault="00CC0E1A" w:rsidP="00FE177C">
      <w:pPr>
        <w:jc w:val="center"/>
        <w:rPr>
          <w:rFonts w:ascii="Times New Roman" w:hAnsi="Times New Roman" w:cs="Times New Roman"/>
          <w:b/>
          <w:bCs/>
          <w:sz w:val="24"/>
          <w:szCs w:val="24"/>
        </w:rPr>
      </w:pPr>
      <w:r w:rsidRPr="007C036B">
        <w:rPr>
          <w:rFonts w:ascii="Times New Roman" w:hAnsi="Times New Roman" w:cs="Times New Roman"/>
          <w:b/>
          <w:bCs/>
          <w:sz w:val="24"/>
          <w:szCs w:val="24"/>
        </w:rPr>
        <w:t>MAIN BODY</w:t>
      </w:r>
      <w:r w:rsidR="00FE177C" w:rsidRPr="007C036B">
        <w:rPr>
          <w:rFonts w:ascii="Times New Roman" w:hAnsi="Times New Roman" w:cs="Times New Roman"/>
          <w:b/>
          <w:bCs/>
          <w:sz w:val="24"/>
          <w:szCs w:val="24"/>
        </w:rPr>
        <w:t>:</w:t>
      </w:r>
    </w:p>
    <w:p w14:paraId="6E35B900" w14:textId="7A0B0405" w:rsidR="009F7DBD" w:rsidRPr="007C036B" w:rsidRDefault="009F7DBD" w:rsidP="009F7DBD">
      <w:pPr>
        <w:rPr>
          <w:rFonts w:ascii="Times New Roman" w:hAnsi="Times New Roman" w:cs="Times New Roman"/>
          <w:sz w:val="24"/>
          <w:szCs w:val="24"/>
        </w:rPr>
      </w:pPr>
      <w:r w:rsidRPr="007C036B">
        <w:rPr>
          <w:rFonts w:ascii="Times New Roman" w:hAnsi="Times New Roman" w:cs="Times New Roman"/>
          <w:sz w:val="24"/>
          <w:szCs w:val="24"/>
        </w:rPr>
        <w:t>GLASS BEAD EVIDENCE IN IRON AGE BRITAIN</w:t>
      </w:r>
      <w:r w:rsidR="00FE177C" w:rsidRPr="007C036B">
        <w:rPr>
          <w:rFonts w:ascii="Times New Roman" w:hAnsi="Times New Roman" w:cs="Times New Roman"/>
          <w:sz w:val="24"/>
          <w:szCs w:val="24"/>
        </w:rPr>
        <w:t xml:space="preserve">: </w:t>
      </w:r>
    </w:p>
    <w:p w14:paraId="3E785FF0" w14:textId="64E1AA99" w:rsidR="009F7DBD" w:rsidRPr="007C036B" w:rsidRDefault="009F7DBD" w:rsidP="009F7DBD">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Description of the finds (from the burials used as case studies, including size/comp/colour/dating)</w:t>
      </w:r>
      <w:r w:rsidR="000E527F">
        <w:rPr>
          <w:rFonts w:ascii="Times New Roman" w:hAnsi="Times New Roman" w:cs="Times New Roman"/>
          <w:sz w:val="24"/>
          <w:szCs w:val="24"/>
        </w:rPr>
        <w:t xml:space="preserve">. </w:t>
      </w:r>
    </w:p>
    <w:p w14:paraId="358AA8D8" w14:textId="47C3254E" w:rsidR="009F7DBD" w:rsidRPr="007C036B" w:rsidRDefault="009F7DBD" w:rsidP="009F7DBD">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Complementary evidence from other burials (including size/comp/colour/dating)</w:t>
      </w:r>
      <w:r w:rsidR="000E527F">
        <w:rPr>
          <w:rFonts w:ascii="Times New Roman" w:hAnsi="Times New Roman" w:cs="Times New Roman"/>
          <w:sz w:val="24"/>
          <w:szCs w:val="24"/>
        </w:rPr>
        <w:t xml:space="preserve">. </w:t>
      </w:r>
    </w:p>
    <w:p w14:paraId="33BC383F" w14:textId="6852C023" w:rsidR="009F7DBD" w:rsidRPr="007C036B" w:rsidRDefault="009F7DBD" w:rsidP="009F7DBD">
      <w:pPr>
        <w:rPr>
          <w:rFonts w:ascii="Times New Roman" w:hAnsi="Times New Roman" w:cs="Times New Roman"/>
          <w:sz w:val="24"/>
          <w:szCs w:val="24"/>
        </w:rPr>
      </w:pPr>
      <w:r w:rsidRPr="007C036B">
        <w:rPr>
          <w:rFonts w:ascii="Times New Roman" w:hAnsi="Times New Roman" w:cs="Times New Roman"/>
          <w:sz w:val="24"/>
          <w:szCs w:val="24"/>
        </w:rPr>
        <w:t>ANALYSIS OF THE GRAVE ASSEMBLAGES</w:t>
      </w:r>
      <w:r w:rsidR="00FE177C" w:rsidRPr="007C036B">
        <w:rPr>
          <w:rFonts w:ascii="Times New Roman" w:hAnsi="Times New Roman" w:cs="Times New Roman"/>
          <w:sz w:val="24"/>
          <w:szCs w:val="24"/>
        </w:rPr>
        <w:t xml:space="preserve">: </w:t>
      </w:r>
    </w:p>
    <w:p w14:paraId="2D0F68BD" w14:textId="311D0264" w:rsidR="009F7DBD" w:rsidRPr="007C036B" w:rsidRDefault="009F7DBD" w:rsidP="009F7DBD">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 xml:space="preserve">How are ‘strings’ of beads distributed in burials? How common/rare? Was it a regional/gendered practice? Was it a consistent practice or was it associated with certain cultures/periods? </w:t>
      </w:r>
    </w:p>
    <w:p w14:paraId="25C18204" w14:textId="63E30117" w:rsidR="005C5C31" w:rsidRPr="000E527F" w:rsidRDefault="005C5C31" w:rsidP="005C5C31">
      <w:pPr>
        <w:pStyle w:val="ListParagraph"/>
        <w:numPr>
          <w:ilvl w:val="0"/>
          <w:numId w:val="1"/>
        </w:numPr>
        <w:rPr>
          <w:rFonts w:ascii="Times New Roman" w:hAnsi="Times New Roman" w:cs="Times New Roman"/>
          <w:sz w:val="24"/>
          <w:szCs w:val="24"/>
        </w:rPr>
      </w:pPr>
      <w:r w:rsidRPr="000E527F">
        <w:rPr>
          <w:rFonts w:ascii="Times New Roman" w:hAnsi="Times New Roman" w:cs="Times New Roman"/>
          <w:sz w:val="24"/>
          <w:szCs w:val="24"/>
        </w:rPr>
        <w:t>The purpose of grave goods is debated, but common theories include provision for the afterlife or the journey to it</w:t>
      </w:r>
      <w:r w:rsidR="004E158B" w:rsidRPr="000E527F">
        <w:rPr>
          <w:rFonts w:ascii="Times New Roman" w:hAnsi="Times New Roman" w:cs="Times New Roman"/>
          <w:sz w:val="24"/>
          <w:szCs w:val="24"/>
        </w:rPr>
        <w:t>, and the inalienable object theory</w:t>
      </w:r>
      <w:r w:rsidR="000E527F" w:rsidRPr="000E527F">
        <w:rPr>
          <w:rFonts w:ascii="Times New Roman" w:hAnsi="Times New Roman" w:cs="Times New Roman"/>
          <w:sz w:val="24"/>
          <w:szCs w:val="24"/>
        </w:rPr>
        <w:t xml:space="preserve"> popularised by Annette Weiner.</w:t>
      </w:r>
      <w:r w:rsidR="000E527F" w:rsidRPr="000E527F">
        <w:rPr>
          <w:rStyle w:val="FootnoteReference"/>
          <w:rFonts w:ascii="Times New Roman" w:hAnsi="Times New Roman" w:cs="Times New Roman"/>
          <w:sz w:val="24"/>
          <w:szCs w:val="24"/>
        </w:rPr>
        <w:footnoteReference w:id="9"/>
      </w:r>
      <w:r w:rsidR="000E527F" w:rsidRPr="000E527F">
        <w:rPr>
          <w:rFonts w:ascii="Times New Roman" w:hAnsi="Times New Roman" w:cs="Times New Roman"/>
          <w:sz w:val="24"/>
          <w:szCs w:val="24"/>
        </w:rPr>
        <w:t xml:space="preserve"> </w:t>
      </w:r>
    </w:p>
    <w:p w14:paraId="5A4D1EAD" w14:textId="390C49B2" w:rsidR="00A238E4" w:rsidRPr="007C036B" w:rsidRDefault="009F7DBD" w:rsidP="009F7DBD">
      <w:pPr>
        <w:rPr>
          <w:rFonts w:ascii="Times New Roman" w:hAnsi="Times New Roman" w:cs="Times New Roman"/>
          <w:sz w:val="24"/>
          <w:szCs w:val="24"/>
        </w:rPr>
      </w:pPr>
      <w:r w:rsidRPr="007C036B">
        <w:rPr>
          <w:rFonts w:ascii="Times New Roman" w:hAnsi="Times New Roman" w:cs="Times New Roman"/>
          <w:sz w:val="24"/>
          <w:szCs w:val="24"/>
        </w:rPr>
        <w:t>ARGUMENTS REGARDING THE BEADS AS STATUS OBJECTS</w:t>
      </w:r>
      <w:r w:rsidR="00FE177C" w:rsidRPr="007C036B">
        <w:rPr>
          <w:rFonts w:ascii="Times New Roman" w:hAnsi="Times New Roman" w:cs="Times New Roman"/>
          <w:sz w:val="24"/>
          <w:szCs w:val="24"/>
        </w:rPr>
        <w:t xml:space="preserve">: </w:t>
      </w:r>
    </w:p>
    <w:p w14:paraId="55FD6B39" w14:textId="4E7DA5DC" w:rsidR="009F7DBD" w:rsidRPr="000E527F" w:rsidRDefault="009F7DBD" w:rsidP="009F7DBD">
      <w:pPr>
        <w:pStyle w:val="ListParagraph"/>
        <w:numPr>
          <w:ilvl w:val="0"/>
          <w:numId w:val="1"/>
        </w:numPr>
        <w:rPr>
          <w:rFonts w:ascii="Times New Roman" w:hAnsi="Times New Roman" w:cs="Times New Roman"/>
          <w:sz w:val="24"/>
          <w:szCs w:val="24"/>
        </w:rPr>
      </w:pPr>
      <w:r w:rsidRPr="000E527F">
        <w:rPr>
          <w:rFonts w:ascii="Times New Roman" w:hAnsi="Times New Roman" w:cs="Times New Roman"/>
          <w:sz w:val="24"/>
          <w:szCs w:val="24"/>
        </w:rPr>
        <w:t xml:space="preserve">For: both burials </w:t>
      </w:r>
      <w:r w:rsidR="000E527F" w:rsidRPr="000E527F">
        <w:rPr>
          <w:rFonts w:ascii="Times New Roman" w:hAnsi="Times New Roman" w:cs="Times New Roman"/>
          <w:sz w:val="24"/>
          <w:szCs w:val="24"/>
        </w:rPr>
        <w:t>could be</w:t>
      </w:r>
      <w:r w:rsidR="000E527F">
        <w:rPr>
          <w:rFonts w:ascii="Times New Roman" w:hAnsi="Times New Roman" w:cs="Times New Roman"/>
          <w:sz w:val="24"/>
          <w:szCs w:val="24"/>
        </w:rPr>
        <w:t>long</w:t>
      </w:r>
      <w:r w:rsidRPr="000E527F">
        <w:rPr>
          <w:rFonts w:ascii="Times New Roman" w:hAnsi="Times New Roman" w:cs="Times New Roman"/>
          <w:sz w:val="24"/>
          <w:szCs w:val="24"/>
        </w:rPr>
        <w:t xml:space="preserve"> </w:t>
      </w:r>
      <w:r w:rsidR="000E527F">
        <w:rPr>
          <w:rFonts w:ascii="Times New Roman" w:hAnsi="Times New Roman" w:cs="Times New Roman"/>
          <w:sz w:val="24"/>
          <w:szCs w:val="24"/>
        </w:rPr>
        <w:t>to</w:t>
      </w:r>
      <w:r w:rsidRPr="000E527F">
        <w:rPr>
          <w:rFonts w:ascii="Times New Roman" w:hAnsi="Times New Roman" w:cs="Times New Roman"/>
          <w:sz w:val="24"/>
          <w:szCs w:val="24"/>
        </w:rPr>
        <w:t xml:space="preserve"> wealthy women</w:t>
      </w:r>
      <w:r w:rsidR="000E527F">
        <w:rPr>
          <w:rFonts w:ascii="Times New Roman" w:hAnsi="Times New Roman" w:cs="Times New Roman"/>
          <w:sz w:val="24"/>
          <w:szCs w:val="24"/>
        </w:rPr>
        <w:t xml:space="preserve"> (grave goods, diet and health, burial location)</w:t>
      </w:r>
      <w:r w:rsidRPr="000E527F">
        <w:rPr>
          <w:rFonts w:ascii="Times New Roman" w:hAnsi="Times New Roman" w:cs="Times New Roman"/>
          <w:sz w:val="24"/>
          <w:szCs w:val="24"/>
        </w:rPr>
        <w:t>.</w:t>
      </w:r>
    </w:p>
    <w:p w14:paraId="75CFE346" w14:textId="7A33B27D" w:rsidR="009F7DBD" w:rsidRPr="004E262E" w:rsidRDefault="009F7DBD" w:rsidP="009F7DBD">
      <w:pPr>
        <w:pStyle w:val="ListParagraph"/>
        <w:numPr>
          <w:ilvl w:val="0"/>
          <w:numId w:val="1"/>
        </w:numPr>
        <w:rPr>
          <w:rFonts w:ascii="Times New Roman" w:hAnsi="Times New Roman" w:cs="Times New Roman"/>
          <w:sz w:val="24"/>
          <w:szCs w:val="24"/>
        </w:rPr>
      </w:pPr>
      <w:r w:rsidRPr="004E262E">
        <w:rPr>
          <w:rFonts w:ascii="Times New Roman" w:hAnsi="Times New Roman" w:cs="Times New Roman"/>
          <w:sz w:val="24"/>
          <w:szCs w:val="24"/>
        </w:rPr>
        <w:t>Against: strings of beads are not common/mostly absent in other high-status graves.</w:t>
      </w:r>
      <w:r w:rsidR="004E262E" w:rsidRPr="004E262E">
        <w:rPr>
          <w:rStyle w:val="FootnoteReference"/>
          <w:rFonts w:ascii="Times New Roman" w:hAnsi="Times New Roman" w:cs="Times New Roman"/>
          <w:sz w:val="24"/>
          <w:szCs w:val="24"/>
        </w:rPr>
        <w:footnoteReference w:id="10"/>
      </w:r>
    </w:p>
    <w:p w14:paraId="42255F59" w14:textId="5656F1A9" w:rsidR="009F7DBD" w:rsidRPr="007C036B" w:rsidRDefault="009F7DBD" w:rsidP="009F7DBD">
      <w:pPr>
        <w:rPr>
          <w:rFonts w:ascii="Times New Roman" w:hAnsi="Times New Roman" w:cs="Times New Roman"/>
          <w:sz w:val="24"/>
          <w:szCs w:val="24"/>
        </w:rPr>
      </w:pPr>
      <w:r w:rsidRPr="007C036B">
        <w:rPr>
          <w:rFonts w:ascii="Times New Roman" w:hAnsi="Times New Roman" w:cs="Times New Roman"/>
          <w:sz w:val="24"/>
          <w:szCs w:val="24"/>
        </w:rPr>
        <w:t>ARGUMENTS REGARDING THE BEADS AS RITUAL OBJECTS</w:t>
      </w:r>
      <w:r w:rsidR="00FE177C" w:rsidRPr="007C036B">
        <w:rPr>
          <w:rFonts w:ascii="Times New Roman" w:hAnsi="Times New Roman" w:cs="Times New Roman"/>
          <w:sz w:val="24"/>
          <w:szCs w:val="24"/>
        </w:rPr>
        <w:t xml:space="preserve">: </w:t>
      </w:r>
    </w:p>
    <w:p w14:paraId="6FF5F69F" w14:textId="26D56871" w:rsidR="009F7DBD" w:rsidRPr="0052293C" w:rsidRDefault="009F7DBD" w:rsidP="009F7DBD">
      <w:pPr>
        <w:pStyle w:val="ListParagraph"/>
        <w:numPr>
          <w:ilvl w:val="0"/>
          <w:numId w:val="1"/>
        </w:numPr>
        <w:rPr>
          <w:rFonts w:ascii="Times New Roman" w:hAnsi="Times New Roman" w:cs="Times New Roman"/>
          <w:sz w:val="24"/>
          <w:szCs w:val="24"/>
        </w:rPr>
      </w:pPr>
      <w:r w:rsidRPr="0052293C">
        <w:rPr>
          <w:rFonts w:ascii="Times New Roman" w:hAnsi="Times New Roman" w:cs="Times New Roman"/>
          <w:sz w:val="24"/>
          <w:szCs w:val="24"/>
        </w:rPr>
        <w:t xml:space="preserve">For: both burials also contained a mirror, something often interpreted as a ritual object. </w:t>
      </w:r>
      <w:r w:rsidR="005C5C31" w:rsidRPr="0052293C">
        <w:rPr>
          <w:rFonts w:ascii="Times New Roman" w:hAnsi="Times New Roman" w:cs="Times New Roman"/>
          <w:sz w:val="24"/>
          <w:szCs w:val="24"/>
        </w:rPr>
        <w:t xml:space="preserve">Beads are still used widely to this day as ritual objects </w:t>
      </w:r>
      <w:r w:rsidR="000E527F" w:rsidRPr="0052293C">
        <w:rPr>
          <w:rFonts w:ascii="Times New Roman" w:hAnsi="Times New Roman" w:cs="Times New Roman"/>
          <w:sz w:val="24"/>
          <w:szCs w:val="24"/>
        </w:rPr>
        <w:t>in many cultures.</w:t>
      </w:r>
      <w:r w:rsidR="0052293C" w:rsidRPr="0052293C">
        <w:rPr>
          <w:rStyle w:val="FootnoteReference"/>
          <w:rFonts w:ascii="Times New Roman" w:hAnsi="Times New Roman" w:cs="Times New Roman"/>
          <w:sz w:val="24"/>
          <w:szCs w:val="24"/>
        </w:rPr>
        <w:footnoteReference w:id="11"/>
      </w:r>
      <w:r w:rsidR="005C5C31" w:rsidRPr="0052293C">
        <w:rPr>
          <w:rFonts w:ascii="Times New Roman" w:hAnsi="Times New Roman" w:cs="Times New Roman"/>
          <w:sz w:val="24"/>
          <w:szCs w:val="24"/>
        </w:rPr>
        <w:t xml:space="preserve"> </w:t>
      </w:r>
    </w:p>
    <w:p w14:paraId="5D85AC6F" w14:textId="59E147D8" w:rsidR="009F7DBD" w:rsidRPr="0052293C" w:rsidRDefault="009F7DBD" w:rsidP="009F7DBD">
      <w:pPr>
        <w:pStyle w:val="ListParagraph"/>
        <w:numPr>
          <w:ilvl w:val="0"/>
          <w:numId w:val="1"/>
        </w:numPr>
        <w:rPr>
          <w:rFonts w:ascii="Times New Roman" w:hAnsi="Times New Roman" w:cs="Times New Roman"/>
          <w:sz w:val="24"/>
          <w:szCs w:val="24"/>
        </w:rPr>
      </w:pPr>
      <w:r w:rsidRPr="0052293C">
        <w:rPr>
          <w:rFonts w:ascii="Times New Roman" w:hAnsi="Times New Roman" w:cs="Times New Roman"/>
          <w:sz w:val="24"/>
          <w:szCs w:val="24"/>
        </w:rPr>
        <w:t>Against:</w:t>
      </w:r>
      <w:r w:rsidR="005C5C31" w:rsidRPr="0052293C">
        <w:rPr>
          <w:rFonts w:ascii="Times New Roman" w:hAnsi="Times New Roman" w:cs="Times New Roman"/>
          <w:sz w:val="24"/>
          <w:szCs w:val="24"/>
        </w:rPr>
        <w:t xml:space="preserve"> very difficult to corroborate as no written records to investigate. Mirrors have practical uses</w:t>
      </w:r>
      <w:r w:rsidR="0052293C">
        <w:rPr>
          <w:rFonts w:ascii="Times New Roman" w:hAnsi="Times New Roman" w:cs="Times New Roman"/>
          <w:sz w:val="24"/>
          <w:szCs w:val="24"/>
        </w:rPr>
        <w:t xml:space="preserve"> too</w:t>
      </w:r>
      <w:r w:rsidR="005C5C31" w:rsidRPr="0052293C">
        <w:rPr>
          <w:rFonts w:ascii="Times New Roman" w:hAnsi="Times New Roman" w:cs="Times New Roman"/>
          <w:sz w:val="24"/>
          <w:szCs w:val="24"/>
        </w:rPr>
        <w:t xml:space="preserve">, and beads could also be decorative or a provision for the afterlife. </w:t>
      </w:r>
    </w:p>
    <w:p w14:paraId="1C5145B9" w14:textId="79FFDC82" w:rsidR="005C5C31" w:rsidRPr="007C036B" w:rsidRDefault="005C5C31" w:rsidP="00537D73">
      <w:pPr>
        <w:jc w:val="center"/>
        <w:rPr>
          <w:rFonts w:ascii="Times New Roman" w:hAnsi="Times New Roman" w:cs="Times New Roman"/>
          <w:b/>
          <w:bCs/>
          <w:sz w:val="24"/>
          <w:szCs w:val="24"/>
        </w:rPr>
      </w:pPr>
      <w:r w:rsidRPr="007C036B">
        <w:rPr>
          <w:rFonts w:ascii="Times New Roman" w:hAnsi="Times New Roman" w:cs="Times New Roman"/>
          <w:b/>
          <w:bCs/>
          <w:sz w:val="24"/>
          <w:szCs w:val="24"/>
        </w:rPr>
        <w:t>CONCLUSION:</w:t>
      </w:r>
    </w:p>
    <w:p w14:paraId="3FC0C3FF" w14:textId="5DB019CE" w:rsidR="00145903" w:rsidRPr="007C036B" w:rsidRDefault="005C5C31" w:rsidP="007176BF">
      <w:pPr>
        <w:pStyle w:val="ListParagraph"/>
        <w:numPr>
          <w:ilvl w:val="0"/>
          <w:numId w:val="1"/>
        </w:numPr>
        <w:rPr>
          <w:rFonts w:ascii="Times New Roman" w:hAnsi="Times New Roman" w:cs="Times New Roman"/>
          <w:sz w:val="24"/>
          <w:szCs w:val="24"/>
        </w:rPr>
      </w:pPr>
      <w:r w:rsidRPr="007C036B">
        <w:rPr>
          <w:rFonts w:ascii="Times New Roman" w:hAnsi="Times New Roman" w:cs="Times New Roman"/>
          <w:sz w:val="24"/>
          <w:szCs w:val="24"/>
        </w:rPr>
        <w:t xml:space="preserve">Evidence suggests that the beads could have a ritual purpose associated with the person they were buried with. </w:t>
      </w:r>
      <w:r w:rsidR="0052293C">
        <w:rPr>
          <w:rFonts w:ascii="Times New Roman" w:hAnsi="Times New Roman" w:cs="Times New Roman"/>
          <w:sz w:val="24"/>
          <w:szCs w:val="24"/>
        </w:rPr>
        <w:t xml:space="preserve">What this ‘ritual purpose’ could have entailed, however, will never be known for certain. </w:t>
      </w:r>
    </w:p>
    <w:p w14:paraId="433C9C1B" w14:textId="47A7760A" w:rsidR="00145903" w:rsidRDefault="00145903" w:rsidP="00EC251D">
      <w:pPr>
        <w:jc w:val="center"/>
        <w:rPr>
          <w:rFonts w:ascii="Times New Roman" w:hAnsi="Times New Roman" w:cs="Times New Roman"/>
          <w:b/>
          <w:bCs/>
          <w:sz w:val="24"/>
          <w:szCs w:val="24"/>
        </w:rPr>
      </w:pPr>
      <w:r w:rsidRPr="007C036B">
        <w:rPr>
          <w:rFonts w:ascii="Times New Roman" w:hAnsi="Times New Roman" w:cs="Times New Roman"/>
          <w:sz w:val="24"/>
          <w:szCs w:val="24"/>
        </w:rPr>
        <w:br w:type="page"/>
      </w:r>
      <w:r w:rsidRPr="007C036B">
        <w:rPr>
          <w:rFonts w:ascii="Times New Roman" w:hAnsi="Times New Roman" w:cs="Times New Roman"/>
          <w:b/>
          <w:bCs/>
          <w:sz w:val="24"/>
          <w:szCs w:val="24"/>
        </w:rPr>
        <w:lastRenderedPageBreak/>
        <w:t>BIBLIOGRAPHY</w:t>
      </w:r>
      <w:r w:rsidR="008B5C92">
        <w:rPr>
          <w:rFonts w:ascii="Times New Roman" w:hAnsi="Times New Roman" w:cs="Times New Roman"/>
          <w:b/>
          <w:bCs/>
          <w:sz w:val="24"/>
          <w:szCs w:val="24"/>
        </w:rPr>
        <w:t xml:space="preserve"> </w:t>
      </w:r>
    </w:p>
    <w:p w14:paraId="09B43CB2" w14:textId="2862E436" w:rsidR="00A8514E" w:rsidRPr="00A8514E" w:rsidRDefault="00A8514E" w:rsidP="0068460B">
      <w:pPr>
        <w:ind w:left="720" w:hanging="720"/>
        <w:rPr>
          <w:rFonts w:ascii="Times New Roman" w:hAnsi="Times New Roman" w:cs="Times New Roman"/>
          <w:sz w:val="24"/>
          <w:szCs w:val="24"/>
        </w:rPr>
      </w:pPr>
      <w:r w:rsidRPr="007C036B">
        <w:rPr>
          <w:rFonts w:ascii="Times New Roman" w:hAnsi="Times New Roman" w:cs="Times New Roman"/>
          <w:sz w:val="24"/>
          <w:szCs w:val="24"/>
        </w:rPr>
        <w:t xml:space="preserve">British Museum, ‘Bead’, </w:t>
      </w:r>
      <w:r w:rsidRPr="007C036B">
        <w:rPr>
          <w:rFonts w:ascii="Times New Roman" w:hAnsi="Times New Roman" w:cs="Times New Roman"/>
          <w:i/>
          <w:iCs/>
          <w:sz w:val="24"/>
          <w:szCs w:val="24"/>
        </w:rPr>
        <w:t xml:space="preserve">The British Museum </w:t>
      </w:r>
      <w:hyperlink r:id="rId8" w:history="1">
        <w:r w:rsidRPr="007C036B">
          <w:rPr>
            <w:rStyle w:val="Hyperlink"/>
            <w:rFonts w:ascii="Times New Roman" w:hAnsi="Times New Roman" w:cs="Times New Roman"/>
            <w:sz w:val="24"/>
            <w:szCs w:val="24"/>
          </w:rPr>
          <w:t>https://www.britishmuseum.org/collection/object/H_1891-0327-4</w:t>
        </w:r>
      </w:hyperlink>
      <w:r w:rsidRPr="007C036B">
        <w:rPr>
          <w:rFonts w:ascii="Times New Roman" w:hAnsi="Times New Roman" w:cs="Times New Roman"/>
          <w:sz w:val="24"/>
          <w:szCs w:val="24"/>
        </w:rPr>
        <w:t xml:space="preserve"> [Accessed 14th June 2024]</w:t>
      </w:r>
      <w:r w:rsidRPr="007C036B">
        <w:rPr>
          <w:rFonts w:ascii="Times New Roman" w:hAnsi="Times New Roman" w:cs="Times New Roman"/>
          <w:i/>
          <w:iCs/>
          <w:sz w:val="24"/>
          <w:szCs w:val="24"/>
        </w:rPr>
        <w:t xml:space="preserve"> </w:t>
      </w:r>
    </w:p>
    <w:p w14:paraId="6060A909" w14:textId="6EFD6262" w:rsidR="008B5C92" w:rsidRDefault="008B5C92" w:rsidP="008B5C92">
      <w:pPr>
        <w:pStyle w:val="Bibliography"/>
        <w:rPr>
          <w:rFonts w:ascii="Times New Roman" w:hAnsi="Times New Roman" w:cs="Times New Roman"/>
          <w:sz w:val="24"/>
        </w:rPr>
      </w:pPr>
      <w:r>
        <w:rPr>
          <w:b/>
          <w:bCs/>
          <w:sz w:val="24"/>
          <w:szCs w:val="24"/>
        </w:rPr>
        <w:fldChar w:fldCharType="begin"/>
      </w:r>
      <w:r>
        <w:rPr>
          <w:b/>
          <w:bCs/>
          <w:sz w:val="24"/>
          <w:szCs w:val="24"/>
        </w:rPr>
        <w:instrText xml:space="preserve"> ADDIN ZOTERO_BIBL {"uncited":[],"omitted":[],"custom":[]} CSL_BIBLIOGRAPHY </w:instrText>
      </w:r>
      <w:r>
        <w:rPr>
          <w:b/>
          <w:bCs/>
          <w:sz w:val="24"/>
          <w:szCs w:val="24"/>
        </w:rPr>
        <w:fldChar w:fldCharType="separate"/>
      </w:r>
      <w:r w:rsidRPr="008B5C92">
        <w:rPr>
          <w:rFonts w:ascii="Times New Roman" w:hAnsi="Times New Roman" w:cs="Times New Roman"/>
          <w:sz w:val="24"/>
        </w:rPr>
        <w:t xml:space="preserve">Cooper, Anwen, Duncan Garrow, Catriona Gibson, Melanie Giles, and Neil Wilkin, ‘Small Things, Strong Gestures: Understated Objects in Prehistoric Graves’, in </w:t>
      </w:r>
      <w:r w:rsidRPr="008B5C92">
        <w:rPr>
          <w:rFonts w:ascii="Times New Roman" w:hAnsi="Times New Roman" w:cs="Times New Roman"/>
          <w:i/>
          <w:iCs/>
          <w:sz w:val="24"/>
        </w:rPr>
        <w:t>Grave Goods</w:t>
      </w:r>
      <w:r w:rsidRPr="008B5C92">
        <w:rPr>
          <w:rFonts w:ascii="Times New Roman" w:hAnsi="Times New Roman" w:cs="Times New Roman"/>
          <w:sz w:val="24"/>
        </w:rPr>
        <w:t>, Objects and Death in Later Prehistoric Britain (Oxbow Books, 2022), pp. 111–44, doi:10.2307/</w:t>
      </w:r>
      <w:proofErr w:type="gramStart"/>
      <w:r w:rsidRPr="008B5C92">
        <w:rPr>
          <w:rFonts w:ascii="Times New Roman" w:hAnsi="Times New Roman" w:cs="Times New Roman"/>
          <w:sz w:val="24"/>
        </w:rPr>
        <w:t>j.ctv</w:t>
      </w:r>
      <w:proofErr w:type="gramEnd"/>
      <w:r w:rsidRPr="008B5C92">
        <w:rPr>
          <w:rFonts w:ascii="Times New Roman" w:hAnsi="Times New Roman" w:cs="Times New Roman"/>
          <w:sz w:val="24"/>
        </w:rPr>
        <w:t>2npq9hx.10</w:t>
      </w:r>
    </w:p>
    <w:p w14:paraId="172AA430" w14:textId="705CD1CF" w:rsidR="00A8514E" w:rsidRPr="00A8514E" w:rsidRDefault="00A8514E" w:rsidP="0068460B">
      <w:pPr>
        <w:ind w:left="720" w:hanging="720"/>
        <w:rPr>
          <w:rFonts w:ascii="Times New Roman" w:hAnsi="Times New Roman" w:cs="Times New Roman"/>
          <w:sz w:val="24"/>
          <w:szCs w:val="24"/>
        </w:rPr>
      </w:pPr>
      <w:r w:rsidRPr="000408FE">
        <w:rPr>
          <w:rFonts w:ascii="Times New Roman" w:hAnsi="Times New Roman" w:cs="Times New Roman"/>
          <w:sz w:val="24"/>
          <w:szCs w:val="24"/>
        </w:rPr>
        <w:t xml:space="preserve">Current Archaeology, ‘Bring Me My Chariot: Investigating Burial Practices in Iron Age Yorkshire’ </w:t>
      </w:r>
      <w:r w:rsidRPr="000408FE">
        <w:rPr>
          <w:rFonts w:ascii="Times New Roman" w:hAnsi="Times New Roman" w:cs="Times New Roman"/>
          <w:i/>
          <w:iCs/>
          <w:sz w:val="24"/>
          <w:szCs w:val="24"/>
        </w:rPr>
        <w:t xml:space="preserve">Current Archaeology Vol. 363 </w:t>
      </w:r>
      <w:r w:rsidRPr="000408FE">
        <w:rPr>
          <w:rFonts w:ascii="Times New Roman" w:hAnsi="Times New Roman" w:cs="Times New Roman"/>
          <w:sz w:val="24"/>
          <w:szCs w:val="24"/>
        </w:rPr>
        <w:t>(21</w:t>
      </w:r>
      <w:r w:rsidRPr="000408FE">
        <w:rPr>
          <w:rFonts w:ascii="Times New Roman" w:hAnsi="Times New Roman" w:cs="Times New Roman"/>
          <w:sz w:val="24"/>
          <w:szCs w:val="24"/>
          <w:vertAlign w:val="superscript"/>
        </w:rPr>
        <w:t>st</w:t>
      </w:r>
      <w:r w:rsidRPr="000408FE">
        <w:rPr>
          <w:rFonts w:ascii="Times New Roman" w:hAnsi="Times New Roman" w:cs="Times New Roman"/>
          <w:sz w:val="24"/>
          <w:szCs w:val="24"/>
        </w:rPr>
        <w:t xml:space="preserve"> April, 2020) </w:t>
      </w:r>
      <w:hyperlink r:id="rId9" w:history="1">
        <w:r w:rsidRPr="000408FE">
          <w:rPr>
            <w:rStyle w:val="Hyperlink"/>
            <w:rFonts w:ascii="Times New Roman" w:hAnsi="Times New Roman" w:cs="Times New Roman"/>
            <w:sz w:val="24"/>
            <w:szCs w:val="24"/>
          </w:rPr>
          <w:t>https://the-past.com/feature/bring-me-my-chariot-investigating-burial-practices-in-iron-age-yorkshire/</w:t>
        </w:r>
      </w:hyperlink>
      <w:r w:rsidRPr="000408FE">
        <w:rPr>
          <w:rFonts w:ascii="Times New Roman" w:hAnsi="Times New Roman" w:cs="Times New Roman"/>
          <w:sz w:val="24"/>
          <w:szCs w:val="24"/>
        </w:rPr>
        <w:t xml:space="preserve"> [Accessed 8</w:t>
      </w:r>
      <w:r w:rsidRPr="000408FE">
        <w:rPr>
          <w:rFonts w:ascii="Times New Roman" w:hAnsi="Times New Roman" w:cs="Times New Roman"/>
          <w:sz w:val="24"/>
          <w:szCs w:val="24"/>
          <w:vertAlign w:val="superscript"/>
        </w:rPr>
        <w:t>th</w:t>
      </w:r>
      <w:r w:rsidRPr="000408FE">
        <w:rPr>
          <w:rFonts w:ascii="Times New Roman" w:hAnsi="Times New Roman" w:cs="Times New Roman"/>
          <w:sz w:val="24"/>
          <w:szCs w:val="24"/>
        </w:rPr>
        <w:t xml:space="preserve"> June 2024]</w:t>
      </w:r>
      <w:r w:rsidRPr="007C036B">
        <w:rPr>
          <w:rFonts w:ascii="Times New Roman" w:hAnsi="Times New Roman" w:cs="Times New Roman"/>
          <w:sz w:val="24"/>
          <w:szCs w:val="24"/>
        </w:rPr>
        <w:t xml:space="preserve"> </w:t>
      </w:r>
    </w:p>
    <w:p w14:paraId="3FF98F89" w14:textId="15A4910B" w:rsidR="00A8514E" w:rsidRPr="00A8514E" w:rsidRDefault="00A8514E" w:rsidP="0068460B">
      <w:pPr>
        <w:ind w:left="720" w:hanging="720"/>
        <w:rPr>
          <w:rFonts w:ascii="Times New Roman" w:hAnsi="Times New Roman" w:cs="Times New Roman"/>
          <w:i/>
          <w:iCs/>
          <w:sz w:val="24"/>
          <w:szCs w:val="24"/>
        </w:rPr>
      </w:pPr>
      <w:r>
        <w:rPr>
          <w:rFonts w:ascii="Times New Roman" w:hAnsi="Times New Roman" w:cs="Times New Roman"/>
          <w:sz w:val="24"/>
          <w:szCs w:val="24"/>
        </w:rPr>
        <w:t xml:space="preserve">Dent, John Strictland, ‘Excavations in Garton Slack and </w:t>
      </w:r>
      <w:proofErr w:type="spellStart"/>
      <w:r>
        <w:rPr>
          <w:rFonts w:ascii="Times New Roman" w:hAnsi="Times New Roman" w:cs="Times New Roman"/>
          <w:sz w:val="24"/>
          <w:szCs w:val="24"/>
        </w:rPr>
        <w:t>Wetwang</w:t>
      </w:r>
      <w:proofErr w:type="spellEnd"/>
      <w:r>
        <w:rPr>
          <w:rFonts w:ascii="Times New Roman" w:hAnsi="Times New Roman" w:cs="Times New Roman"/>
          <w:sz w:val="24"/>
          <w:szCs w:val="24"/>
        </w:rPr>
        <w:t xml:space="preserve"> Slack 1963-1989’, in </w:t>
      </w:r>
      <w:r>
        <w:rPr>
          <w:rFonts w:ascii="Times New Roman" w:hAnsi="Times New Roman" w:cs="Times New Roman"/>
          <w:i/>
          <w:iCs/>
          <w:color w:val="000000"/>
          <w:spacing w:val="-4"/>
          <w:sz w:val="24"/>
          <w:szCs w:val="24"/>
        </w:rPr>
        <w:t>The Arras Culture of Eastern Yorkshire – Celebrating the Iron Age: Proceedings of “Arras 200 – celebrating the Iron Age.” Royal Archaeological Institute Annual Conference</w:t>
      </w:r>
      <w:r>
        <w:rPr>
          <w:rFonts w:ascii="Times New Roman" w:hAnsi="Times New Roman" w:cs="Times New Roman"/>
          <w:color w:val="000000"/>
          <w:spacing w:val="-4"/>
          <w:sz w:val="24"/>
          <w:szCs w:val="24"/>
        </w:rPr>
        <w:t xml:space="preserve">, edited by Peter </w:t>
      </w:r>
      <w:proofErr w:type="spellStart"/>
      <w:r>
        <w:rPr>
          <w:rFonts w:ascii="Times New Roman" w:hAnsi="Times New Roman" w:cs="Times New Roman"/>
          <w:color w:val="000000"/>
          <w:spacing w:val="-4"/>
          <w:sz w:val="24"/>
          <w:szCs w:val="24"/>
        </w:rPr>
        <w:t>Halkon</w:t>
      </w:r>
      <w:proofErr w:type="spellEnd"/>
      <w:r>
        <w:rPr>
          <w:rFonts w:ascii="Times New Roman" w:hAnsi="Times New Roman" w:cs="Times New Roman"/>
          <w:color w:val="000000"/>
          <w:spacing w:val="-4"/>
          <w:sz w:val="24"/>
          <w:szCs w:val="24"/>
        </w:rPr>
        <w:t xml:space="preserve"> (Oxford: Oxbow Books, 2020), pp. 33-46. </w:t>
      </w:r>
    </w:p>
    <w:p w14:paraId="7741BA46" w14:textId="77777777" w:rsidR="008B5C92" w:rsidRPr="008B5C92" w:rsidRDefault="008B5C92" w:rsidP="008B5C92">
      <w:pPr>
        <w:pStyle w:val="Bibliography"/>
        <w:rPr>
          <w:rFonts w:ascii="Times New Roman" w:hAnsi="Times New Roman" w:cs="Times New Roman"/>
          <w:sz w:val="24"/>
        </w:rPr>
      </w:pPr>
      <w:r w:rsidRPr="008B5C92">
        <w:rPr>
          <w:rFonts w:ascii="Times New Roman" w:hAnsi="Times New Roman" w:cs="Times New Roman"/>
          <w:sz w:val="24"/>
        </w:rPr>
        <w:t xml:space="preserve">Ekengren, Fredrik, ‘Contextualizing Grave Goods: Theoretical Perspectives and Methodological Implications’, in </w:t>
      </w:r>
      <w:r w:rsidRPr="008B5C92">
        <w:rPr>
          <w:rFonts w:ascii="Times New Roman" w:hAnsi="Times New Roman" w:cs="Times New Roman"/>
          <w:i/>
          <w:iCs/>
          <w:sz w:val="24"/>
        </w:rPr>
        <w:t>The Oxford Handbook of the Archaeology of Death and Burial</w:t>
      </w:r>
      <w:r w:rsidRPr="008B5C92">
        <w:rPr>
          <w:rFonts w:ascii="Times New Roman" w:hAnsi="Times New Roman" w:cs="Times New Roman"/>
          <w:sz w:val="24"/>
        </w:rPr>
        <w:t>, ed. by Liv Nilsson Stutz and Sarah Tarlow (Oxford University Press, 2013), p. 0, doi:10.1093/</w:t>
      </w:r>
      <w:proofErr w:type="spellStart"/>
      <w:r w:rsidRPr="008B5C92">
        <w:rPr>
          <w:rFonts w:ascii="Times New Roman" w:hAnsi="Times New Roman" w:cs="Times New Roman"/>
          <w:sz w:val="24"/>
        </w:rPr>
        <w:t>oxfordhb</w:t>
      </w:r>
      <w:proofErr w:type="spellEnd"/>
      <w:r w:rsidRPr="008B5C92">
        <w:rPr>
          <w:rFonts w:ascii="Times New Roman" w:hAnsi="Times New Roman" w:cs="Times New Roman"/>
          <w:sz w:val="24"/>
        </w:rPr>
        <w:t>/9780199569069.013.0010</w:t>
      </w:r>
    </w:p>
    <w:p w14:paraId="2F9400DF" w14:textId="360B94D0" w:rsidR="008B5C92" w:rsidRPr="008B5C92" w:rsidRDefault="008B5C92" w:rsidP="008B5C92">
      <w:pPr>
        <w:pStyle w:val="Bibliography"/>
        <w:rPr>
          <w:rFonts w:ascii="Times New Roman" w:hAnsi="Times New Roman" w:cs="Times New Roman"/>
          <w:sz w:val="24"/>
        </w:rPr>
      </w:pPr>
      <w:r w:rsidRPr="0068460B">
        <w:rPr>
          <w:rFonts w:ascii="Times New Roman" w:hAnsi="Times New Roman" w:cs="Times New Roman"/>
          <w:sz w:val="24"/>
        </w:rPr>
        <w:t xml:space="preserve">Foulds, Elizabeth, ‘A Short Guide to Iron Age Glass Beads from Britain’, </w:t>
      </w:r>
      <w:r w:rsidR="0068460B" w:rsidRPr="0068460B">
        <w:rPr>
          <w:rFonts w:ascii="Times New Roman" w:hAnsi="Times New Roman" w:cs="Times New Roman"/>
          <w:i/>
          <w:iCs/>
          <w:sz w:val="24"/>
        </w:rPr>
        <w:t xml:space="preserve">Later Prehistoric Finds </w:t>
      </w:r>
      <w:r w:rsidR="0068460B" w:rsidRPr="0068460B">
        <w:rPr>
          <w:rFonts w:ascii="Times New Roman" w:hAnsi="Times New Roman" w:cs="Times New Roman"/>
          <w:sz w:val="24"/>
        </w:rPr>
        <w:t xml:space="preserve">Group, </w:t>
      </w:r>
      <w:r w:rsidRPr="0068460B">
        <w:rPr>
          <w:rFonts w:ascii="Times New Roman" w:hAnsi="Times New Roman" w:cs="Times New Roman"/>
          <w:sz w:val="24"/>
        </w:rPr>
        <w:t>2017</w:t>
      </w:r>
      <w:r w:rsidR="0068460B" w:rsidRPr="0068460B">
        <w:rPr>
          <w:rFonts w:ascii="Times New Roman" w:hAnsi="Times New Roman" w:cs="Times New Roman"/>
          <w:sz w:val="24"/>
        </w:rPr>
        <w:t xml:space="preserve"> </w:t>
      </w:r>
      <w:r w:rsidR="0068460B" w:rsidRPr="0068460B">
        <w:rPr>
          <w:rFonts w:ascii="Times New Roman" w:hAnsi="Times New Roman" w:cs="Times New Roman"/>
          <w:sz w:val="24"/>
        </w:rPr>
        <w:t>https://laterprehistoricfinds.com/wp-content/uploads/2018/03/lpfg-datasheet-4-ia-glass-beads-efoulds.pdf</w:t>
      </w:r>
      <w:r w:rsidR="0068460B">
        <w:rPr>
          <w:rFonts w:ascii="Times New Roman" w:hAnsi="Times New Roman" w:cs="Times New Roman"/>
          <w:sz w:val="24"/>
        </w:rPr>
        <w:t xml:space="preserve"> </w:t>
      </w:r>
    </w:p>
    <w:p w14:paraId="5BF24526" w14:textId="6D23DBCA" w:rsidR="008B5C92" w:rsidRPr="008B5C92" w:rsidRDefault="008B5C92" w:rsidP="008B5C92">
      <w:pPr>
        <w:pStyle w:val="Bibliography"/>
        <w:rPr>
          <w:rFonts w:ascii="Times New Roman" w:hAnsi="Times New Roman" w:cs="Times New Roman"/>
          <w:sz w:val="24"/>
        </w:rPr>
      </w:pPr>
      <w:r>
        <w:rPr>
          <w:rFonts w:ascii="Times New Roman" w:hAnsi="Times New Roman" w:cs="Times New Roman"/>
          <w:sz w:val="24"/>
        </w:rPr>
        <w:t>Foulds, Elizabeth</w:t>
      </w:r>
      <w:r w:rsidRPr="008B5C92">
        <w:rPr>
          <w:rFonts w:ascii="Times New Roman" w:hAnsi="Times New Roman" w:cs="Times New Roman"/>
          <w:sz w:val="24"/>
        </w:rPr>
        <w:t xml:space="preserve">, ‘Decoration and Colour of Iron Age Glass Beads from Britain’, </w:t>
      </w:r>
      <w:r w:rsidRPr="008B5C92">
        <w:rPr>
          <w:rFonts w:ascii="Times New Roman" w:hAnsi="Times New Roman" w:cs="Times New Roman"/>
          <w:i/>
          <w:iCs/>
          <w:sz w:val="24"/>
        </w:rPr>
        <w:t>E &amp; F Foulds Artefact Specialists</w:t>
      </w:r>
      <w:r w:rsidRPr="008B5C92">
        <w:rPr>
          <w:rFonts w:ascii="Times New Roman" w:hAnsi="Times New Roman" w:cs="Times New Roman"/>
          <w:sz w:val="24"/>
        </w:rPr>
        <w:t>, 2015 &lt;https://fouldsartefactspecialist.com/2015/09/12/decoration-and-colour-of-iron-age-glass-beads-from-britain/&gt; [accessed 25 June 2024]</w:t>
      </w:r>
    </w:p>
    <w:p w14:paraId="7853B059" w14:textId="4D8C8544" w:rsidR="008B5C92" w:rsidRPr="008B5C92" w:rsidRDefault="008B5C92" w:rsidP="008B5C92">
      <w:pPr>
        <w:pStyle w:val="Bibliography"/>
        <w:rPr>
          <w:rFonts w:ascii="Times New Roman" w:hAnsi="Times New Roman" w:cs="Times New Roman"/>
          <w:sz w:val="24"/>
        </w:rPr>
      </w:pPr>
      <w:r>
        <w:rPr>
          <w:rFonts w:ascii="Times New Roman" w:hAnsi="Times New Roman" w:cs="Times New Roman"/>
          <w:sz w:val="24"/>
        </w:rPr>
        <w:t>Foulds, Elizabeth</w:t>
      </w:r>
      <w:r w:rsidRPr="008B5C92">
        <w:rPr>
          <w:rFonts w:ascii="Times New Roman" w:hAnsi="Times New Roman" w:cs="Times New Roman"/>
          <w:sz w:val="24"/>
        </w:rPr>
        <w:t xml:space="preserve">, ‘Glass Beads from a Late Iron Age Mirror Burial’, </w:t>
      </w:r>
      <w:r w:rsidRPr="008B5C92">
        <w:rPr>
          <w:rFonts w:ascii="Times New Roman" w:hAnsi="Times New Roman" w:cs="Times New Roman"/>
          <w:i/>
          <w:iCs/>
          <w:sz w:val="24"/>
        </w:rPr>
        <w:t>E &amp; F Foulds Artefact Specialists</w:t>
      </w:r>
      <w:r w:rsidRPr="008B5C92">
        <w:rPr>
          <w:rFonts w:ascii="Times New Roman" w:hAnsi="Times New Roman" w:cs="Times New Roman"/>
          <w:sz w:val="24"/>
        </w:rPr>
        <w:t>, 2015 &lt;https://fouldsartefactspecialist.com/2015/07/17/glass-beads-from-a-late-iron-age-mirror-burial/&gt; [accessed 17 June 2024]</w:t>
      </w:r>
    </w:p>
    <w:p w14:paraId="3DA1359A" w14:textId="77777777" w:rsidR="008B5C92" w:rsidRPr="008B5C92" w:rsidRDefault="008B5C92" w:rsidP="008B5C92">
      <w:pPr>
        <w:pStyle w:val="Bibliography"/>
        <w:rPr>
          <w:rFonts w:ascii="Times New Roman" w:hAnsi="Times New Roman" w:cs="Times New Roman"/>
          <w:sz w:val="24"/>
        </w:rPr>
      </w:pPr>
      <w:r w:rsidRPr="008B5C92">
        <w:rPr>
          <w:rFonts w:ascii="Times New Roman" w:hAnsi="Times New Roman" w:cs="Times New Roman"/>
          <w:sz w:val="24"/>
        </w:rPr>
        <w:t xml:space="preserve">Giles, Melanie, Victoria Green, and Pedro Peixoto, ‘Wide Connections: Women, Mobility and Power in Iron Age East Yorkshire’, in </w:t>
      </w:r>
      <w:r w:rsidRPr="008B5C92">
        <w:rPr>
          <w:rFonts w:ascii="Times New Roman" w:hAnsi="Times New Roman" w:cs="Times New Roman"/>
          <w:i/>
          <w:iCs/>
          <w:sz w:val="24"/>
        </w:rPr>
        <w:t>The Arras Culture of Eastern Yorkshire – Celebrating the Iron Age</w:t>
      </w:r>
      <w:r w:rsidRPr="008B5C92">
        <w:rPr>
          <w:rFonts w:ascii="Times New Roman" w:hAnsi="Times New Roman" w:cs="Times New Roman"/>
          <w:sz w:val="24"/>
        </w:rPr>
        <w:t xml:space="preserve">, ed. by Peter </w:t>
      </w:r>
      <w:proofErr w:type="spellStart"/>
      <w:r w:rsidRPr="008B5C92">
        <w:rPr>
          <w:rFonts w:ascii="Times New Roman" w:hAnsi="Times New Roman" w:cs="Times New Roman"/>
          <w:sz w:val="24"/>
        </w:rPr>
        <w:t>Halkon</w:t>
      </w:r>
      <w:proofErr w:type="spellEnd"/>
      <w:r w:rsidRPr="008B5C92">
        <w:rPr>
          <w:rFonts w:ascii="Times New Roman" w:hAnsi="Times New Roman" w:cs="Times New Roman"/>
          <w:sz w:val="24"/>
        </w:rPr>
        <w:t xml:space="preserve">, Proceedings of “Arras 200 – Celebrating the Iron Age." Royal Archaeological Institute Annual Conference. (Oxbow Books, 2020), pp. 47–66, </w:t>
      </w:r>
      <w:proofErr w:type="gramStart"/>
      <w:r w:rsidRPr="008B5C92">
        <w:rPr>
          <w:rFonts w:ascii="Times New Roman" w:hAnsi="Times New Roman" w:cs="Times New Roman"/>
          <w:sz w:val="24"/>
        </w:rPr>
        <w:t>doi:10.2307/j.ctv138wskk</w:t>
      </w:r>
      <w:proofErr w:type="gramEnd"/>
      <w:r w:rsidRPr="008B5C92">
        <w:rPr>
          <w:rFonts w:ascii="Times New Roman" w:hAnsi="Times New Roman" w:cs="Times New Roman"/>
          <w:sz w:val="24"/>
        </w:rPr>
        <w:t>.9</w:t>
      </w:r>
    </w:p>
    <w:p w14:paraId="6C9224BE" w14:textId="77777777" w:rsidR="008B5C92" w:rsidRPr="008B5C92" w:rsidRDefault="008B5C92" w:rsidP="008B5C92">
      <w:pPr>
        <w:pStyle w:val="Bibliography"/>
        <w:rPr>
          <w:rFonts w:ascii="Times New Roman" w:hAnsi="Times New Roman" w:cs="Times New Roman"/>
          <w:sz w:val="24"/>
        </w:rPr>
      </w:pPr>
      <w:r w:rsidRPr="008B5C92">
        <w:rPr>
          <w:rFonts w:ascii="Times New Roman" w:hAnsi="Times New Roman" w:cs="Times New Roman"/>
          <w:sz w:val="24"/>
        </w:rPr>
        <w:t xml:space="preserve">Russell, Miles, Martin Smith, Paul Cheetham, Damian Evans, and Harry Manley, ‘The Girl with the Chariot Medallion: A Well-Furnished, Late Iron Age </w:t>
      </w:r>
      <w:proofErr w:type="spellStart"/>
      <w:r w:rsidRPr="008B5C92">
        <w:rPr>
          <w:rFonts w:ascii="Times New Roman" w:hAnsi="Times New Roman" w:cs="Times New Roman"/>
          <w:sz w:val="24"/>
        </w:rPr>
        <w:t>Durotrigian</w:t>
      </w:r>
      <w:proofErr w:type="spellEnd"/>
      <w:r w:rsidRPr="008B5C92">
        <w:rPr>
          <w:rFonts w:ascii="Times New Roman" w:hAnsi="Times New Roman" w:cs="Times New Roman"/>
          <w:sz w:val="24"/>
        </w:rPr>
        <w:t xml:space="preserve"> Burial from Langton Herring, Dorset’, </w:t>
      </w:r>
      <w:r w:rsidRPr="008B5C92">
        <w:rPr>
          <w:rFonts w:ascii="Times New Roman" w:hAnsi="Times New Roman" w:cs="Times New Roman"/>
          <w:i/>
          <w:iCs/>
          <w:sz w:val="24"/>
        </w:rPr>
        <w:t>Archaeological Journal</w:t>
      </w:r>
      <w:r w:rsidRPr="008B5C92">
        <w:rPr>
          <w:rFonts w:ascii="Times New Roman" w:hAnsi="Times New Roman" w:cs="Times New Roman"/>
          <w:sz w:val="24"/>
        </w:rPr>
        <w:t>, 176.2 (2019), pp. 196–230, doi:10.1080/00665983.2019.1573551</w:t>
      </w:r>
    </w:p>
    <w:p w14:paraId="27639B1D" w14:textId="3342699F" w:rsidR="00A8514E" w:rsidRPr="00A8514E" w:rsidRDefault="008B5C92" w:rsidP="00A8514E">
      <w:pPr>
        <w:pStyle w:val="Bibliography"/>
        <w:rPr>
          <w:rFonts w:ascii="Times New Roman" w:hAnsi="Times New Roman" w:cs="Times New Roman"/>
          <w:sz w:val="24"/>
        </w:rPr>
      </w:pPr>
      <w:proofErr w:type="spellStart"/>
      <w:r w:rsidRPr="008B5C92">
        <w:rPr>
          <w:rFonts w:ascii="Times New Roman" w:hAnsi="Times New Roman" w:cs="Times New Roman"/>
          <w:sz w:val="24"/>
        </w:rPr>
        <w:lastRenderedPageBreak/>
        <w:t>Saramifar</w:t>
      </w:r>
      <w:proofErr w:type="spellEnd"/>
      <w:r w:rsidRPr="008B5C92">
        <w:rPr>
          <w:rFonts w:ascii="Times New Roman" w:hAnsi="Times New Roman" w:cs="Times New Roman"/>
          <w:sz w:val="24"/>
        </w:rPr>
        <w:t xml:space="preserve">, Younes, ‘Objects, Object-Ness, and Shadows of Meanings: Carving Prayer Beads and Exploring Their Materiality alongside a </w:t>
      </w:r>
      <w:proofErr w:type="spellStart"/>
      <w:r w:rsidRPr="008B5C92">
        <w:rPr>
          <w:rFonts w:ascii="Times New Roman" w:hAnsi="Times New Roman" w:cs="Times New Roman"/>
          <w:sz w:val="24"/>
        </w:rPr>
        <w:t>Khaksari</w:t>
      </w:r>
      <w:proofErr w:type="spellEnd"/>
      <w:r w:rsidRPr="008B5C92">
        <w:rPr>
          <w:rFonts w:ascii="Times New Roman" w:hAnsi="Times New Roman" w:cs="Times New Roman"/>
          <w:sz w:val="24"/>
        </w:rPr>
        <w:t xml:space="preserve"> Sufi Murshid’, </w:t>
      </w:r>
      <w:r w:rsidRPr="008B5C92">
        <w:rPr>
          <w:rFonts w:ascii="Times New Roman" w:hAnsi="Times New Roman" w:cs="Times New Roman"/>
          <w:i/>
          <w:iCs/>
          <w:sz w:val="24"/>
        </w:rPr>
        <w:t>Material Religion</w:t>
      </w:r>
      <w:r w:rsidRPr="008B5C92">
        <w:rPr>
          <w:rFonts w:ascii="Times New Roman" w:hAnsi="Times New Roman" w:cs="Times New Roman"/>
          <w:sz w:val="24"/>
        </w:rPr>
        <w:t>, 14.3 (2018), pp. 368–88, doi:10.1080/17432200.2018.1487765</w:t>
      </w:r>
      <w:r w:rsidR="00A8514E">
        <w:rPr>
          <w:rFonts w:ascii="Times New Roman" w:hAnsi="Times New Roman" w:cs="Times New Roman"/>
          <w:sz w:val="24"/>
        </w:rPr>
        <w:t xml:space="preserve"> </w:t>
      </w:r>
    </w:p>
    <w:p w14:paraId="2D3BD864" w14:textId="7B65AE8B" w:rsidR="007176BF" w:rsidRPr="0068460B" w:rsidRDefault="008B5C92" w:rsidP="0068460B">
      <w:pPr>
        <w:shd w:val="clear" w:color="auto" w:fill="FFFFFF"/>
        <w:ind w:left="720" w:hanging="720"/>
        <w:rPr>
          <w:rFonts w:ascii="Times New Roman" w:eastAsia="Times New Roman" w:hAnsi="Times New Roman" w:cs="Times New Roman"/>
          <w:color w:val="000000"/>
          <w:spacing w:val="-5"/>
          <w:kern w:val="0"/>
          <w:sz w:val="24"/>
          <w:szCs w:val="24"/>
          <w:lang w:eastAsia="en-GB"/>
          <w14:ligatures w14:val="none"/>
        </w:rPr>
      </w:pPr>
      <w:r>
        <w:rPr>
          <w:rFonts w:ascii="Times New Roman" w:hAnsi="Times New Roman" w:cs="Times New Roman"/>
          <w:b/>
          <w:bCs/>
          <w:sz w:val="24"/>
          <w:szCs w:val="24"/>
        </w:rPr>
        <w:fldChar w:fldCharType="end"/>
      </w:r>
      <w:bookmarkEnd w:id="0"/>
      <w:r w:rsidR="0068460B" w:rsidRPr="0068460B">
        <w:rPr>
          <w:rFonts w:ascii="Times New Roman" w:eastAsia="Times New Roman" w:hAnsi="Times New Roman" w:cs="Times New Roman"/>
          <w:color w:val="000000"/>
          <w:spacing w:val="-5"/>
          <w:kern w:val="0"/>
          <w:sz w:val="24"/>
          <w:szCs w:val="24"/>
          <w:lang w:eastAsia="en-GB"/>
          <w14:ligatures w14:val="none"/>
        </w:rPr>
        <w:t xml:space="preserve">Weiner, Annette B. </w:t>
      </w:r>
      <w:r w:rsidR="0068460B">
        <w:rPr>
          <w:rFonts w:ascii="Times New Roman" w:eastAsia="Times New Roman" w:hAnsi="Times New Roman" w:cs="Times New Roman"/>
          <w:color w:val="000000"/>
          <w:spacing w:val="-5"/>
          <w:kern w:val="0"/>
          <w:sz w:val="24"/>
          <w:szCs w:val="24"/>
          <w:lang w:eastAsia="en-GB"/>
          <w14:ligatures w14:val="none"/>
        </w:rPr>
        <w:t>‘</w:t>
      </w:r>
      <w:r w:rsidR="0068460B" w:rsidRPr="0068460B">
        <w:rPr>
          <w:rFonts w:ascii="Times New Roman" w:eastAsia="Times New Roman" w:hAnsi="Times New Roman" w:cs="Times New Roman"/>
          <w:color w:val="000000"/>
          <w:spacing w:val="-5"/>
          <w:kern w:val="0"/>
          <w:sz w:val="24"/>
          <w:szCs w:val="24"/>
          <w:lang w:eastAsia="en-GB"/>
          <w14:ligatures w14:val="none"/>
        </w:rPr>
        <w:t>Inalienable Wealth</w:t>
      </w:r>
      <w:r w:rsidR="0068460B">
        <w:rPr>
          <w:rFonts w:ascii="Times New Roman" w:eastAsia="Times New Roman" w:hAnsi="Times New Roman" w:cs="Times New Roman"/>
          <w:color w:val="000000"/>
          <w:spacing w:val="-5"/>
          <w:kern w:val="0"/>
          <w:sz w:val="24"/>
          <w:szCs w:val="24"/>
          <w:lang w:eastAsia="en-GB"/>
          <w14:ligatures w14:val="none"/>
        </w:rPr>
        <w:t>’,</w:t>
      </w:r>
      <w:r w:rsidR="0068460B" w:rsidRPr="0068460B">
        <w:rPr>
          <w:rFonts w:ascii="Times New Roman" w:eastAsia="Times New Roman" w:hAnsi="Times New Roman" w:cs="Times New Roman"/>
          <w:color w:val="000000"/>
          <w:spacing w:val="-5"/>
          <w:kern w:val="0"/>
          <w:sz w:val="24"/>
          <w:szCs w:val="24"/>
          <w:lang w:eastAsia="en-GB"/>
          <w14:ligatures w14:val="none"/>
        </w:rPr>
        <w:t> </w:t>
      </w:r>
      <w:r w:rsidR="0068460B" w:rsidRPr="0068460B">
        <w:rPr>
          <w:rFonts w:ascii="Times New Roman" w:eastAsia="Times New Roman" w:hAnsi="Times New Roman" w:cs="Times New Roman"/>
          <w:i/>
          <w:iCs/>
          <w:color w:val="000000"/>
          <w:spacing w:val="-5"/>
          <w:kern w:val="0"/>
          <w:sz w:val="24"/>
          <w:szCs w:val="24"/>
          <w:lang w:eastAsia="en-GB"/>
          <w14:ligatures w14:val="none"/>
        </w:rPr>
        <w:t>American Ethnologist</w:t>
      </w:r>
      <w:r w:rsidR="0068460B" w:rsidRPr="0068460B">
        <w:rPr>
          <w:rFonts w:ascii="Times New Roman" w:eastAsia="Times New Roman" w:hAnsi="Times New Roman" w:cs="Times New Roman"/>
          <w:color w:val="000000"/>
          <w:spacing w:val="-5"/>
          <w:kern w:val="0"/>
          <w:sz w:val="24"/>
          <w:szCs w:val="24"/>
          <w:lang w:eastAsia="en-GB"/>
          <w14:ligatures w14:val="none"/>
        </w:rPr>
        <w:t> 12</w:t>
      </w:r>
      <w:r w:rsidR="0068460B">
        <w:rPr>
          <w:rFonts w:ascii="Times New Roman" w:eastAsia="Times New Roman" w:hAnsi="Times New Roman" w:cs="Times New Roman"/>
          <w:color w:val="000000"/>
          <w:spacing w:val="-5"/>
          <w:kern w:val="0"/>
          <w:sz w:val="24"/>
          <w:szCs w:val="24"/>
          <w:lang w:eastAsia="en-GB"/>
          <w14:ligatures w14:val="none"/>
        </w:rPr>
        <w:t>.</w:t>
      </w:r>
      <w:r w:rsidR="0068460B" w:rsidRPr="0068460B">
        <w:rPr>
          <w:rFonts w:ascii="Times New Roman" w:eastAsia="Times New Roman" w:hAnsi="Times New Roman" w:cs="Times New Roman"/>
          <w:color w:val="000000"/>
          <w:spacing w:val="-5"/>
          <w:kern w:val="0"/>
          <w:sz w:val="24"/>
          <w:szCs w:val="24"/>
          <w:lang w:eastAsia="en-GB"/>
          <w14:ligatures w14:val="none"/>
        </w:rPr>
        <w:t xml:space="preserve">2 (1985): </w:t>
      </w:r>
      <w:r w:rsidR="0068460B">
        <w:rPr>
          <w:rFonts w:ascii="Times New Roman" w:eastAsia="Times New Roman" w:hAnsi="Times New Roman" w:cs="Times New Roman"/>
          <w:color w:val="000000"/>
          <w:spacing w:val="-5"/>
          <w:kern w:val="0"/>
          <w:sz w:val="24"/>
          <w:szCs w:val="24"/>
          <w:lang w:eastAsia="en-GB"/>
          <w14:ligatures w14:val="none"/>
        </w:rPr>
        <w:t xml:space="preserve">pp. </w:t>
      </w:r>
      <w:r w:rsidR="0068460B" w:rsidRPr="0068460B">
        <w:rPr>
          <w:rFonts w:ascii="Times New Roman" w:eastAsia="Times New Roman" w:hAnsi="Times New Roman" w:cs="Times New Roman"/>
          <w:color w:val="000000"/>
          <w:spacing w:val="-5"/>
          <w:kern w:val="0"/>
          <w:sz w:val="24"/>
          <w:szCs w:val="24"/>
          <w:lang w:eastAsia="en-GB"/>
          <w14:ligatures w14:val="none"/>
        </w:rPr>
        <w:t xml:space="preserve">210–27. </w:t>
      </w:r>
      <w:hyperlink r:id="rId10" w:history="1">
        <w:r w:rsidR="0068460B" w:rsidRPr="004E6350">
          <w:rPr>
            <w:rStyle w:val="Hyperlink"/>
            <w:rFonts w:ascii="Times New Roman" w:eastAsia="Times New Roman" w:hAnsi="Times New Roman" w:cs="Times New Roman"/>
            <w:spacing w:val="-5"/>
            <w:kern w:val="0"/>
            <w:sz w:val="24"/>
            <w:szCs w:val="24"/>
            <w:lang w:eastAsia="en-GB"/>
            <w14:ligatures w14:val="none"/>
          </w:rPr>
          <w:t>http://www.jstor.org/stable/644217</w:t>
        </w:r>
      </w:hyperlink>
      <w:r w:rsidR="0068460B" w:rsidRPr="0068460B">
        <w:rPr>
          <w:rFonts w:ascii="Times New Roman" w:eastAsia="Times New Roman" w:hAnsi="Times New Roman" w:cs="Times New Roman"/>
          <w:color w:val="000000"/>
          <w:spacing w:val="-5"/>
          <w:kern w:val="0"/>
          <w:sz w:val="24"/>
          <w:szCs w:val="24"/>
          <w:lang w:eastAsia="en-GB"/>
          <w14:ligatures w14:val="none"/>
        </w:rPr>
        <w:t>.</w:t>
      </w:r>
      <w:r w:rsidR="0068460B">
        <w:rPr>
          <w:rFonts w:ascii="Times New Roman" w:eastAsia="Times New Roman" w:hAnsi="Times New Roman" w:cs="Times New Roman"/>
          <w:color w:val="000000"/>
          <w:spacing w:val="-5"/>
          <w:kern w:val="0"/>
          <w:sz w:val="24"/>
          <w:szCs w:val="24"/>
          <w:lang w:eastAsia="en-GB"/>
          <w14:ligatures w14:val="none"/>
        </w:rPr>
        <w:t xml:space="preserve"> </w:t>
      </w:r>
    </w:p>
    <w:sectPr w:rsidR="007176BF" w:rsidRPr="006846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D950A" w14:textId="77777777" w:rsidR="006361EF" w:rsidRDefault="006361EF" w:rsidP="00F9558B">
      <w:pPr>
        <w:spacing w:after="0" w:line="240" w:lineRule="auto"/>
      </w:pPr>
      <w:r>
        <w:separator/>
      </w:r>
    </w:p>
  </w:endnote>
  <w:endnote w:type="continuationSeparator" w:id="0">
    <w:p w14:paraId="4A5ECE89" w14:textId="77777777" w:rsidR="006361EF" w:rsidRDefault="006361EF" w:rsidP="00F95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2730A" w14:textId="77777777" w:rsidR="006361EF" w:rsidRDefault="006361EF" w:rsidP="00F9558B">
      <w:pPr>
        <w:spacing w:after="0" w:line="240" w:lineRule="auto"/>
      </w:pPr>
      <w:r>
        <w:separator/>
      </w:r>
    </w:p>
  </w:footnote>
  <w:footnote w:type="continuationSeparator" w:id="0">
    <w:p w14:paraId="470FA131" w14:textId="77777777" w:rsidR="006361EF" w:rsidRDefault="006361EF" w:rsidP="00F9558B">
      <w:pPr>
        <w:spacing w:after="0" w:line="240" w:lineRule="auto"/>
      </w:pPr>
      <w:r>
        <w:continuationSeparator/>
      </w:r>
    </w:p>
  </w:footnote>
  <w:footnote w:id="1">
    <w:p w14:paraId="600EBDAF" w14:textId="75227272" w:rsidR="007D3996" w:rsidRDefault="007D3996">
      <w:pPr>
        <w:pStyle w:val="FootnoteText"/>
      </w:pPr>
      <w:r>
        <w:rPr>
          <w:rStyle w:val="FootnoteReference"/>
        </w:rPr>
        <w:footnoteRef/>
      </w:r>
      <w:r>
        <w:t xml:space="preserve"> </w:t>
      </w:r>
      <w:r>
        <w:fldChar w:fldCharType="begin"/>
      </w:r>
      <w:r w:rsidR="004E262E">
        <w:instrText xml:space="preserve"> ADDIN ZOTERO_ITEM CSL_CITATION {"citationID":"xSZgnSBx","properties":{"formattedCitation":"Elizabeth Foulds, \\uc0\\u8216{}Glass Beads from a Late Iron Age Mirror Burial\\uc0\\u8217{}, {\\i{}E &amp; F Foulds Artefact Specialists}, 2015 &lt;https://fouldsartefactspecialist.com/2015/07/17/glass-beads-from-a-late-iron-age-mirror-burial/&gt; [accessed 17 June 2024].","plainCitation":"Elizabeth Foulds, ‘Glass Beads from a Late Iron Age Mirror Burial’, E &amp; F Foulds Artefact Specialists, 2015 &lt;https://fouldsartefactspecialist.com/2015/07/17/glass-beads-from-a-late-iron-age-mirror-burial/&gt; [accessed 17 June 2024].","noteIndex":1},"citationItems":[{"id":316,"uris":["http://zotero.org/users/local/VhgDsqkD/items/Z96UPU6I"],"itemData":{"id":316,"type":"post-weblog","abstract":"It is extremely rare to find glass beads in British Iron Age burials. This is partially because there are so few burials of human remains that can be attributed to this period. It seems that the pr…","container-title":"E &amp; F Foulds Artefact Specialists","language":"en","title":"Glass Beads from a Late Iron Age Mirror Burial","URL":"https://fouldsartefactspecialist.com/2015/07/17/glass-beads-from-a-late-iron-age-mirror-burial/","author":[{"family":"Foulds","given":"Elizabeth"}],"accessed":{"date-parts":[["2024",6,17]]},"issued":{"date-parts":[["2015",7,17]]}}}],"schema":"https://github.com/citation-style-language/schema/raw/master/csl-citation.json"} </w:instrText>
      </w:r>
      <w:r>
        <w:fldChar w:fldCharType="separate"/>
      </w:r>
      <w:r w:rsidR="004E262E" w:rsidRPr="004E262E">
        <w:rPr>
          <w:rFonts w:ascii="Aptos" w:hAnsi="Aptos" w:cs="Times New Roman"/>
          <w:kern w:val="0"/>
        </w:rPr>
        <w:t xml:space="preserve">Elizabeth Foulds, ‘Glass Beads from a Late Iron Age Mirror Burial’, </w:t>
      </w:r>
      <w:r w:rsidR="004E262E" w:rsidRPr="004E262E">
        <w:rPr>
          <w:rFonts w:ascii="Aptos" w:hAnsi="Aptos" w:cs="Times New Roman"/>
          <w:i/>
          <w:iCs/>
          <w:kern w:val="0"/>
        </w:rPr>
        <w:t>E &amp; F Foulds Artefact Specialists</w:t>
      </w:r>
      <w:r w:rsidR="004E262E" w:rsidRPr="004E262E">
        <w:rPr>
          <w:rFonts w:ascii="Aptos" w:hAnsi="Aptos" w:cs="Times New Roman"/>
          <w:kern w:val="0"/>
        </w:rPr>
        <w:t>, 2015 &lt;https://fouldsartefactspecialist.com/2015/07/17/glass-beads-from-a-late-iron-age-mirror-burial/&gt; [accessed 17 June 2024].</w:t>
      </w:r>
      <w:r>
        <w:fldChar w:fldCharType="end"/>
      </w:r>
    </w:p>
  </w:footnote>
  <w:footnote w:id="2">
    <w:p w14:paraId="7F68484B" w14:textId="3CB03F2B" w:rsidR="007D3996" w:rsidRDefault="007D3996">
      <w:pPr>
        <w:pStyle w:val="FootnoteText"/>
      </w:pPr>
      <w:r>
        <w:rPr>
          <w:rStyle w:val="FootnoteReference"/>
        </w:rPr>
        <w:footnoteRef/>
      </w:r>
      <w:r>
        <w:t xml:space="preserve"> </w:t>
      </w:r>
      <w:r>
        <w:fldChar w:fldCharType="begin"/>
      </w:r>
      <w:r>
        <w:instrText xml:space="preserve"> ADDIN ZOTERO_ITEM CSL_CITATION {"citationID":"3h51e0nl","properties":{"formattedCitation":"Miles Russell and others, \\uc0\\u8216{}The Girl with the Chariot Medallion: A Well-Furnished, Late Iron Age Durotrigian Burial from Langton Herring, Dorset\\uc0\\u8217{}, {\\i{}Archaeological Journal}, 176.2 (2019), pp. 196\\uc0\\u8211{}230, doi:10.1080/00665983.2019.1573551.","plainCitation":"Miles Russell and others, ‘The Girl with the Chariot Medallion: A Well-Furnished, Late Iron Age Durotrigian Burial from Langton Herring, Dorset’, Archaeological Journal, 176.2 (2019), pp. 196–230, doi:10.1080/00665983.2019.1573551.","noteIndex":2},"citationItems":[{"id":331,"uris":["http://zotero.org/users/local/VhgDsqkD/items/29C7PKUK"],"itemData":{"id":331,"type":"article-journal","abstract":"A well-furnished, Late Iron Age Durotrigian burial was found in 2010 by a metal-detectorist at Langton Herring in Dorset. This report examines all aspects of the discovery, paying particular attention to the skeletal remains, a female aged 19–24, providing the most complete, osteobiographical study of an individual buried with a mirror assemblage from the European Iron Age. A combination of artefacts and radiocarbon dating gives a range for the burial of c.AD 25 – cal AD 53. The grave goods themselves are of exceptional interest, representing an accumulation of artefacts acquired from diverse sources, deposited at a time of major cultural and societal change in southern Britain. The results of a geophysical survey are also presented, together with a discussion of additional well-furnished burials in the Durotrigian tribal tradition, which place the burial deposit within a wider social and landscape framework.","container-title":"Archaeological Journal","DOI":"10.1080/00665983.2019.1573551","ISSN":"0066-5983","issue":"2","note":"publisher: Routledge\n_eprint: https://doi.org/10.1080/00665983.2019.1573551","page":"196–230","source":"Taylor and Francis+NEJM","title":"The girl with the chariot medallion: a well-furnished, Late Iron Age Durotrigian burial from Langton Herring, Dorset","title-short":"The girl with the chariot medallion","volume":"176","author":[{"family":"Russell","given":"Miles"},{"family":"Smith","given":"Martin"},{"family":"Cheetham","given":"Paul"},{"family":"Evans","given":"Damian"},{"family":"Manley","given":"Harry"}],"issued":{"date-parts":[["2019",7,3]]}}}],"schema":"https://github.com/citation-style-language/schema/raw/master/csl-citation.json"} </w:instrText>
      </w:r>
      <w:r>
        <w:fldChar w:fldCharType="separate"/>
      </w:r>
      <w:r w:rsidR="00EE2D3B" w:rsidRPr="00EE2D3B">
        <w:rPr>
          <w:rFonts w:ascii="Aptos" w:hAnsi="Aptos" w:cs="Times New Roman"/>
          <w:kern w:val="0"/>
        </w:rPr>
        <w:t xml:space="preserve">Miles Russell and others, ‘The Girl with the Chariot Medallion: A Well-Furnished, Late Iron Age </w:t>
      </w:r>
      <w:proofErr w:type="spellStart"/>
      <w:r w:rsidR="00EE2D3B" w:rsidRPr="00EE2D3B">
        <w:rPr>
          <w:rFonts w:ascii="Aptos" w:hAnsi="Aptos" w:cs="Times New Roman"/>
          <w:kern w:val="0"/>
        </w:rPr>
        <w:t>Durotrigian</w:t>
      </w:r>
      <w:proofErr w:type="spellEnd"/>
      <w:r w:rsidR="00EE2D3B" w:rsidRPr="00EE2D3B">
        <w:rPr>
          <w:rFonts w:ascii="Aptos" w:hAnsi="Aptos" w:cs="Times New Roman"/>
          <w:kern w:val="0"/>
        </w:rPr>
        <w:t xml:space="preserve"> Burial from Langton Herring, Dorset’, </w:t>
      </w:r>
      <w:r w:rsidR="00EE2D3B" w:rsidRPr="00EE2D3B">
        <w:rPr>
          <w:rFonts w:ascii="Aptos" w:hAnsi="Aptos" w:cs="Times New Roman"/>
          <w:i/>
          <w:iCs/>
          <w:kern w:val="0"/>
        </w:rPr>
        <w:t>Archaeological Journal</w:t>
      </w:r>
      <w:r w:rsidR="00EE2D3B" w:rsidRPr="00EE2D3B">
        <w:rPr>
          <w:rFonts w:ascii="Aptos" w:hAnsi="Aptos" w:cs="Times New Roman"/>
          <w:kern w:val="0"/>
        </w:rPr>
        <w:t>, 176.2 (2019), pp. 196–230, doi:10.1080/00665983.2019.1573551.</w:t>
      </w:r>
      <w:r>
        <w:fldChar w:fldCharType="end"/>
      </w:r>
    </w:p>
  </w:footnote>
  <w:footnote w:id="3">
    <w:p w14:paraId="0EA87A25" w14:textId="1F4750FB" w:rsidR="00AA385A" w:rsidRDefault="00AA385A">
      <w:pPr>
        <w:pStyle w:val="FootnoteText"/>
      </w:pPr>
      <w:r>
        <w:rPr>
          <w:rStyle w:val="FootnoteReference"/>
        </w:rPr>
        <w:footnoteRef/>
      </w:r>
      <w:r>
        <w:t xml:space="preserve"> </w:t>
      </w:r>
      <w:r>
        <w:fldChar w:fldCharType="begin"/>
      </w:r>
      <w:r>
        <w:instrText xml:space="preserve"> ADDIN ZOTERO_ITEM CSL_CITATION {"citationID":"pr4anu3E","properties":{"formattedCitation":"Melanie Giles, Victoria Green, and Pedro Peixoto, \\uc0\\u8216{}Wide Connections: Women, Mobility and Power in Iron Age East Yorkshire\\uc0\\u8217{}, in {\\i{}The Arras Culture of Eastern Yorkshire \\uc0\\u8211{} Celebrating the Iron Age}, ed. by Peter Halkon, Proceedings of \\uc0\\u8220{}Arras 200 \\uc0\\u8211{} Celebrating the Iron Age.\" Royal Archaeological Institute Annual Conference. (Oxbow Books, 2020), pp. 47\\uc0\\u8211{}66, doi:10.2307/j.ctv138wskk.9.","plainCitation":"Melanie Giles, Victoria Green, and Pedro Peixoto, ‘Wide Connections: Women, Mobility and Power in Iron Age East Yorkshire’, in The Arras Culture of Eastern Yorkshire – Celebrating the Iron Age, ed. by Peter Halkon, Proceedings of “Arras 200 – Celebrating the Iron Age.\" Royal Archaeological Institute Annual Conference. (Oxbow Books, 2020), pp. 47–66, doi:10.2307/j.ctv138wskk.9.","noteIndex":3},"citationItems":[{"id":333,"uris":["http://zotero.org/users/local/VhgDsqkD/items/5BN6Q8FH"],"itemData":{"id":333,"type":"chapter","abstract":"The discovery of the Queen’s barrow at Arras (found alongside those of the Charioteer and King) was interpreted by the antiquarian the Rev. Edward Stillingfleet not nec essarily as the mere spouse of an important man but as the ‘the barrow of the chief female of the tribe’ (1846, 27–28). This insightful way of describing an ancient ‘British lady’ as he politely dubbed her, forms the starting point for a consideration of the lives, roles and accomplishments of women within Iron Age society, as represented in the East Yorkshire burials. This is a problematic starting point: funerals are of","collection-title":"Proceedings of “Arras 200 – celebrating the Iron Age.\" Royal Archaeological Institute Annual Conference.","container-title":"The Arras Culture of Eastern Yorkshire – Celebrating the Iron Age","ISBN":"978-1-78925-258-3","note":"DOI: 10.2307/j.ctv138wskk.9","page":"47-66","publisher":"Oxbow Books","source":"JSTOR","title":"Wide connections: women, mobility and power in Iron Age East Yorkshire","title-short":"Wide connections","URL":"https://www.jstor.org/stable/j.ctv138wskk.9","author":[{"family":"Giles","given":"Melanie"},{"family":"Green","given":"Victoria"},{"family":"Peixoto","given":"Pedro"}],"editor":[{"family":"Halkon","given":"Peter"}],"accessed":{"date-parts":[["2024",6,30]]},"issued":{"date-parts":[["2020"]]}}}],"schema":"https://github.com/citation-style-language/schema/raw/master/csl-citation.json"} </w:instrText>
      </w:r>
      <w:r>
        <w:fldChar w:fldCharType="separate"/>
      </w:r>
      <w:r w:rsidR="00EE2D3B" w:rsidRPr="00EE2D3B">
        <w:rPr>
          <w:rFonts w:ascii="Aptos" w:hAnsi="Aptos" w:cs="Times New Roman"/>
          <w:kern w:val="0"/>
        </w:rPr>
        <w:t xml:space="preserve">Melanie Giles, Victoria Green, and Pedro Peixoto, ‘Wide Connections: Women, Mobility and Power in Iron Age East Yorkshire’, in </w:t>
      </w:r>
      <w:r w:rsidR="00EE2D3B" w:rsidRPr="00EE2D3B">
        <w:rPr>
          <w:rFonts w:ascii="Aptos" w:hAnsi="Aptos" w:cs="Times New Roman"/>
          <w:i/>
          <w:iCs/>
          <w:kern w:val="0"/>
        </w:rPr>
        <w:t>The Arras Culture of Eastern Yorkshire – Celebrating the Iron Age</w:t>
      </w:r>
      <w:r w:rsidR="00EE2D3B" w:rsidRPr="00EE2D3B">
        <w:rPr>
          <w:rFonts w:ascii="Aptos" w:hAnsi="Aptos" w:cs="Times New Roman"/>
          <w:kern w:val="0"/>
        </w:rPr>
        <w:t xml:space="preserve">, ed. by Peter </w:t>
      </w:r>
      <w:proofErr w:type="spellStart"/>
      <w:r w:rsidR="00EE2D3B" w:rsidRPr="00EE2D3B">
        <w:rPr>
          <w:rFonts w:ascii="Aptos" w:hAnsi="Aptos" w:cs="Times New Roman"/>
          <w:kern w:val="0"/>
        </w:rPr>
        <w:t>Halkon</w:t>
      </w:r>
      <w:proofErr w:type="spellEnd"/>
      <w:r w:rsidR="00EE2D3B" w:rsidRPr="00EE2D3B">
        <w:rPr>
          <w:rFonts w:ascii="Aptos" w:hAnsi="Aptos" w:cs="Times New Roman"/>
          <w:kern w:val="0"/>
        </w:rPr>
        <w:t xml:space="preserve">, Proceedings of “Arras 200 – Celebrating the Iron Age." Royal Archaeological Institute Annual Conference. (Oxbow Books, 2020), pp. 47–66, </w:t>
      </w:r>
      <w:proofErr w:type="gramStart"/>
      <w:r w:rsidR="00EE2D3B" w:rsidRPr="00EE2D3B">
        <w:rPr>
          <w:rFonts w:ascii="Aptos" w:hAnsi="Aptos" w:cs="Times New Roman"/>
          <w:kern w:val="0"/>
        </w:rPr>
        <w:t>doi:10.2307/j.ctv138wskk</w:t>
      </w:r>
      <w:proofErr w:type="gramEnd"/>
      <w:r w:rsidR="00EE2D3B" w:rsidRPr="00EE2D3B">
        <w:rPr>
          <w:rFonts w:ascii="Aptos" w:hAnsi="Aptos" w:cs="Times New Roman"/>
          <w:kern w:val="0"/>
        </w:rPr>
        <w:t>.9.</w:t>
      </w:r>
      <w:r>
        <w:fldChar w:fldCharType="end"/>
      </w:r>
    </w:p>
  </w:footnote>
  <w:footnote w:id="4">
    <w:p w14:paraId="60BAF43E" w14:textId="15D63467" w:rsidR="005251D8" w:rsidRDefault="005251D8">
      <w:pPr>
        <w:pStyle w:val="FootnoteText"/>
      </w:pPr>
      <w:r>
        <w:rPr>
          <w:rStyle w:val="FootnoteReference"/>
        </w:rPr>
        <w:footnoteRef/>
      </w:r>
      <w:r>
        <w:t xml:space="preserve"> </w:t>
      </w:r>
      <w:r>
        <w:fldChar w:fldCharType="begin"/>
      </w:r>
      <w:r>
        <w:instrText xml:space="preserve"> ADDIN ZOTERO_ITEM CSL_CITATION {"citationID":"zcfSFBvk","properties":{"formattedCitation":"Elizabeth Foulds, \\uc0\\u8216{}A Short Guide to Iron Age Glass Beads from Britain\\uc0\\u8217{}, 2017.","plainCitation":"Elizabeth Foulds, ‘A Short Guide to Iron Age Glass Beads from Britain’, 2017.","noteIndex":4},"citationItems":[{"id":315,"uris":["http://zotero.org/users/local/VhgDsqkD/items/3Z5TECCH"],"itemData":{"id":315,"type":"article-journal","language":"en","source":"Zotero","title":"A Short Guide to Iron Age Glass Beads from Britain","author":[{"family":"Foulds","given":"Elizabeth"}],"issued":{"date-parts":[["2017"]]}}}],"schema":"https://github.com/citation-style-language/schema/raw/master/csl-citation.json"} </w:instrText>
      </w:r>
      <w:r>
        <w:fldChar w:fldCharType="separate"/>
      </w:r>
      <w:r w:rsidR="00EE2D3B" w:rsidRPr="00EE2D3B">
        <w:rPr>
          <w:rFonts w:ascii="Aptos" w:hAnsi="Aptos" w:cs="Times New Roman"/>
          <w:kern w:val="0"/>
        </w:rPr>
        <w:t>Elizabeth Foulds, ‘A Short Guide to Iron Age Glass Beads from Britain’, 2017.</w:t>
      </w:r>
      <w:r>
        <w:fldChar w:fldCharType="end"/>
      </w:r>
    </w:p>
  </w:footnote>
  <w:footnote w:id="5">
    <w:p w14:paraId="61EDBEAA" w14:textId="03CFFDD2" w:rsidR="00BD3843" w:rsidRDefault="00BD3843">
      <w:pPr>
        <w:pStyle w:val="FootnoteText"/>
      </w:pPr>
      <w:r>
        <w:rPr>
          <w:rStyle w:val="FootnoteReference"/>
        </w:rPr>
        <w:footnoteRef/>
      </w:r>
      <w:r>
        <w:t xml:space="preserve"> </w:t>
      </w:r>
      <w:r>
        <w:fldChar w:fldCharType="begin"/>
      </w:r>
      <w:r>
        <w:instrText xml:space="preserve"> ADDIN ZOTERO_ITEM CSL_CITATION {"citationID":"vJ48UF7L","properties":{"formattedCitation":"Anwen Cooper and others, \\uc0\\u8216{}Small Things, Strong Gestures: Understated Objects in Prehistoric Graves\\uc0\\u8217{}, in {\\i{}Grave Goods}, Objects and Death in Later Prehistoric Britain (Oxbow Books, 2022), pp. 111\\uc0\\u8211{}44, doi:10.2307/j.ctv2npq9hx.10.","plainCitation":"Anwen Cooper and others, ‘Small Things, Strong Gestures: Understated Objects in Prehistoric Graves’, in Grave Goods, Objects and Death in Later Prehistoric Britain (Oxbow Books, 2022), pp. 111–44, doi:10.2307/j.ctv2npq9hx.10.","noteIndex":5},"citationItems":[{"id":177,"uris":["http://zotero.org/users/local/VhgDsqkD/items/SW38DPJ6"],"itemData":{"id":177,"type":"chapter","abstract":"The excerpt above, from Markus Zusak’s novel  &lt;i&gt;The Book Thief&lt;/i&gt;  (2007), is taken from the chapter  &lt;i&gt;Thirteen presents&lt;/i&gt;  in which the book’s main character – a 13-year-old girl, Liesel Meminger – waits over the sickbed of the Jewish man, Max, who her adopted family have been hiding in their basement on the outskirts of Munich as World War II intensifies around them. Max becomes seriously ill in the winter of 1942; there is an unspoken feeling that the family will soon have a corpse on their hands. As Max’s condition worsens, Liesel starts to glean objects which she feels ‘might","collection-title":"Objects and Death in Later Prehistoric Britain","container-title":"Grave Goods","ISBN":"978-1-78925-747-2","note":"DOI: 10.2307/j.ctv2npq9hx.10","page":"111-144","publisher":"Oxbow Books","source":"JSTOR","title":"Small things, strong gestures: understated objects in prehistoric graves","title-short":"Small things, strong gestures","URL":"https://www.jstor.org/stable/j.ctv2npq9hx.10","author":[{"family":"Cooper","given":"Anwen"},{"family":"Garrow","given":"Duncan"},{"family":"Gibson","given":"Catriona"},{"family":"Giles","given":"Melanie"},{"family":"Wilkin","given":"Neil"}],"accessed":{"date-parts":[["2024",3,19]]},"issued":{"date-parts":[["2022"]]}}}],"schema":"https://github.com/citation-style-language/schema/raw/master/csl-citation.json"} </w:instrText>
      </w:r>
      <w:r>
        <w:fldChar w:fldCharType="separate"/>
      </w:r>
      <w:r w:rsidRPr="00BD3843">
        <w:rPr>
          <w:rFonts w:ascii="Aptos" w:hAnsi="Aptos" w:cs="Times New Roman"/>
          <w:kern w:val="0"/>
        </w:rPr>
        <w:t xml:space="preserve">Anwen Cooper and others, ‘Small Things, Strong Gestures: Understated Objects in Prehistoric Graves’, in </w:t>
      </w:r>
      <w:r w:rsidRPr="00BD3843">
        <w:rPr>
          <w:rFonts w:ascii="Aptos" w:hAnsi="Aptos" w:cs="Times New Roman"/>
          <w:i/>
          <w:iCs/>
          <w:kern w:val="0"/>
        </w:rPr>
        <w:t>Grave Goods</w:t>
      </w:r>
      <w:r w:rsidRPr="00BD3843">
        <w:rPr>
          <w:rFonts w:ascii="Aptos" w:hAnsi="Aptos" w:cs="Times New Roman"/>
          <w:kern w:val="0"/>
        </w:rPr>
        <w:t>, Objects and Death in Later Prehistoric Britain (Oxbow Books, 2022), pp. 111–44, doi:10.2307/</w:t>
      </w:r>
      <w:proofErr w:type="gramStart"/>
      <w:r w:rsidRPr="00BD3843">
        <w:rPr>
          <w:rFonts w:ascii="Aptos" w:hAnsi="Aptos" w:cs="Times New Roman"/>
          <w:kern w:val="0"/>
        </w:rPr>
        <w:t>j.ctv</w:t>
      </w:r>
      <w:proofErr w:type="gramEnd"/>
      <w:r w:rsidRPr="00BD3843">
        <w:rPr>
          <w:rFonts w:ascii="Aptos" w:hAnsi="Aptos" w:cs="Times New Roman"/>
          <w:kern w:val="0"/>
        </w:rPr>
        <w:t>2npq9hx.10.</w:t>
      </w:r>
      <w:r>
        <w:fldChar w:fldCharType="end"/>
      </w:r>
    </w:p>
  </w:footnote>
  <w:footnote w:id="6">
    <w:p w14:paraId="56ED7E8F" w14:textId="665478C9" w:rsidR="005D2D0F" w:rsidRDefault="005D2D0F">
      <w:pPr>
        <w:pStyle w:val="FootnoteText"/>
      </w:pPr>
      <w:r>
        <w:rPr>
          <w:rStyle w:val="FootnoteReference"/>
        </w:rPr>
        <w:footnoteRef/>
      </w:r>
      <w:r>
        <w:t xml:space="preserve"> </w:t>
      </w:r>
      <w:r>
        <w:fldChar w:fldCharType="begin"/>
      </w:r>
      <w:r>
        <w:instrText xml:space="preserve"> ADDIN ZOTERO_ITEM CSL_CITATION {"citationID":"QOazLxJf","properties":{"formattedCitation":"Giles, Green, and Peixoto.","plainCitation":"Giles, Green, and Peixoto.","noteIndex":6},"citationItems":[{"id":333,"uris":["http://zotero.org/users/local/VhgDsqkD/items/5BN6Q8FH"],"itemData":{"id":333,"type":"chapter","abstract":"The discovery of the Queen’s barrow at Arras (found alongside those of the Charioteer and King) was interpreted by the antiquarian the Rev. Edward Stillingfleet not nec essarily as the mere spouse of an important man but as the ‘the barrow of the chief female of the tribe’ (1846, 27–28). This insightful way of describing an ancient ‘British lady’ as he politely dubbed her, forms the starting point for a consideration of the lives, roles and accomplishments of women within Iron Age society, as represented in the East Yorkshire burials. This is a problematic starting point: funerals are of","collection-title":"Proceedings of “Arras 200 – celebrating the Iron Age.\" Royal Archaeological Institute Annual Conference.","container-title":"The Arras Culture of Eastern Yorkshire – Celebrating the Iron Age","ISBN":"978-1-78925-258-3","note":"DOI: 10.2307/j.ctv138wskk.9","page":"47-66","publisher":"Oxbow Books","source":"JSTOR","title":"Wide connections: women, mobility and power in Iron Age East Yorkshire","title-short":"Wide connections","URL":"https://www.jstor.org/stable/j.ctv138wskk.9","author":[{"family":"Giles","given":"Melanie"},{"family":"Green","given":"Victoria"},{"family":"Peixoto","given":"Pedro"}],"editor":[{"family":"Halkon","given":"Peter"}],"accessed":{"date-parts":[["2024",6,30]]},"issued":{"date-parts":[["2020"]]}}}],"schema":"https://github.com/citation-style-language/schema/raw/master/csl-citation.json"} </w:instrText>
      </w:r>
      <w:r>
        <w:fldChar w:fldCharType="separate"/>
      </w:r>
      <w:r w:rsidRPr="005D2D0F">
        <w:rPr>
          <w:rFonts w:ascii="Aptos" w:hAnsi="Aptos"/>
        </w:rPr>
        <w:t>Giles, Green, and Peixoto.</w:t>
      </w:r>
      <w:r>
        <w:fldChar w:fldCharType="end"/>
      </w:r>
    </w:p>
  </w:footnote>
  <w:footnote w:id="7">
    <w:p w14:paraId="008D84D4" w14:textId="1072A21F" w:rsidR="00CD059A" w:rsidRDefault="00CD059A">
      <w:pPr>
        <w:pStyle w:val="FootnoteText"/>
      </w:pPr>
      <w:r>
        <w:rPr>
          <w:rStyle w:val="FootnoteReference"/>
        </w:rPr>
        <w:footnoteRef/>
      </w:r>
      <w:r>
        <w:t xml:space="preserve"> </w:t>
      </w:r>
      <w:r>
        <w:fldChar w:fldCharType="begin"/>
      </w:r>
      <w:r w:rsidR="008B5C92">
        <w:instrText xml:space="preserve"> ADDIN ZOTERO_ITEM CSL_CITATION {"citationID":"DmuXddTq","properties":{"formattedCitation":"Fredrik Ekengren, \\uc0\\u8216{}Contextualizing Grave Goods: Theoretical Perspectives and Methodological Implications\\uc0\\u8217{}, in {\\i{}The Oxford Handbook of the Archaeology of Death and Burial}, ed. by Liv Nilsson Stutz and Sarah Tarlow (Oxford University Press, 2013), p. 0, doi:10.1093/oxfordhb/9780199569069.013.0010.","plainCitation":"Fredrik Ekengren, ‘Contextualizing Grave Goods: Theoretical Perspectives and Methodological Implications’, in The Oxford Handbook of the Archaeology of Death and Burial, ed. by Liv Nilsson Stutz and Sarah Tarlow (Oxford University Press, 2013), p. 0, doi:10.1093/oxfordhb/9780199569069.013.0010.","noteIndex":7},"citationItems":[{"id":335,"uris":["http://zotero.org/users/local/VhgDsqkD/items/E2ICA2VS"],"itemData":{"id":335,"type":"chapter","abstract":"The material culture of mortuary practices is one of the central sources at our disposal in the archaeological interpretation of past societies. The purpose of this chapter is thus to present a number of theoretical considerations deemed relevant to the study of grave goods. A short review of previous and contemporary approaches to grave goods is given, with a focus on perspectives informed by practice theory as well as ritual theory. From this a number of theoretical key points are established, leading to a discussion of the methodological implications prompted by them. A case study of a Late Roman Iron Age inhumation found in Skovgårde on Zealand (Denmark) is then analysed, with theoretical and methodological considerations as the point of departure.","container-title":"The Oxford Handbook of the Archaeology of Death and Burial","ISBN":"978-0-19-956906-9","note":"DOI: 10.1093/oxfordhb/9780199569069.013.0010","page":"0","publisher":"Oxford University Press","source":"Silverchair","title":"Contextualizing Grave Goods: Theoretical Perspectives and Methodological Implications","title-short":"Contextualizing Grave Goods","URL":"https://doi.org/10.1093/oxfordhb/9780199569069.013.0010","author":[{"family":"Ekengren","given":"Fredrik"}],"editor":[{"family":"Stutz","given":"Liv Nilsson"},{"family":"Tarlow","given":"Sarah"}],"accessed":{"date-parts":[["2024",7,2]]},"issued":{"date-parts":[["2013",5,1]]}}}],"schema":"https://github.com/citation-style-language/schema/raw/master/csl-citation.json"} </w:instrText>
      </w:r>
      <w:r>
        <w:fldChar w:fldCharType="separate"/>
      </w:r>
      <w:r w:rsidRPr="00CD059A">
        <w:rPr>
          <w:rFonts w:ascii="Aptos" w:hAnsi="Aptos" w:cs="Times New Roman"/>
          <w:kern w:val="0"/>
        </w:rPr>
        <w:t xml:space="preserve">Fredrik Ekengren, ‘Contextualizing Grave Goods: Theoretical Perspectives and Methodological Implications’, in </w:t>
      </w:r>
      <w:r w:rsidRPr="00CD059A">
        <w:rPr>
          <w:rFonts w:ascii="Aptos" w:hAnsi="Aptos" w:cs="Times New Roman"/>
          <w:i/>
          <w:iCs/>
          <w:kern w:val="0"/>
        </w:rPr>
        <w:t>The Oxford Handbook of the Archaeology of Death and Burial</w:t>
      </w:r>
      <w:r w:rsidRPr="00CD059A">
        <w:rPr>
          <w:rFonts w:ascii="Aptos" w:hAnsi="Aptos" w:cs="Times New Roman"/>
          <w:kern w:val="0"/>
        </w:rPr>
        <w:t>, ed. by Liv Nilsson Stutz and Sarah Tarlow (Oxford University Press, 2013), p. 0, doi:10.1093/</w:t>
      </w:r>
      <w:proofErr w:type="spellStart"/>
      <w:r w:rsidRPr="00CD059A">
        <w:rPr>
          <w:rFonts w:ascii="Aptos" w:hAnsi="Aptos" w:cs="Times New Roman"/>
          <w:kern w:val="0"/>
        </w:rPr>
        <w:t>oxfordhb</w:t>
      </w:r>
      <w:proofErr w:type="spellEnd"/>
      <w:r w:rsidRPr="00CD059A">
        <w:rPr>
          <w:rFonts w:ascii="Aptos" w:hAnsi="Aptos" w:cs="Times New Roman"/>
          <w:kern w:val="0"/>
        </w:rPr>
        <w:t>/9780199569069.013.0010.</w:t>
      </w:r>
      <w:r>
        <w:fldChar w:fldCharType="end"/>
      </w:r>
    </w:p>
  </w:footnote>
  <w:footnote w:id="8">
    <w:p w14:paraId="5E5EAE09" w14:textId="52EEAA8C" w:rsidR="009F4178" w:rsidRDefault="009F4178">
      <w:pPr>
        <w:pStyle w:val="FootnoteText"/>
      </w:pPr>
      <w:r>
        <w:rPr>
          <w:rStyle w:val="FootnoteReference"/>
        </w:rPr>
        <w:footnoteRef/>
      </w:r>
      <w:r>
        <w:t xml:space="preserve"> </w:t>
      </w:r>
      <w:r>
        <w:fldChar w:fldCharType="begin"/>
      </w:r>
      <w:r w:rsidR="008B5C92">
        <w:instrText xml:space="preserve"> ADDIN ZOTERO_ITEM CSL_CITATION {"citationID":"PRf4Y4ao","properties":{"formattedCitation":"Elizabeth Foulds, \\uc0\\u8216{}Decoration and Colour of Iron Age Glass Beads from Britain\\uc0\\u8217{}, {\\i{}E &amp; F Foulds Artefact Specialists}, 2015 &lt;https://fouldsartefactspecialist.com/2015/09/12/decoration-and-colour-of-iron-age-glass-beads-from-britain/&gt; [accessed 25 June 2024].","plainCitation":"Elizabeth Foulds, ‘Decoration and Colour of Iron Age Glass Beads from Britain’, E &amp; F Foulds Artefact Specialists, 2015 &lt;https://fouldsartefactspecialist.com/2015/09/12/decoration-and-colour-of-iron-age-glass-beads-from-britain/&gt; [accessed 25 June 2024].","noteIndex":8},"citationItems":[{"id":323,"uris":["http://zotero.org/users/local/VhgDsqkD/items/ISD2YWCH"],"itemData":{"id":323,"type":"post-weblog","abstract":"I recently attended the 20th Congress of the International Association for the History of Glass conference in Fribourg, Switzerland and presented a poster on my research. I have included the text a…","container-title":"E &amp; F Foulds Artefact Specialists","language":"en","title":"Decoration and Colour of Iron Age Glass Beads from Britain","URL":"https://fouldsartefactspecialist.com/2015/09/12/decoration-and-colour-of-iron-age-glass-beads-from-britain/","author":[{"family":"Foulds","given":"Elizabeth"}],"accessed":{"date-parts":[["2024",6,25]]},"issued":{"date-parts":[["2015",9,12]]}}}],"schema":"https://github.com/citation-style-language/schema/raw/master/csl-citation.json"} </w:instrText>
      </w:r>
      <w:r>
        <w:fldChar w:fldCharType="separate"/>
      </w:r>
      <w:r w:rsidRPr="009F4178">
        <w:rPr>
          <w:rFonts w:ascii="Aptos" w:hAnsi="Aptos" w:cs="Times New Roman"/>
          <w:kern w:val="0"/>
        </w:rPr>
        <w:t xml:space="preserve">Elizabeth Foulds, ‘Decoration and Colour of Iron Age Glass Beads from Britain’, </w:t>
      </w:r>
      <w:r w:rsidRPr="009F4178">
        <w:rPr>
          <w:rFonts w:ascii="Aptos" w:hAnsi="Aptos" w:cs="Times New Roman"/>
          <w:i/>
          <w:iCs/>
          <w:kern w:val="0"/>
        </w:rPr>
        <w:t>E &amp; F Foulds Artefact Specialists</w:t>
      </w:r>
      <w:r w:rsidRPr="009F4178">
        <w:rPr>
          <w:rFonts w:ascii="Aptos" w:hAnsi="Aptos" w:cs="Times New Roman"/>
          <w:kern w:val="0"/>
        </w:rPr>
        <w:t>, 2015 &lt;https://fouldsartefactspecialist.com/2015/09/12/decoration-and-colour-of-iron-age-glass-beads-from-britain/&gt; [accessed 25 June 2024].</w:t>
      </w:r>
      <w:r>
        <w:fldChar w:fldCharType="end"/>
      </w:r>
    </w:p>
  </w:footnote>
  <w:footnote w:id="9">
    <w:p w14:paraId="16ADC00D" w14:textId="41577686" w:rsidR="000E527F" w:rsidRDefault="000E527F">
      <w:pPr>
        <w:pStyle w:val="FootnoteText"/>
      </w:pPr>
      <w:r>
        <w:rPr>
          <w:rStyle w:val="FootnoteReference"/>
        </w:rPr>
        <w:footnoteRef/>
      </w:r>
      <w:r>
        <w:t xml:space="preserve"> </w:t>
      </w:r>
      <w:r>
        <w:fldChar w:fldCharType="begin"/>
      </w:r>
      <w:r>
        <w:instrText xml:space="preserve"> ADDIN ZOTERO_ITEM CSL_CITATION {"citationID":"dUkpcpE7","properties":{"formattedCitation":"Annette B. Weiner, \\uc0\\u8216{}Inalienable Wealth\\uc0\\u8217{}, {\\i{}American Ethnologist}, 12.2 (1985), pp. 210\\uc0\\u8211{}27.","plainCitation":"Annette B. Weiner, ‘Inalienable Wealth’, American Ethnologist, 12.2 (1985), pp. 210–27.","noteIndex":9},"citationItems":[{"id":211,"uris":["http://zotero.org/users/local/VhgDsqkD/items/LNZHWFCS"],"itemData":{"id":211,"type":"article-journal","abstract":"This essay departs from traditional anthropological views of exchange by focusing on the importance of wealth objects kept out of circulation by their owners. I examine the implications of such wealth through an analysis of New Zealand Maori valued objects, notably, woven cloaks and nephrite weapons and ornaments. Drawing on Marcel Mauss's notions of inalienable wealth, I enter the debates surrounding the meaning of the Maori hau, the spirit embedded in persons and things. I illustrate the significance of the hau in relation to the historical content of objects. [exchange, history, Mauss, Maori, wealth]","container-title":"American Ethnologist","ISSN":"0094-0496","issue":"2","note":"publisher: [Wiley, American Anthropological Association]","page":"210-227","source":"JSTOR","title":"Inalienable Wealth","volume":"12","author":[{"family":"Weiner","given":"Annette B."}],"issued":{"date-parts":[["1985"]]}}}],"schema":"https://github.com/citation-style-language/schema/raw/master/csl-citation.json"} </w:instrText>
      </w:r>
      <w:r>
        <w:fldChar w:fldCharType="separate"/>
      </w:r>
      <w:r w:rsidRPr="000E527F">
        <w:rPr>
          <w:rFonts w:ascii="Aptos" w:hAnsi="Aptos" w:cs="Times New Roman"/>
          <w:kern w:val="0"/>
        </w:rPr>
        <w:t xml:space="preserve">Annette B. Weiner, ‘Inalienable Wealth’, </w:t>
      </w:r>
      <w:r w:rsidRPr="000E527F">
        <w:rPr>
          <w:rFonts w:ascii="Aptos" w:hAnsi="Aptos" w:cs="Times New Roman"/>
          <w:i/>
          <w:iCs/>
          <w:kern w:val="0"/>
        </w:rPr>
        <w:t>American Ethnologist</w:t>
      </w:r>
      <w:r w:rsidRPr="000E527F">
        <w:rPr>
          <w:rFonts w:ascii="Aptos" w:hAnsi="Aptos" w:cs="Times New Roman"/>
          <w:kern w:val="0"/>
        </w:rPr>
        <w:t>, 12.2 (1985), pp. 210–27.</w:t>
      </w:r>
      <w:r>
        <w:fldChar w:fldCharType="end"/>
      </w:r>
    </w:p>
  </w:footnote>
  <w:footnote w:id="10">
    <w:p w14:paraId="2C535C9F" w14:textId="640780E9" w:rsidR="004E262E" w:rsidRDefault="004E262E">
      <w:pPr>
        <w:pStyle w:val="FootnoteText"/>
      </w:pPr>
      <w:r>
        <w:rPr>
          <w:rStyle w:val="FootnoteReference"/>
        </w:rPr>
        <w:footnoteRef/>
      </w:r>
      <w:r>
        <w:t xml:space="preserve"> </w:t>
      </w:r>
      <w:r>
        <w:fldChar w:fldCharType="begin"/>
      </w:r>
      <w:r w:rsidR="008B5C92">
        <w:instrText xml:space="preserve"> ADDIN ZOTERO_ITEM CSL_CITATION {"citationID":"oErkPX5g","properties":{"formattedCitation":"Foulds, \\uc0\\u8216{}Glass Beads from a Late Iron Age Mirror Burial\\uc0\\u8217{}.","plainCitation":"Foulds, ‘Glass Beads from a Late Iron Age Mirror Burial’.","noteIndex":10},"citationItems":[{"id":316,"uris":["http://zotero.org/users/local/VhgDsqkD/items/Z96UPU6I"],"itemData":{"id":316,"type":"post-weblog","abstract":"It is extremely rare to find glass beads in British Iron Age burials. This is partially because there are so few burials of human remains that can be attributed to this period. It seems that the pr…","container-title":"E &amp; F Foulds Artefact Specialists","language":"en","title":"Glass Beads from a Late Iron Age Mirror Burial","URL":"https://fouldsartefactspecialist.com/2015/07/17/glass-beads-from-a-late-iron-age-mirror-burial/","author":[{"family":"Foulds","given":"Elizabeth"}],"accessed":{"date-parts":[["2024",6,17]]},"issued":{"date-parts":[["2015",7,17]]}}}],"schema":"https://github.com/citation-style-language/schema/raw/master/csl-citation.json"} </w:instrText>
      </w:r>
      <w:r>
        <w:fldChar w:fldCharType="separate"/>
      </w:r>
      <w:r w:rsidRPr="004E262E">
        <w:rPr>
          <w:rFonts w:ascii="Aptos" w:hAnsi="Aptos" w:cs="Times New Roman"/>
          <w:kern w:val="0"/>
        </w:rPr>
        <w:t>Foulds, ‘Glass Beads from a Late Iron Age Mirror Burial’.</w:t>
      </w:r>
      <w:r>
        <w:fldChar w:fldCharType="end"/>
      </w:r>
    </w:p>
  </w:footnote>
  <w:footnote w:id="11">
    <w:p w14:paraId="64148413" w14:textId="39139FAA" w:rsidR="0052293C" w:rsidRDefault="0052293C">
      <w:pPr>
        <w:pStyle w:val="FootnoteText"/>
      </w:pPr>
      <w:r>
        <w:rPr>
          <w:rStyle w:val="FootnoteReference"/>
        </w:rPr>
        <w:footnoteRef/>
      </w:r>
      <w:r>
        <w:t xml:space="preserve"> </w:t>
      </w:r>
      <w:r>
        <w:fldChar w:fldCharType="begin"/>
      </w:r>
      <w:r>
        <w:instrText xml:space="preserve"> ADDIN ZOTERO_ITEM CSL_CITATION {"citationID":"5CMknYQu","properties":{"formattedCitation":"Younes Saramifar, \\uc0\\u8216{}Objects, Object-Ness, and Shadows of Meanings: Carving Prayer Beads and Exploring Their Materiality alongside a Khaksari Sufi Murshid\\uc0\\u8217{}, {\\i{}Material Religion}, 14.3 (2018), pp. 368\\uc0\\u8211{}88, doi:10.1080/17432200.2018.1487765.","plainCitation":"Younes Saramifar, ‘Objects, Object-Ness, and Shadows of Meanings: Carving Prayer Beads and Exploring Their Materiality alongside a Khaksari Sufi Murshid’, Material Religion, 14.3 (2018), pp. 368–88, doi:10.1080/17432200.2018.1487765.","noteIndex":11},"citationItems":[{"id":352,"uris":["http://zotero.org/users/local/VhgDsqkD/items/MGCHT6NH"],"itemData":{"id":352,"type":"article-journal","abstract":"Prayer beads, through processes of craftsmanship and trade, arrive at meanings, significations, and imaginative associations that are inscribed by religious-cultural codes or social networks. The shadows of meanings overwhelm their material existence as prayer beads despite their lives beginning before their enactment within the socio-cultural and religious networks. Therefore, alongside an Iranian Sufi murshid, I follow the object-ness and the life of rosaries and prayer beads in an \"apprenticeship ethnographic\" journey. I address the material life of rosaries to explain how their object-ness contributes to their materiality and meaning formation that they gain in a Sufi order. An approach informed by speculative realism and object-oriented ontology (OOO) is chosen to examine what it means to study a religious object-in-itself. I follow the religiously loaded object and its spiritual traces by way of OOO to forgo the meanings and relationships that shadow the objects.","container-title":"Material Religion","DOI":"10.1080/17432200.2018.1487765","ISSN":"1743-2200","issue":"3","note":"publisher: Routledge\n_eprint: https://doi.org/10.1080/17432200.2018.1487765","page":"368-388","source":"Taylor and Francis+NEJM","title":"Objects, object-ness, and shadows of meanings: carving prayer beads and exploring their materiality alongside a Khaksari Sufi Murshid","title-short":"Objects, object-ness, and shadows of meanings","volume":"14","author":[{"family":"Saramifar","given":"Younes"}],"issued":{"date-parts":[["2018",7,3]]}}}],"schema":"https://github.com/citation-style-language/schema/raw/master/csl-citation.json"} </w:instrText>
      </w:r>
      <w:r>
        <w:fldChar w:fldCharType="separate"/>
      </w:r>
      <w:r w:rsidRPr="0052293C">
        <w:rPr>
          <w:rFonts w:ascii="Aptos" w:hAnsi="Aptos" w:cs="Times New Roman"/>
          <w:kern w:val="0"/>
        </w:rPr>
        <w:t xml:space="preserve">Younes </w:t>
      </w:r>
      <w:proofErr w:type="spellStart"/>
      <w:r w:rsidRPr="0052293C">
        <w:rPr>
          <w:rFonts w:ascii="Aptos" w:hAnsi="Aptos" w:cs="Times New Roman"/>
          <w:kern w:val="0"/>
        </w:rPr>
        <w:t>Saramifar</w:t>
      </w:r>
      <w:proofErr w:type="spellEnd"/>
      <w:r w:rsidRPr="0052293C">
        <w:rPr>
          <w:rFonts w:ascii="Aptos" w:hAnsi="Aptos" w:cs="Times New Roman"/>
          <w:kern w:val="0"/>
        </w:rPr>
        <w:t xml:space="preserve">, ‘Objects, Object-Ness, and Shadows of Meanings: Carving Prayer Beads and Exploring Their Materiality alongside a </w:t>
      </w:r>
      <w:proofErr w:type="spellStart"/>
      <w:r w:rsidRPr="0052293C">
        <w:rPr>
          <w:rFonts w:ascii="Aptos" w:hAnsi="Aptos" w:cs="Times New Roman"/>
          <w:kern w:val="0"/>
        </w:rPr>
        <w:t>Khaksari</w:t>
      </w:r>
      <w:proofErr w:type="spellEnd"/>
      <w:r w:rsidRPr="0052293C">
        <w:rPr>
          <w:rFonts w:ascii="Aptos" w:hAnsi="Aptos" w:cs="Times New Roman"/>
          <w:kern w:val="0"/>
        </w:rPr>
        <w:t xml:space="preserve"> Sufi Murshid’, </w:t>
      </w:r>
      <w:r w:rsidRPr="0052293C">
        <w:rPr>
          <w:rFonts w:ascii="Aptos" w:hAnsi="Aptos" w:cs="Times New Roman"/>
          <w:i/>
          <w:iCs/>
          <w:kern w:val="0"/>
        </w:rPr>
        <w:t>Material Religion</w:t>
      </w:r>
      <w:r w:rsidRPr="0052293C">
        <w:rPr>
          <w:rFonts w:ascii="Aptos" w:hAnsi="Aptos" w:cs="Times New Roman"/>
          <w:kern w:val="0"/>
        </w:rPr>
        <w:t>, 14.3 (2018), pp. 368–88, doi:10.1080/17432200.2018.1487765.</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FD7C89"/>
    <w:multiLevelType w:val="hybridMultilevel"/>
    <w:tmpl w:val="D0109D30"/>
    <w:lvl w:ilvl="0" w:tplc="358CB55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C9397C"/>
    <w:multiLevelType w:val="hybridMultilevel"/>
    <w:tmpl w:val="32F2F3FC"/>
    <w:lvl w:ilvl="0" w:tplc="A7028F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869251">
    <w:abstractNumId w:val="1"/>
  </w:num>
  <w:num w:numId="2" w16cid:durableId="1602374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E1A"/>
    <w:rsid w:val="00004262"/>
    <w:rsid w:val="000408FE"/>
    <w:rsid w:val="00054AB0"/>
    <w:rsid w:val="000653F3"/>
    <w:rsid w:val="00066BB4"/>
    <w:rsid w:val="000E4AA0"/>
    <w:rsid w:val="000E527F"/>
    <w:rsid w:val="00145903"/>
    <w:rsid w:val="001A115D"/>
    <w:rsid w:val="001D1D9A"/>
    <w:rsid w:val="001F0F75"/>
    <w:rsid w:val="00216438"/>
    <w:rsid w:val="0026555C"/>
    <w:rsid w:val="002E110A"/>
    <w:rsid w:val="002F293C"/>
    <w:rsid w:val="002F63C6"/>
    <w:rsid w:val="002F7302"/>
    <w:rsid w:val="00335DD3"/>
    <w:rsid w:val="0034638B"/>
    <w:rsid w:val="0035758D"/>
    <w:rsid w:val="00391E2A"/>
    <w:rsid w:val="003D6A24"/>
    <w:rsid w:val="003F64D6"/>
    <w:rsid w:val="004001AA"/>
    <w:rsid w:val="00415575"/>
    <w:rsid w:val="004451D9"/>
    <w:rsid w:val="004E158B"/>
    <w:rsid w:val="004E262E"/>
    <w:rsid w:val="004E4080"/>
    <w:rsid w:val="004E773C"/>
    <w:rsid w:val="00500DEC"/>
    <w:rsid w:val="0052293C"/>
    <w:rsid w:val="005251D8"/>
    <w:rsid w:val="00537D73"/>
    <w:rsid w:val="00584CAA"/>
    <w:rsid w:val="00586345"/>
    <w:rsid w:val="005A20A1"/>
    <w:rsid w:val="005B3556"/>
    <w:rsid w:val="005C5C31"/>
    <w:rsid w:val="005D2D0F"/>
    <w:rsid w:val="0060666C"/>
    <w:rsid w:val="00606855"/>
    <w:rsid w:val="00635E8B"/>
    <w:rsid w:val="006361EF"/>
    <w:rsid w:val="0065655E"/>
    <w:rsid w:val="006744B2"/>
    <w:rsid w:val="00676C86"/>
    <w:rsid w:val="0068460B"/>
    <w:rsid w:val="0069393A"/>
    <w:rsid w:val="007176BF"/>
    <w:rsid w:val="00757506"/>
    <w:rsid w:val="007B1194"/>
    <w:rsid w:val="007C036B"/>
    <w:rsid w:val="007D3996"/>
    <w:rsid w:val="007E6FA1"/>
    <w:rsid w:val="007F1DE5"/>
    <w:rsid w:val="00806E06"/>
    <w:rsid w:val="00835F97"/>
    <w:rsid w:val="00843278"/>
    <w:rsid w:val="00866550"/>
    <w:rsid w:val="00873BFE"/>
    <w:rsid w:val="008A1C94"/>
    <w:rsid w:val="008A2C75"/>
    <w:rsid w:val="008A75FB"/>
    <w:rsid w:val="008B5C92"/>
    <w:rsid w:val="008B754C"/>
    <w:rsid w:val="008D5D4C"/>
    <w:rsid w:val="008E789F"/>
    <w:rsid w:val="009057B9"/>
    <w:rsid w:val="00936054"/>
    <w:rsid w:val="009544F4"/>
    <w:rsid w:val="00973938"/>
    <w:rsid w:val="00984A98"/>
    <w:rsid w:val="009E17E5"/>
    <w:rsid w:val="009F3B09"/>
    <w:rsid w:val="009F4178"/>
    <w:rsid w:val="009F7DBD"/>
    <w:rsid w:val="00A16163"/>
    <w:rsid w:val="00A238E4"/>
    <w:rsid w:val="00A82042"/>
    <w:rsid w:val="00A8514E"/>
    <w:rsid w:val="00AA385A"/>
    <w:rsid w:val="00AD5BCC"/>
    <w:rsid w:val="00AE3C8F"/>
    <w:rsid w:val="00B31E0A"/>
    <w:rsid w:val="00BA45FA"/>
    <w:rsid w:val="00BB548D"/>
    <w:rsid w:val="00BD3843"/>
    <w:rsid w:val="00BE6C83"/>
    <w:rsid w:val="00CB668D"/>
    <w:rsid w:val="00CC0E1A"/>
    <w:rsid w:val="00CD059A"/>
    <w:rsid w:val="00D02D1F"/>
    <w:rsid w:val="00D569AF"/>
    <w:rsid w:val="00D714F0"/>
    <w:rsid w:val="00E071BD"/>
    <w:rsid w:val="00E220DC"/>
    <w:rsid w:val="00E91E9E"/>
    <w:rsid w:val="00E92894"/>
    <w:rsid w:val="00EC251D"/>
    <w:rsid w:val="00ED3D7D"/>
    <w:rsid w:val="00EE2D3B"/>
    <w:rsid w:val="00EE5F1E"/>
    <w:rsid w:val="00EF5E9B"/>
    <w:rsid w:val="00EF7A57"/>
    <w:rsid w:val="00F126D6"/>
    <w:rsid w:val="00F244B3"/>
    <w:rsid w:val="00F41113"/>
    <w:rsid w:val="00F9558B"/>
    <w:rsid w:val="00FA73B6"/>
    <w:rsid w:val="00FE177C"/>
    <w:rsid w:val="00FF1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AF10D9"/>
  <w15:chartTrackingRefBased/>
  <w15:docId w15:val="{9C836228-65D5-4199-9422-D2337BBA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E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E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E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E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E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E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E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E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E1A"/>
    <w:rPr>
      <w:rFonts w:eastAsiaTheme="majorEastAsia" w:cstheme="majorBidi"/>
      <w:color w:val="272727" w:themeColor="text1" w:themeTint="D8"/>
    </w:rPr>
  </w:style>
  <w:style w:type="paragraph" w:styleId="Title">
    <w:name w:val="Title"/>
    <w:basedOn w:val="Normal"/>
    <w:next w:val="Normal"/>
    <w:link w:val="TitleChar"/>
    <w:uiPriority w:val="10"/>
    <w:qFormat/>
    <w:rsid w:val="00CC0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E1A"/>
    <w:pPr>
      <w:spacing w:before="160"/>
      <w:jc w:val="center"/>
    </w:pPr>
    <w:rPr>
      <w:i/>
      <w:iCs/>
      <w:color w:val="404040" w:themeColor="text1" w:themeTint="BF"/>
    </w:rPr>
  </w:style>
  <w:style w:type="character" w:customStyle="1" w:styleId="QuoteChar">
    <w:name w:val="Quote Char"/>
    <w:basedOn w:val="DefaultParagraphFont"/>
    <w:link w:val="Quote"/>
    <w:uiPriority w:val="29"/>
    <w:rsid w:val="00CC0E1A"/>
    <w:rPr>
      <w:i/>
      <w:iCs/>
      <w:color w:val="404040" w:themeColor="text1" w:themeTint="BF"/>
    </w:rPr>
  </w:style>
  <w:style w:type="paragraph" w:styleId="ListParagraph">
    <w:name w:val="List Paragraph"/>
    <w:basedOn w:val="Normal"/>
    <w:uiPriority w:val="34"/>
    <w:qFormat/>
    <w:rsid w:val="00CC0E1A"/>
    <w:pPr>
      <w:ind w:left="720"/>
      <w:contextualSpacing/>
    </w:pPr>
  </w:style>
  <w:style w:type="character" w:styleId="IntenseEmphasis">
    <w:name w:val="Intense Emphasis"/>
    <w:basedOn w:val="DefaultParagraphFont"/>
    <w:uiPriority w:val="21"/>
    <w:qFormat/>
    <w:rsid w:val="00CC0E1A"/>
    <w:rPr>
      <w:i/>
      <w:iCs/>
      <w:color w:val="0F4761" w:themeColor="accent1" w:themeShade="BF"/>
    </w:rPr>
  </w:style>
  <w:style w:type="paragraph" w:styleId="IntenseQuote">
    <w:name w:val="Intense Quote"/>
    <w:basedOn w:val="Normal"/>
    <w:next w:val="Normal"/>
    <w:link w:val="IntenseQuoteChar"/>
    <w:uiPriority w:val="30"/>
    <w:qFormat/>
    <w:rsid w:val="00CC0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E1A"/>
    <w:rPr>
      <w:i/>
      <w:iCs/>
      <w:color w:val="0F4761" w:themeColor="accent1" w:themeShade="BF"/>
    </w:rPr>
  </w:style>
  <w:style w:type="character" w:styleId="IntenseReference">
    <w:name w:val="Intense Reference"/>
    <w:basedOn w:val="DefaultParagraphFont"/>
    <w:uiPriority w:val="32"/>
    <w:qFormat/>
    <w:rsid w:val="00CC0E1A"/>
    <w:rPr>
      <w:b/>
      <w:bCs/>
      <w:smallCaps/>
      <w:color w:val="0F4761" w:themeColor="accent1" w:themeShade="BF"/>
      <w:spacing w:val="5"/>
    </w:rPr>
  </w:style>
  <w:style w:type="character" w:styleId="Hyperlink">
    <w:name w:val="Hyperlink"/>
    <w:basedOn w:val="DefaultParagraphFont"/>
    <w:uiPriority w:val="99"/>
    <w:unhideWhenUsed/>
    <w:rsid w:val="009F3B09"/>
    <w:rPr>
      <w:color w:val="467886" w:themeColor="hyperlink"/>
      <w:u w:val="single"/>
    </w:rPr>
  </w:style>
  <w:style w:type="character" w:styleId="UnresolvedMention">
    <w:name w:val="Unresolved Mention"/>
    <w:basedOn w:val="DefaultParagraphFont"/>
    <w:uiPriority w:val="99"/>
    <w:semiHidden/>
    <w:unhideWhenUsed/>
    <w:rsid w:val="009F3B09"/>
    <w:rPr>
      <w:color w:val="605E5C"/>
      <w:shd w:val="clear" w:color="auto" w:fill="E1DFDD"/>
    </w:rPr>
  </w:style>
  <w:style w:type="paragraph" w:styleId="FootnoteText">
    <w:name w:val="footnote text"/>
    <w:basedOn w:val="Normal"/>
    <w:link w:val="FootnoteTextChar"/>
    <w:uiPriority w:val="99"/>
    <w:semiHidden/>
    <w:unhideWhenUsed/>
    <w:rsid w:val="00F955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558B"/>
    <w:rPr>
      <w:sz w:val="20"/>
      <w:szCs w:val="20"/>
    </w:rPr>
  </w:style>
  <w:style w:type="character" w:styleId="FootnoteReference">
    <w:name w:val="footnote reference"/>
    <w:basedOn w:val="DefaultParagraphFont"/>
    <w:uiPriority w:val="99"/>
    <w:semiHidden/>
    <w:unhideWhenUsed/>
    <w:rsid w:val="00F9558B"/>
    <w:rPr>
      <w:vertAlign w:val="superscript"/>
    </w:rPr>
  </w:style>
  <w:style w:type="paragraph" w:styleId="Bibliography">
    <w:name w:val="Bibliography"/>
    <w:basedOn w:val="Normal"/>
    <w:next w:val="Normal"/>
    <w:uiPriority w:val="37"/>
    <w:unhideWhenUsed/>
    <w:rsid w:val="00EE2D3B"/>
    <w:pPr>
      <w:spacing w:after="240" w:line="240" w:lineRule="auto"/>
      <w:ind w:left="720" w:hanging="720"/>
    </w:pPr>
  </w:style>
  <w:style w:type="character" w:styleId="FollowedHyperlink">
    <w:name w:val="FollowedHyperlink"/>
    <w:basedOn w:val="DefaultParagraphFont"/>
    <w:uiPriority w:val="99"/>
    <w:semiHidden/>
    <w:unhideWhenUsed/>
    <w:rsid w:val="000408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308111">
      <w:bodyDiv w:val="1"/>
      <w:marLeft w:val="0"/>
      <w:marRight w:val="0"/>
      <w:marTop w:val="0"/>
      <w:marBottom w:val="0"/>
      <w:divBdr>
        <w:top w:val="none" w:sz="0" w:space="0" w:color="auto"/>
        <w:left w:val="none" w:sz="0" w:space="0" w:color="auto"/>
        <w:bottom w:val="none" w:sz="0" w:space="0" w:color="auto"/>
        <w:right w:val="none" w:sz="0" w:space="0" w:color="auto"/>
      </w:divBdr>
      <w:divsChild>
        <w:div w:id="724255149">
          <w:marLeft w:val="0"/>
          <w:marRight w:val="0"/>
          <w:marTop w:val="0"/>
          <w:marBottom w:val="0"/>
          <w:divBdr>
            <w:top w:val="none" w:sz="0" w:space="0" w:color="auto"/>
            <w:left w:val="none" w:sz="0" w:space="0" w:color="auto"/>
            <w:bottom w:val="none" w:sz="0" w:space="0" w:color="auto"/>
            <w:right w:val="none" w:sz="0" w:space="0" w:color="auto"/>
          </w:divBdr>
          <w:divsChild>
            <w:div w:id="1961958500">
              <w:marLeft w:val="0"/>
              <w:marRight w:val="0"/>
              <w:marTop w:val="0"/>
              <w:marBottom w:val="0"/>
              <w:divBdr>
                <w:top w:val="none" w:sz="0" w:space="0" w:color="auto"/>
                <w:left w:val="none" w:sz="0" w:space="0" w:color="auto"/>
                <w:bottom w:val="none" w:sz="0" w:space="0" w:color="auto"/>
                <w:right w:val="none" w:sz="0" w:space="0" w:color="auto"/>
              </w:divBdr>
              <w:divsChild>
                <w:div w:id="187191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82320">
      <w:bodyDiv w:val="1"/>
      <w:marLeft w:val="0"/>
      <w:marRight w:val="0"/>
      <w:marTop w:val="0"/>
      <w:marBottom w:val="0"/>
      <w:divBdr>
        <w:top w:val="none" w:sz="0" w:space="0" w:color="auto"/>
        <w:left w:val="none" w:sz="0" w:space="0" w:color="auto"/>
        <w:bottom w:val="none" w:sz="0" w:space="0" w:color="auto"/>
        <w:right w:val="none" w:sz="0" w:space="0" w:color="auto"/>
      </w:divBdr>
      <w:divsChild>
        <w:div w:id="1002781014">
          <w:marLeft w:val="0"/>
          <w:marRight w:val="0"/>
          <w:marTop w:val="0"/>
          <w:marBottom w:val="0"/>
          <w:divBdr>
            <w:top w:val="none" w:sz="0" w:space="0" w:color="auto"/>
            <w:left w:val="none" w:sz="0" w:space="0" w:color="auto"/>
            <w:bottom w:val="none" w:sz="0" w:space="0" w:color="auto"/>
            <w:right w:val="none" w:sz="0" w:space="0" w:color="auto"/>
          </w:divBdr>
          <w:divsChild>
            <w:div w:id="15965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1260">
      <w:bodyDiv w:val="1"/>
      <w:marLeft w:val="0"/>
      <w:marRight w:val="0"/>
      <w:marTop w:val="0"/>
      <w:marBottom w:val="0"/>
      <w:divBdr>
        <w:top w:val="none" w:sz="0" w:space="0" w:color="auto"/>
        <w:left w:val="none" w:sz="0" w:space="0" w:color="auto"/>
        <w:bottom w:val="none" w:sz="0" w:space="0" w:color="auto"/>
        <w:right w:val="none" w:sz="0" w:space="0" w:color="auto"/>
      </w:divBdr>
      <w:divsChild>
        <w:div w:id="943263535">
          <w:marLeft w:val="0"/>
          <w:marRight w:val="0"/>
          <w:marTop w:val="0"/>
          <w:marBottom w:val="0"/>
          <w:divBdr>
            <w:top w:val="none" w:sz="0" w:space="0" w:color="auto"/>
            <w:left w:val="none" w:sz="0" w:space="0" w:color="auto"/>
            <w:bottom w:val="none" w:sz="0" w:space="0" w:color="auto"/>
            <w:right w:val="none" w:sz="0" w:space="0" w:color="auto"/>
          </w:divBdr>
          <w:divsChild>
            <w:div w:id="8778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museum.org/collection/object/H_1891-0327-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org/stable/644217" TargetMode="External"/><Relationship Id="rId4" Type="http://schemas.openxmlformats.org/officeDocument/2006/relationships/settings" Target="settings.xml"/><Relationship Id="rId9" Type="http://schemas.openxmlformats.org/officeDocument/2006/relationships/hyperlink" Target="https://the-past.com/feature/bring-me-my-chariot-investigating-burial-practices-in-iron-age-yorks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2A905-DECC-44A1-9EDD-F5D2A2491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4</Pages>
  <Words>963</Words>
  <Characters>5764</Characters>
  <Application>Microsoft Office Word</Application>
  <DocSecurity>0</DocSecurity>
  <Lines>106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50</cp:revision>
  <dcterms:created xsi:type="dcterms:W3CDTF">2024-06-17T12:00:00Z</dcterms:created>
  <dcterms:modified xsi:type="dcterms:W3CDTF">2024-07-04T22:35:00Z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id="DMvfUd3j"/&gt;&lt;style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