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5004E2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78D5" w:rsidRPr="0099780F">
              <w:rPr>
                <w:rFonts w:ascii="Times New Roman" w:hAnsi="Times New Roman" w:cs="Times New Roman"/>
                <w:bCs/>
                <w:sz w:val="48"/>
              </w:rPr>
              <w:t>Alison Bloomfield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0857227" w14:textId="77777777" w:rsidR="00D36A4A" w:rsidRDefault="009C337F" w:rsidP="00D36A4A">
            <w:pPr>
              <w:ind w:right="-957"/>
              <w:rPr>
                <w:rFonts w:ascii="Times New Roman" w:hAnsi="Times New Roman" w:cs="Times New Roman"/>
                <w:b/>
                <w:color w:val="auto"/>
                <w:sz w:val="48"/>
              </w:rPr>
            </w:pPr>
            <w:r>
              <w:rPr>
                <w:rFonts w:ascii="Times New Roman" w:hAnsi="Times New Roman" w:cs="Times New Roman"/>
                <w:b/>
                <w:color w:val="auto"/>
                <w:sz w:val="48"/>
              </w:rPr>
              <w:t>Email address:</w:t>
            </w:r>
            <w:r w:rsidR="00D36A4A">
              <w:rPr>
                <w:rFonts w:ascii="Times New Roman" w:hAnsi="Times New Roman" w:cs="Times New Roman"/>
                <w:b/>
                <w:color w:val="auto"/>
                <w:sz w:val="48"/>
              </w:rPr>
              <w:t xml:space="preserve"> </w:t>
            </w:r>
          </w:p>
          <w:p w14:paraId="42244931" w14:textId="244CF0FF" w:rsidR="00D36A4A" w:rsidRPr="00E951EF" w:rsidRDefault="00D36A4A" w:rsidP="00D36A4A">
            <w:pPr>
              <w:ind w:right="-957"/>
              <w:rPr>
                <w:rFonts w:ascii="Times New Roman" w:hAnsi="Times New Roman" w:cs="Times New Roman"/>
                <w:bCs/>
                <w:sz w:val="48"/>
              </w:rPr>
            </w:pPr>
            <w:hyperlink r:id="rId11" w:history="1">
              <w:r w:rsidRPr="00D36A4A">
                <w:rPr>
                  <w:rStyle w:val="Hyperlink"/>
                  <w:rFonts w:ascii="Times New Roman" w:hAnsi="Times New Roman" w:cs="Times New Roman"/>
                  <w:bCs/>
                  <w:color w:val="auto"/>
                  <w:sz w:val="48"/>
                </w:rPr>
                <w:t>alison.bloomfield@swansea.gov.uk</w:t>
              </w:r>
            </w:hyperlink>
            <w:r w:rsidRPr="00D36A4A">
              <w:rPr>
                <w:rFonts w:ascii="Times New Roman" w:hAnsi="Times New Roman" w:cs="Times New Roman"/>
                <w:bCs/>
                <w:color w:val="auto"/>
                <w:sz w:val="48"/>
              </w:rPr>
              <w:t xml:space="preserve"> or </w:t>
            </w:r>
          </w:p>
          <w:p w14:paraId="3A6EAAC7" w14:textId="5F42882D" w:rsidR="009C337F" w:rsidRPr="00D36A4A" w:rsidRDefault="00D36A4A" w:rsidP="00D36A4A">
            <w:pPr>
              <w:ind w:right="-957"/>
              <w:rPr>
                <w:rFonts w:ascii="Times New Roman" w:hAnsi="Times New Roman" w:cs="Times New Roman"/>
                <w:b/>
                <w:sz w:val="48"/>
              </w:rPr>
            </w:pPr>
            <w:hyperlink r:id="rId12" w:history="1">
              <w:r w:rsidRPr="00E951EF">
                <w:rPr>
                  <w:rStyle w:val="Hyperlink"/>
                  <w:rFonts w:ascii="Times New Roman" w:hAnsi="Times New Roman" w:cs="Times New Roman"/>
                  <w:bCs/>
                  <w:color w:val="auto"/>
                  <w:sz w:val="48"/>
                </w:rPr>
                <w:t>aliblooms@yahoo.co.uk</w:t>
              </w:r>
            </w:hyperlink>
            <w:r w:rsidRPr="00E951EF">
              <w:rPr>
                <w:rFonts w:ascii="Times New Roman" w:hAnsi="Times New Roman" w:cs="Times New Roman"/>
                <w:b/>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AAD161A" w14:textId="77777777" w:rsidR="009653E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653E0">
              <w:rPr>
                <w:rFonts w:ascii="Times New Roman" w:hAnsi="Times New Roman" w:cs="Times New Roman"/>
                <w:b/>
                <w:color w:val="auto"/>
                <w:sz w:val="48"/>
              </w:rPr>
              <w:t xml:space="preserve"> </w:t>
            </w:r>
          </w:p>
          <w:p w14:paraId="0DE696B2" w14:textId="69591CA7" w:rsidR="00F927A1" w:rsidRPr="005D3F07" w:rsidRDefault="009653E0" w:rsidP="005D3F07">
            <w:pPr>
              <w:overflowPunct/>
              <w:autoSpaceDE/>
              <w:autoSpaceDN/>
              <w:adjustRightInd/>
              <w:ind w:right="-957"/>
              <w:textAlignment w:val="auto"/>
              <w:rPr>
                <w:rFonts w:ascii="Times New Roman" w:hAnsi="Times New Roman" w:cs="Times New Roman"/>
                <w:b/>
                <w:color w:val="auto"/>
                <w:sz w:val="48"/>
              </w:rPr>
            </w:pPr>
            <w:r w:rsidRPr="0099780F">
              <w:rPr>
                <w:rFonts w:ascii="Times New Roman" w:hAnsi="Times New Roman" w:cs="Times New Roman"/>
                <w:bCs/>
                <w:sz w:val="48"/>
              </w:rPr>
              <w:t>2517839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105970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88689A">
              <w:rPr>
                <w:rFonts w:ascii="Times New Roman" w:hAnsi="Times New Roman" w:cs="Times New Roman"/>
                <w:b/>
                <w:color w:val="auto"/>
                <w:sz w:val="48"/>
              </w:rPr>
              <w:t>6</w:t>
            </w:r>
          </w:p>
        </w:tc>
      </w:tr>
    </w:tbl>
    <w:p w14:paraId="70797153" w14:textId="5C361BDE" w:rsidR="007F312E" w:rsidRPr="00C019D2" w:rsidRDefault="008420E1" w:rsidP="00C019D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00E83F91">
        <w:rPr>
          <w:b/>
          <w:sz w:val="24"/>
          <w:szCs w:val="24"/>
        </w:rPr>
        <w:br w:type="page"/>
      </w: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4C46F0D3" w14:textId="77777777" w:rsidR="005E6758" w:rsidRPr="00706BB5" w:rsidRDefault="005E6758" w:rsidP="4EC15626">
      <w:pPr>
        <w:ind w:left="-90"/>
        <w:jc w:val="both"/>
        <w:rPr>
          <w:i/>
          <w:iCs/>
          <w:sz w:val="24"/>
          <w:szCs w:val="24"/>
        </w:rPr>
      </w:pP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1AE4CE7" w14:textId="77777777" w:rsidR="005E6758" w:rsidRDefault="005E6758" w:rsidP="00FF7EBB">
            <w:pPr>
              <w:jc w:val="both"/>
              <w:rPr>
                <w:sz w:val="24"/>
                <w:szCs w:val="24"/>
              </w:rPr>
            </w:pPr>
          </w:p>
          <w:p w14:paraId="5EA22198" w14:textId="77777777" w:rsidR="005E6758" w:rsidRDefault="005E6758" w:rsidP="005E6758">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4522AF0B" w14:textId="77777777" w:rsidR="005E6758" w:rsidRDefault="005E6758" w:rsidP="00FF7EBB">
            <w:pPr>
              <w:jc w:val="both"/>
              <w:rPr>
                <w:sz w:val="24"/>
                <w:szCs w:val="24"/>
              </w:rPr>
            </w:pPr>
          </w:p>
          <w:p w14:paraId="21294677" w14:textId="77777777" w:rsidR="00817E9C" w:rsidRDefault="00817E9C" w:rsidP="00817E9C">
            <w:pPr>
              <w:spacing w:line="360" w:lineRule="auto"/>
            </w:pPr>
          </w:p>
          <w:p w14:paraId="400FA370" w14:textId="607C71DE" w:rsidR="00817E9C" w:rsidRPr="00817E9C" w:rsidRDefault="00817E9C" w:rsidP="00817E9C">
            <w:pPr>
              <w:spacing w:line="360" w:lineRule="auto"/>
              <w:rPr>
                <w:sz w:val="24"/>
                <w:szCs w:val="24"/>
              </w:rPr>
            </w:pPr>
            <w:r w:rsidRPr="00817E9C">
              <w:rPr>
                <w:sz w:val="24"/>
                <w:szCs w:val="24"/>
              </w:rPr>
              <w:t xml:space="preserve">I work in a children’s safeguarding team; therefore this essay will focus on adult safeguarding. </w:t>
            </w:r>
          </w:p>
          <w:p w14:paraId="32FDE8F6" w14:textId="77777777" w:rsidR="00817E9C" w:rsidRPr="00817E9C" w:rsidRDefault="00817E9C" w:rsidP="00817E9C">
            <w:pPr>
              <w:spacing w:line="360" w:lineRule="auto"/>
              <w:rPr>
                <w:sz w:val="24"/>
                <w:szCs w:val="24"/>
              </w:rPr>
            </w:pPr>
          </w:p>
          <w:p w14:paraId="51DF0713" w14:textId="77777777" w:rsidR="00817E9C" w:rsidRPr="00817E9C" w:rsidRDefault="00817E9C" w:rsidP="00817E9C">
            <w:pPr>
              <w:spacing w:line="360" w:lineRule="auto"/>
              <w:rPr>
                <w:sz w:val="24"/>
                <w:szCs w:val="24"/>
              </w:rPr>
            </w:pPr>
            <w:r w:rsidRPr="00817E9C">
              <w:rPr>
                <w:sz w:val="24"/>
                <w:szCs w:val="24"/>
              </w:rPr>
              <w:t>Adult safeguarding, like children’s is underpinned by the Social Services and Well-being (Wales) Act 2014 and under section 126 (1) states an ‘adult at risk’ is an adult who “is experiencing or is at risk of abuse or neglect, has needs for care and support and as a result of those needs is unable to protect himself or herself against the abuse or neglect”.  The SSWBA (2014) identifies the duties of professionals to report and make enquiries in safeguarding adults. Professionals work with legal frameworks, such as the Mental Capacity Act (2005) that provides a clear understanding of the guidelines of safeguarding and to ensure decisions are being made in the adult’s best interests where they may lack capacity and be unable to make safe decisions.  Within this, the Deprivation of Liberty Safeguards (</w:t>
            </w:r>
            <w:proofErr w:type="spellStart"/>
            <w:r w:rsidRPr="00817E9C">
              <w:rPr>
                <w:sz w:val="24"/>
                <w:szCs w:val="24"/>
              </w:rPr>
              <w:t>DoLS</w:t>
            </w:r>
            <w:proofErr w:type="spellEnd"/>
            <w:r w:rsidRPr="00817E9C">
              <w:rPr>
                <w:sz w:val="24"/>
                <w:szCs w:val="24"/>
              </w:rPr>
              <w:t xml:space="preserve">) protects adults by ensuring the decision is in the individual’s best interests. </w:t>
            </w:r>
          </w:p>
          <w:p w14:paraId="741F3858" w14:textId="77777777" w:rsidR="00817E9C" w:rsidRDefault="00817E9C" w:rsidP="00817E9C">
            <w:pPr>
              <w:spacing w:line="360" w:lineRule="auto"/>
            </w:pPr>
          </w:p>
          <w:p w14:paraId="6CC17D01" w14:textId="4A490C4C" w:rsidR="00817E9C" w:rsidRPr="00817E9C" w:rsidRDefault="00817E9C" w:rsidP="00817E9C">
            <w:pPr>
              <w:spacing w:line="360" w:lineRule="auto"/>
              <w:rPr>
                <w:sz w:val="24"/>
                <w:szCs w:val="24"/>
              </w:rPr>
            </w:pPr>
            <w:r w:rsidRPr="00817E9C">
              <w:rPr>
                <w:sz w:val="24"/>
                <w:szCs w:val="24"/>
              </w:rPr>
              <w:t xml:space="preserve">The Human Rights Act (1998) is fundamental to safeguarding and places a duty on professionals to protect a person’s rights.  This is outlined throughout the Act, such as in Article 2, the right to life where professionals need to take steps where there is a known risk </w:t>
            </w:r>
            <w:r w:rsidRPr="00817E9C">
              <w:rPr>
                <w:sz w:val="24"/>
                <w:szCs w:val="24"/>
              </w:rPr>
              <w:lastRenderedPageBreak/>
              <w:t>and in Article 5, the right to liberty and security.  In supporting and protecting adults’ rights, it is imperative that professionals work within The Equality Act (2010) to ensure the individual is free from discrimination and are treated fairly.  This supports adult safeguarding by protecting people from discrimination and ensuring they have equal access to services and support (EA</w:t>
            </w:r>
            <w:r w:rsidR="00651385">
              <w:rPr>
                <w:sz w:val="24"/>
                <w:szCs w:val="24"/>
              </w:rPr>
              <w:t>,</w:t>
            </w:r>
            <w:r w:rsidRPr="00817E9C">
              <w:rPr>
                <w:sz w:val="24"/>
                <w:szCs w:val="24"/>
              </w:rPr>
              <w:t xml:space="preserve"> 2010). In strengthening adult safeguarding professionals work with the Domestic Abuse Act (2021) and in Wales there is also the Violence Against, Women, Domestic Abuse and Sexual Violence (Wales) Act 2015 that supports those who are vulnerable and at risk. </w:t>
            </w:r>
          </w:p>
          <w:p w14:paraId="55E58513" w14:textId="77777777" w:rsidR="00817E9C" w:rsidRDefault="00817E9C" w:rsidP="00817E9C">
            <w:pPr>
              <w:spacing w:line="360" w:lineRule="auto"/>
            </w:pPr>
          </w:p>
          <w:p w14:paraId="612F1187" w14:textId="77777777" w:rsidR="00817E9C" w:rsidRPr="00817E9C" w:rsidRDefault="00817E9C" w:rsidP="00817E9C">
            <w:pPr>
              <w:spacing w:line="360" w:lineRule="auto"/>
              <w:rPr>
                <w:sz w:val="24"/>
                <w:szCs w:val="24"/>
              </w:rPr>
            </w:pPr>
            <w:r w:rsidRPr="00817E9C">
              <w:rPr>
                <w:sz w:val="24"/>
                <w:szCs w:val="24"/>
              </w:rPr>
              <w:t>The Wales Safeguarding Procedures (2019) guides our work and sets out the roles, responsibilities and advises professionals what they need to do when risk is identified.  The Welsh Government (2016), Working Together to Safeguard People provides guidance on reporting concerns and working effectively with other professionals to protect adults at risk.  These procedures align with the Code of Professional Practice for Social Care Workers (2026) that state you must, “follow relevant safeguarding policies and procedures when working with individuals and carers”.</w:t>
            </w:r>
          </w:p>
          <w:p w14:paraId="65C049E6" w14:textId="77777777" w:rsidR="00817E9C" w:rsidRPr="00817E9C" w:rsidRDefault="00817E9C" w:rsidP="00817E9C">
            <w:pPr>
              <w:spacing w:line="360" w:lineRule="auto"/>
              <w:rPr>
                <w:sz w:val="24"/>
                <w:szCs w:val="24"/>
              </w:rPr>
            </w:pPr>
          </w:p>
          <w:p w14:paraId="1CDFDEF0" w14:textId="76415EAC" w:rsidR="00817E9C" w:rsidRPr="00817E9C" w:rsidRDefault="00817E9C" w:rsidP="00817E9C">
            <w:pPr>
              <w:spacing w:line="360" w:lineRule="auto"/>
              <w:rPr>
                <w:sz w:val="24"/>
                <w:szCs w:val="24"/>
              </w:rPr>
            </w:pPr>
            <w:r w:rsidRPr="00817E9C">
              <w:rPr>
                <w:sz w:val="24"/>
                <w:szCs w:val="24"/>
              </w:rPr>
              <w:t>In Wales, local policies and procedures are led by regional safeguarding children and adult boards and organisations are governed by legislation.  This sets out how concerns are reported, managed and the responsibilities of different agencies, such as police and health.  The organisation you work in will have policies and safeguarding training in place that guide staff on their responsibilities in safeguarding, how to identify abuse and who to inform if you think an individual is at risk.  This should follow the Wales Safeguarding Procedures (</w:t>
            </w:r>
            <w:r w:rsidR="00651385">
              <w:rPr>
                <w:sz w:val="24"/>
                <w:szCs w:val="24"/>
              </w:rPr>
              <w:t xml:space="preserve">SCW, </w:t>
            </w:r>
            <w:r w:rsidRPr="00817E9C">
              <w:rPr>
                <w:sz w:val="24"/>
                <w:szCs w:val="24"/>
              </w:rPr>
              <w:t xml:space="preserve">2019), that provides a national framework for safeguarding and professionals duties and responsibilities.  Working together with different agencies is important to share information, identify risk and report concerns to ensure the safety and protection of the individual.  </w:t>
            </w:r>
          </w:p>
          <w:p w14:paraId="5378639F" w14:textId="77777777" w:rsidR="00817E9C" w:rsidRPr="00817E9C" w:rsidRDefault="00817E9C" w:rsidP="00817E9C">
            <w:pPr>
              <w:spacing w:line="360" w:lineRule="auto"/>
              <w:rPr>
                <w:sz w:val="24"/>
                <w:szCs w:val="24"/>
              </w:rPr>
            </w:pPr>
          </w:p>
          <w:p w14:paraId="60D8C669" w14:textId="07895696" w:rsidR="00FC0334" w:rsidRPr="00817E9C" w:rsidRDefault="00817E9C" w:rsidP="00817E9C">
            <w:pPr>
              <w:spacing w:line="360" w:lineRule="auto"/>
              <w:rPr>
                <w:b/>
                <w:bCs/>
                <w:sz w:val="24"/>
                <w:szCs w:val="24"/>
              </w:rPr>
            </w:pPr>
            <w:r w:rsidRPr="00817E9C">
              <w:rPr>
                <w:b/>
                <w:bCs/>
                <w:sz w:val="24"/>
                <w:szCs w:val="24"/>
              </w:rPr>
              <w:t>5</w:t>
            </w:r>
            <w:r w:rsidR="00651385">
              <w:rPr>
                <w:b/>
                <w:bCs/>
                <w:sz w:val="24"/>
                <w:szCs w:val="24"/>
              </w:rPr>
              <w:t>10</w:t>
            </w:r>
          </w:p>
          <w:p w14:paraId="666CE1C8" w14:textId="77777777" w:rsidR="007A628F" w:rsidRDefault="007A628F" w:rsidP="005E6758">
            <w:pPr>
              <w:jc w:val="both"/>
              <w:rPr>
                <w:b/>
                <w:sz w:val="24"/>
                <w:szCs w:val="24"/>
              </w:rPr>
            </w:pPr>
          </w:p>
          <w:p w14:paraId="03BD6D93" w14:textId="56AD433A" w:rsidR="005E6758" w:rsidRPr="008B28E7" w:rsidRDefault="005E6758" w:rsidP="005E6758">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3B04D99" w14:textId="77777777" w:rsidR="000D1C22" w:rsidRDefault="000D1C22" w:rsidP="00FC0334">
            <w:pPr>
              <w:jc w:val="both"/>
              <w:rPr>
                <w:i/>
                <w:sz w:val="24"/>
                <w:szCs w:val="24"/>
              </w:rPr>
            </w:pPr>
          </w:p>
          <w:p w14:paraId="6BA3DD84" w14:textId="2D59A8DF"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FAC9F59" w14:textId="77777777" w:rsidR="004646FA" w:rsidRDefault="004646FA" w:rsidP="00FC0334">
            <w:pPr>
              <w:jc w:val="both"/>
              <w:rPr>
                <w:i/>
                <w:sz w:val="24"/>
                <w:szCs w:val="24"/>
              </w:rPr>
            </w:pPr>
          </w:p>
          <w:p w14:paraId="2B63F8F2" w14:textId="77777777" w:rsidR="000D1C22" w:rsidRDefault="000D1C22" w:rsidP="00FC0334">
            <w:pPr>
              <w:jc w:val="both"/>
              <w:rPr>
                <w:i/>
                <w:sz w:val="24"/>
                <w:szCs w:val="24"/>
              </w:rPr>
            </w:pPr>
          </w:p>
          <w:p w14:paraId="2DC46113" w14:textId="77777777" w:rsidR="004646FA" w:rsidRPr="004646FA" w:rsidRDefault="004646FA" w:rsidP="004646FA">
            <w:pPr>
              <w:spacing w:line="360" w:lineRule="auto"/>
              <w:rPr>
                <w:sz w:val="24"/>
                <w:szCs w:val="24"/>
              </w:rPr>
            </w:pPr>
            <w:r w:rsidRPr="004646FA">
              <w:rPr>
                <w:sz w:val="24"/>
                <w:szCs w:val="24"/>
              </w:rPr>
              <w:t>Safeguarding in social work is fundamental to protecting individuals from abuse and harm.  There are significant differences between adults and children’s safeguarding services, although both are underpinned by the Social Services and Well-being (Wales) Act 2014.</w:t>
            </w:r>
          </w:p>
          <w:p w14:paraId="61CCD19E" w14:textId="77777777" w:rsidR="004646FA" w:rsidRPr="004646FA" w:rsidRDefault="004646FA" w:rsidP="004646FA">
            <w:pPr>
              <w:spacing w:line="360" w:lineRule="auto"/>
              <w:rPr>
                <w:sz w:val="24"/>
                <w:szCs w:val="24"/>
              </w:rPr>
            </w:pPr>
          </w:p>
          <w:p w14:paraId="099291B0" w14:textId="77777777" w:rsidR="004646FA" w:rsidRPr="004646FA" w:rsidRDefault="004646FA" w:rsidP="004646FA">
            <w:pPr>
              <w:spacing w:line="360" w:lineRule="auto"/>
              <w:rPr>
                <w:sz w:val="24"/>
                <w:szCs w:val="24"/>
              </w:rPr>
            </w:pPr>
            <w:r w:rsidRPr="004646FA">
              <w:rPr>
                <w:sz w:val="24"/>
                <w:szCs w:val="24"/>
              </w:rPr>
              <w:t xml:space="preserve">In adult safeguarding professionals work under the legal framework of the Mental Capacity Act (2005) which assesses the adult’s capacity to make their own decisions.  If the adult has capacity, it is their right to make their own choices, even if professionals determine these to be unwise.  Adults can choose not to receive support or to be protected from harm, whereas children do not have this choice.  In considering the differences, the Human Rights Act (1998) Article 8, places emphasis on the right to respect and privacy stating it is a right for an adult to make their own choices about how they choose to live even when there is concern for their wellbeing. </w:t>
            </w:r>
          </w:p>
          <w:p w14:paraId="56EBC701" w14:textId="77777777" w:rsidR="004646FA" w:rsidRPr="004646FA" w:rsidRDefault="004646FA" w:rsidP="004646FA">
            <w:pPr>
              <w:spacing w:line="360" w:lineRule="auto"/>
              <w:rPr>
                <w:sz w:val="24"/>
                <w:szCs w:val="24"/>
              </w:rPr>
            </w:pPr>
          </w:p>
          <w:p w14:paraId="2E3E68CD" w14:textId="77777777" w:rsidR="004646FA" w:rsidRPr="004646FA" w:rsidRDefault="004646FA" w:rsidP="004646FA">
            <w:pPr>
              <w:spacing w:line="360" w:lineRule="auto"/>
              <w:rPr>
                <w:sz w:val="24"/>
                <w:szCs w:val="24"/>
              </w:rPr>
            </w:pPr>
            <w:r w:rsidRPr="004646FA">
              <w:rPr>
                <w:sz w:val="24"/>
                <w:szCs w:val="24"/>
              </w:rPr>
              <w:t xml:space="preserve">In children’s safeguarding professionals work under the legal framework of the Children Act (1989) and professionals have a duty to investigate where there are concerns of abuse and risk of significant harm.  The welfare of a child is paramount, and professionals are duty bound by legislation to investigate and take safeguarding measures.  The local authority undertakes section 47 enquiries under the CA (1989) if there is cause to believe the child is suffering or likely to suffer significant harm. </w:t>
            </w:r>
          </w:p>
          <w:p w14:paraId="2B47487B" w14:textId="77777777" w:rsidR="004646FA" w:rsidRPr="004646FA" w:rsidRDefault="004646FA" w:rsidP="004646FA">
            <w:pPr>
              <w:spacing w:line="360" w:lineRule="auto"/>
              <w:rPr>
                <w:sz w:val="24"/>
                <w:szCs w:val="24"/>
              </w:rPr>
            </w:pPr>
          </w:p>
          <w:p w14:paraId="68B45F83" w14:textId="77777777" w:rsidR="004646FA" w:rsidRPr="004646FA" w:rsidRDefault="004646FA" w:rsidP="004646FA">
            <w:pPr>
              <w:spacing w:line="360" w:lineRule="auto"/>
              <w:rPr>
                <w:sz w:val="24"/>
                <w:szCs w:val="24"/>
              </w:rPr>
            </w:pPr>
            <w:r w:rsidRPr="004646FA">
              <w:rPr>
                <w:sz w:val="24"/>
                <w:szCs w:val="24"/>
              </w:rPr>
              <w:t>A difference, in adult safeguarding where it has been established that the adult lacks capacity, decisions can be made in their best interests and agreed through the Deprivation of Liberty Safeguards (</w:t>
            </w:r>
            <w:proofErr w:type="spellStart"/>
            <w:r w:rsidRPr="004646FA">
              <w:rPr>
                <w:sz w:val="24"/>
                <w:szCs w:val="24"/>
              </w:rPr>
              <w:t>DoLS</w:t>
            </w:r>
            <w:proofErr w:type="spellEnd"/>
            <w:r w:rsidRPr="004646FA">
              <w:rPr>
                <w:sz w:val="24"/>
                <w:szCs w:val="24"/>
              </w:rPr>
              <w:t xml:space="preserve">) under the MCA (2005).  Whereas, in children’s safeguarding the focus is on protection where professionals can intervene, however in adults professionals can only intervene where the individual lacks capacity or with consent.  </w:t>
            </w:r>
          </w:p>
          <w:p w14:paraId="6AC113B5" w14:textId="77777777" w:rsidR="004646FA" w:rsidRPr="004646FA" w:rsidRDefault="004646FA" w:rsidP="004646FA">
            <w:pPr>
              <w:spacing w:line="360" w:lineRule="auto"/>
              <w:rPr>
                <w:sz w:val="24"/>
                <w:szCs w:val="24"/>
              </w:rPr>
            </w:pPr>
          </w:p>
          <w:p w14:paraId="0C1DEEE8" w14:textId="77777777" w:rsidR="004646FA" w:rsidRPr="004646FA" w:rsidRDefault="004646FA" w:rsidP="004646FA">
            <w:pPr>
              <w:spacing w:line="360" w:lineRule="auto"/>
              <w:rPr>
                <w:sz w:val="24"/>
                <w:szCs w:val="24"/>
              </w:rPr>
            </w:pPr>
            <w:r w:rsidRPr="004646FA">
              <w:rPr>
                <w:sz w:val="24"/>
                <w:szCs w:val="24"/>
              </w:rPr>
              <w:lastRenderedPageBreak/>
              <w:t>Another difference, the United Nations Convention on the Rights of the Child (1989) states that, “the best interests of the child shall be a primary consideration”.  In comparison, if the adult has capacity, then they have the choice to accept or decline support even when there is risk.  Braye et al., (2015) reported that, "Adult safeguarding seeks to protect people's right to live in safety, free from abuse and neglect, while supporting individuals to make choices and have control over their lives."</w:t>
            </w:r>
          </w:p>
          <w:p w14:paraId="73630030" w14:textId="77777777" w:rsidR="004646FA" w:rsidRPr="004646FA" w:rsidRDefault="004646FA" w:rsidP="004646FA">
            <w:pPr>
              <w:spacing w:line="360" w:lineRule="auto"/>
              <w:rPr>
                <w:sz w:val="24"/>
                <w:szCs w:val="24"/>
              </w:rPr>
            </w:pPr>
          </w:p>
          <w:p w14:paraId="380B1D56" w14:textId="77777777" w:rsidR="004646FA" w:rsidRPr="004646FA" w:rsidRDefault="004646FA" w:rsidP="004646FA">
            <w:pPr>
              <w:spacing w:line="360" w:lineRule="auto"/>
              <w:rPr>
                <w:sz w:val="24"/>
                <w:szCs w:val="24"/>
              </w:rPr>
            </w:pPr>
            <w:r w:rsidRPr="004646FA">
              <w:rPr>
                <w:sz w:val="24"/>
                <w:szCs w:val="24"/>
              </w:rPr>
              <w:t xml:space="preserve">In conclusion, although safeguarding procedures in adult and children’s services differ, the principles of the Code of Professional Practice for Social Workers (2026), highlights many similarities, such as being person-centred, upholding the individual’s rights, working within legislation and promoting the voice of the individual.  Understanding the differences has broadened my knowledge and will support me in my role as a social worker going forward. </w:t>
            </w:r>
          </w:p>
          <w:p w14:paraId="1D71354D" w14:textId="77777777" w:rsidR="004646FA" w:rsidRPr="004646FA" w:rsidRDefault="004646FA" w:rsidP="004646FA">
            <w:pPr>
              <w:spacing w:line="360" w:lineRule="auto"/>
              <w:rPr>
                <w:sz w:val="24"/>
                <w:szCs w:val="24"/>
              </w:rPr>
            </w:pPr>
          </w:p>
          <w:p w14:paraId="2CBA0C3D" w14:textId="7147BFB4" w:rsidR="000D1C22" w:rsidRPr="004646FA" w:rsidRDefault="004646FA" w:rsidP="004646FA">
            <w:pPr>
              <w:spacing w:line="360" w:lineRule="auto"/>
              <w:rPr>
                <w:b/>
                <w:bCs/>
                <w:sz w:val="24"/>
                <w:szCs w:val="24"/>
              </w:rPr>
            </w:pPr>
            <w:r w:rsidRPr="004646FA">
              <w:rPr>
                <w:b/>
                <w:bCs/>
                <w:sz w:val="24"/>
                <w:szCs w:val="24"/>
              </w:rPr>
              <w:t>439</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FB258" w14:textId="77777777" w:rsidR="00AD1922" w:rsidRDefault="00AD1922">
      <w:r>
        <w:separator/>
      </w:r>
    </w:p>
  </w:endnote>
  <w:endnote w:type="continuationSeparator" w:id="0">
    <w:p w14:paraId="3DBB4469" w14:textId="77777777" w:rsidR="00AD1922" w:rsidRDefault="00AD1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613B2" w14:textId="77777777" w:rsidR="00AD1922" w:rsidRDefault="00AD1922">
      <w:r>
        <w:separator/>
      </w:r>
    </w:p>
  </w:footnote>
  <w:footnote w:type="continuationSeparator" w:id="0">
    <w:p w14:paraId="347350AC" w14:textId="77777777" w:rsidR="00AD1922" w:rsidRDefault="00AD1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BA4"/>
    <w:rsid w:val="000C378F"/>
    <w:rsid w:val="000C6892"/>
    <w:rsid w:val="000C6FFE"/>
    <w:rsid w:val="000D0BB6"/>
    <w:rsid w:val="000D1C22"/>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46FA"/>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A78D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6758"/>
    <w:rsid w:val="005F64AA"/>
    <w:rsid w:val="005F7851"/>
    <w:rsid w:val="00606E27"/>
    <w:rsid w:val="006108C9"/>
    <w:rsid w:val="00614DF7"/>
    <w:rsid w:val="006179BB"/>
    <w:rsid w:val="0062158D"/>
    <w:rsid w:val="006223FD"/>
    <w:rsid w:val="006326D1"/>
    <w:rsid w:val="00632E0A"/>
    <w:rsid w:val="00633165"/>
    <w:rsid w:val="006447DE"/>
    <w:rsid w:val="00644889"/>
    <w:rsid w:val="00651385"/>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2102"/>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E9C"/>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89A"/>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53E0"/>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1922"/>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198"/>
    <w:rsid w:val="00BB6638"/>
    <w:rsid w:val="00BB7FD2"/>
    <w:rsid w:val="00BC04FA"/>
    <w:rsid w:val="00BC1C22"/>
    <w:rsid w:val="00BC460B"/>
    <w:rsid w:val="00BC4ED3"/>
    <w:rsid w:val="00BC5725"/>
    <w:rsid w:val="00BD30B1"/>
    <w:rsid w:val="00BE0F7B"/>
    <w:rsid w:val="00BE10C2"/>
    <w:rsid w:val="00BF0D6C"/>
    <w:rsid w:val="00C019D2"/>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6B1"/>
    <w:rsid w:val="00CF3DB3"/>
    <w:rsid w:val="00D0274B"/>
    <w:rsid w:val="00D0503D"/>
    <w:rsid w:val="00D052BC"/>
    <w:rsid w:val="00D07026"/>
    <w:rsid w:val="00D146AE"/>
    <w:rsid w:val="00D22C8F"/>
    <w:rsid w:val="00D3203C"/>
    <w:rsid w:val="00D33491"/>
    <w:rsid w:val="00D3442D"/>
    <w:rsid w:val="00D36A4A"/>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4C21"/>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D36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liblooms@yahoo.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ison.bloomfield@swansea.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1181</Words>
  <Characters>6429</Characters>
  <Application>Microsoft Office Word</Application>
  <DocSecurity>0</DocSecurity>
  <Lines>146</Lines>
  <Paragraphs>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Alison Bloomfield</cp:lastModifiedBy>
  <cp:revision>2</cp:revision>
  <cp:lastPrinted>2020-02-11T19:20:00Z</cp:lastPrinted>
  <dcterms:created xsi:type="dcterms:W3CDTF">2026-10-05T13:57:00Z</dcterms:created>
  <dcterms:modified xsi:type="dcterms:W3CDTF">2026-10-05T13:57:00Z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