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7B6679" w14:textId="44646735" w:rsidR="00B82317" w:rsidRPr="00B911D8" w:rsidRDefault="003C5C07">
      <w:pPr>
        <w:rPr>
          <w:b/>
        </w:rPr>
      </w:pPr>
      <w:r w:rsidRPr="00B911D8">
        <w:rPr>
          <w:b/>
        </w:rPr>
        <w:t>A comparison of the sun in three primary sources</w:t>
      </w:r>
    </w:p>
    <w:p w14:paraId="5AD8400F" w14:textId="34474D98" w:rsidR="003C5C07" w:rsidRDefault="003C5C07">
      <w:r>
        <w:t>Word count:</w:t>
      </w:r>
      <w:r w:rsidR="00461EC6">
        <w:t xml:space="preserve"> 1846</w:t>
      </w:r>
      <w:bookmarkStart w:id="0" w:name="_GoBack"/>
      <w:bookmarkEnd w:id="0"/>
    </w:p>
    <w:p w14:paraId="350C5962" w14:textId="35CDDA8C" w:rsidR="003C5C07" w:rsidRDefault="003C5C07"/>
    <w:p w14:paraId="309D9144" w14:textId="0BE684B7" w:rsidR="003C5C07" w:rsidRPr="000645F3" w:rsidRDefault="003C5C07">
      <w:pPr>
        <w:rPr>
          <w:u w:val="single"/>
        </w:rPr>
      </w:pPr>
      <w:r w:rsidRPr="000645F3">
        <w:rPr>
          <w:u w:val="single"/>
        </w:rPr>
        <w:t>Introduction</w:t>
      </w:r>
    </w:p>
    <w:p w14:paraId="135DBB93" w14:textId="05F91FA7" w:rsidR="003C5C07" w:rsidRDefault="000645F3">
      <w:r>
        <w:t>This essay will consider how three primary sources have presented the sun in their respective texts</w:t>
      </w:r>
      <w:r w:rsidR="00FC7538">
        <w:t xml:space="preserve">. The </w:t>
      </w:r>
      <w:r w:rsidR="0064791C">
        <w:t xml:space="preserve">sources are </w:t>
      </w:r>
      <w:r w:rsidR="00FC7538">
        <w:t>which will be considered are</w:t>
      </w:r>
      <w:r w:rsidR="0064791C">
        <w:t xml:space="preserve"> </w:t>
      </w:r>
      <w:r w:rsidR="00636B8B">
        <w:t xml:space="preserve">Claudius </w:t>
      </w:r>
      <w:r>
        <w:t xml:space="preserve">Ptolemy’s </w:t>
      </w:r>
      <w:r w:rsidRPr="00636B8B">
        <w:rPr>
          <w:i/>
        </w:rPr>
        <w:t>Tetrabiblos</w:t>
      </w:r>
      <w:r w:rsidR="00636B8B">
        <w:t xml:space="preserve">, Aristarchus of Samos’ </w:t>
      </w:r>
      <w:r w:rsidR="00636B8B" w:rsidRPr="00636B8B">
        <w:rPr>
          <w:i/>
        </w:rPr>
        <w:t xml:space="preserve">Mathematical Works </w:t>
      </w:r>
      <w:r w:rsidR="00636B8B">
        <w:t xml:space="preserve">and Dane </w:t>
      </w:r>
      <w:r w:rsidR="00FC7538">
        <w:t>Rudhyar’s</w:t>
      </w:r>
      <w:r w:rsidR="00636B8B">
        <w:t xml:space="preserve"> </w:t>
      </w:r>
      <w:r w:rsidR="00636B8B" w:rsidRPr="005A3494">
        <w:rPr>
          <w:i/>
        </w:rPr>
        <w:t>New Mansions for New Men</w:t>
      </w:r>
      <w:r w:rsidR="00636B8B">
        <w:t>.</w:t>
      </w:r>
    </w:p>
    <w:p w14:paraId="3AED623E" w14:textId="4A5E4E72" w:rsidR="009B5825" w:rsidRDefault="00636B8B">
      <w:r>
        <w:t xml:space="preserve">Ptolemy’s </w:t>
      </w:r>
      <w:r w:rsidRPr="00EF3938">
        <w:rPr>
          <w:i/>
        </w:rPr>
        <w:t>Tetrabiblos</w:t>
      </w:r>
      <w:r w:rsidR="005A3494">
        <w:t xml:space="preserve">, also referred to as the </w:t>
      </w:r>
      <w:r w:rsidR="005A3494" w:rsidRPr="00EF3938">
        <w:rPr>
          <w:i/>
        </w:rPr>
        <w:t>Apotelematika</w:t>
      </w:r>
      <w:r w:rsidR="005A3494">
        <w:t>, was written in Alexandria</w:t>
      </w:r>
      <w:r w:rsidR="003A6E33">
        <w:t>, Egypt</w:t>
      </w:r>
      <w:r w:rsidR="005A3494">
        <w:t xml:space="preserve"> around 120CE in Greek and became on</w:t>
      </w:r>
      <w:r w:rsidR="00EF3938">
        <w:t>e</w:t>
      </w:r>
      <w:r w:rsidR="005A3494">
        <w:t xml:space="preserve"> the most influential works of medieval and </w:t>
      </w:r>
      <w:r w:rsidR="00EF3938">
        <w:t>Renaissance</w:t>
      </w:r>
      <w:r w:rsidR="005A3494">
        <w:t xml:space="preserve"> astrology.</w:t>
      </w:r>
      <w:r w:rsidR="00EF3938">
        <w:rPr>
          <w:rStyle w:val="FootnoteReference"/>
        </w:rPr>
        <w:footnoteReference w:id="1"/>
      </w:r>
      <w:r w:rsidR="005C7BED">
        <w:t xml:space="preserve"> </w:t>
      </w:r>
      <w:r w:rsidR="009B5825">
        <w:t>The translation worked from is by F.E. Robbins, 1940.</w:t>
      </w:r>
      <w:r w:rsidR="009B5825">
        <w:rPr>
          <w:rStyle w:val="FootnoteReference"/>
        </w:rPr>
        <w:footnoteReference w:id="2"/>
      </w:r>
    </w:p>
    <w:p w14:paraId="5FA4A8AE" w14:textId="53533A38" w:rsidR="00636B8B" w:rsidRDefault="00455A2F">
      <w:r>
        <w:t>Aristarchus of Samos lived between 310-230BCE</w:t>
      </w:r>
      <w:r w:rsidR="003A6E33">
        <w:t xml:space="preserve"> on the Greek island of Samos, </w:t>
      </w:r>
      <w:r>
        <w:t>he wrote in Greek and is known for his discover</w:t>
      </w:r>
      <w:r w:rsidR="00FA10AC">
        <w:t>i</w:t>
      </w:r>
      <w:r>
        <w:t>es regarding heliocentric theory.</w:t>
      </w:r>
      <w:r>
        <w:rPr>
          <w:rStyle w:val="FootnoteReference"/>
        </w:rPr>
        <w:footnoteReference w:id="3"/>
      </w:r>
      <w:r w:rsidR="00E22D0E">
        <w:t xml:space="preserve"> </w:t>
      </w:r>
      <w:r w:rsidR="00904E9B">
        <w:t>His works on the distances of the sun and moon were translated in 1941 by Ivor Thomas.</w:t>
      </w:r>
      <w:r w:rsidR="00904E9B">
        <w:rPr>
          <w:rStyle w:val="FootnoteReference"/>
        </w:rPr>
        <w:footnoteReference w:id="4"/>
      </w:r>
      <w:r w:rsidR="00DE7F56">
        <w:t xml:space="preserve"> </w:t>
      </w:r>
      <w:r w:rsidR="00E22D0E">
        <w:t>Dane Rudhyar was an American-French author who lived between 1895-1985</w:t>
      </w:r>
      <w:r w:rsidR="00435134">
        <w:t xml:space="preserve"> and was a leading figure of North American astrology in the 1970s-1980s.</w:t>
      </w:r>
      <w:r w:rsidR="00435134">
        <w:rPr>
          <w:rStyle w:val="FootnoteReference"/>
        </w:rPr>
        <w:footnoteReference w:id="5"/>
      </w:r>
      <w:r w:rsidR="00E22D0E">
        <w:t xml:space="preserve"> </w:t>
      </w:r>
      <w:r w:rsidR="00E22D0E" w:rsidRPr="003A6E33">
        <w:rPr>
          <w:i/>
        </w:rPr>
        <w:t>New Mansions for New Men</w:t>
      </w:r>
      <w:r w:rsidR="00E22D0E">
        <w:t xml:space="preserve"> </w:t>
      </w:r>
      <w:r w:rsidR="00A94643">
        <w:t xml:space="preserve">was first published in 1938 in English. </w:t>
      </w:r>
    </w:p>
    <w:p w14:paraId="00FC84E6" w14:textId="1353080F" w:rsidR="0064791C" w:rsidRPr="00636B8B" w:rsidRDefault="0064791C">
      <w:r>
        <w:t xml:space="preserve">In order to consider </w:t>
      </w:r>
      <w:r w:rsidR="002448B8">
        <w:t xml:space="preserve">how the three </w:t>
      </w:r>
      <w:r w:rsidR="00A029A4">
        <w:t>authors</w:t>
      </w:r>
      <w:r w:rsidR="002448B8">
        <w:t xml:space="preserve"> </w:t>
      </w:r>
      <w:r w:rsidR="00317039">
        <w:t xml:space="preserve">portray the sun in their works, this essay will look at the themes of how the sun is presented as a giver of light and/or heat, how the sun is presented in conjunction with other celestial bodies and how the sun is considered as a measuring device. </w:t>
      </w:r>
    </w:p>
    <w:p w14:paraId="586B7C16" w14:textId="2E844D42" w:rsidR="000645F3" w:rsidRDefault="000645F3"/>
    <w:p w14:paraId="24949AB8" w14:textId="4DFA9A8B" w:rsidR="000645F3" w:rsidRPr="0090384F" w:rsidRDefault="0090384F">
      <w:pPr>
        <w:rPr>
          <w:u w:val="single"/>
        </w:rPr>
      </w:pPr>
      <w:r w:rsidRPr="0090384F">
        <w:rPr>
          <w:u w:val="single"/>
        </w:rPr>
        <w:t xml:space="preserve">The sun as a giver </w:t>
      </w:r>
    </w:p>
    <w:p w14:paraId="568D7DC0" w14:textId="77777777" w:rsidR="00B04C23" w:rsidRDefault="00746843">
      <w:r>
        <w:t>Ptolemy</w:t>
      </w:r>
      <w:r w:rsidR="00415C4D">
        <w:t xml:space="preserve"> </w:t>
      </w:r>
      <w:r w:rsidR="008001FE">
        <w:t>refers to the sun primarily as a key source of light and heat</w:t>
      </w:r>
      <w:r w:rsidR="003C11DA">
        <w:t xml:space="preserve"> to earth</w:t>
      </w:r>
      <w:r w:rsidR="00C04A23">
        <w:t>, ‘effective qualities, such as the sun’s heating’.</w:t>
      </w:r>
      <w:r w:rsidR="00C04A23">
        <w:rPr>
          <w:rStyle w:val="FootnoteReference"/>
        </w:rPr>
        <w:footnoteReference w:id="6"/>
      </w:r>
      <w:r w:rsidR="008001FE">
        <w:t xml:space="preserve"> </w:t>
      </w:r>
      <w:r w:rsidR="00C04A23">
        <w:t>In book 1 chapter 4, he makes specific reference to the sun’s active power being found in heating and drying</w:t>
      </w:r>
      <w:r w:rsidR="00E149BA">
        <w:t xml:space="preserve">. </w:t>
      </w:r>
      <w:r w:rsidR="00C04A23">
        <w:t>He also notes that the closer to the zenith</w:t>
      </w:r>
      <w:r w:rsidR="00370727">
        <w:t xml:space="preserve"> the sun is</w:t>
      </w:r>
      <w:r w:rsidR="00C04A23">
        <w:t>, the more its effects are felt.</w:t>
      </w:r>
      <w:r w:rsidR="00C04A23">
        <w:rPr>
          <w:rStyle w:val="FootnoteReference"/>
        </w:rPr>
        <w:footnoteReference w:id="7"/>
      </w:r>
      <w:r w:rsidR="006A0A3D">
        <w:t xml:space="preserve"> </w:t>
      </w:r>
      <w:r w:rsidR="00E149BA">
        <w:t>Through these observations he goes on to draw conclusions on the climates of certain areas, particularly in book 1, chapter 10 where he states ‘the region to the south is hottest because of the fiery heat of the sun’s passage through mid-heaven’.</w:t>
      </w:r>
      <w:r w:rsidR="00E149BA">
        <w:rPr>
          <w:rStyle w:val="FootnoteReference"/>
        </w:rPr>
        <w:footnoteReference w:id="8"/>
      </w:r>
      <w:r w:rsidR="00974B6C">
        <w:t xml:space="preserve"> Ptolemy also makes mention to the fact that the </w:t>
      </w:r>
      <w:r w:rsidR="006A0A3D">
        <w:t>sun passes light to the moon</w:t>
      </w:r>
      <w:r w:rsidR="00B05F21">
        <w:t>, ‘the moon … shares moderately also in heating power because of the l</w:t>
      </w:r>
      <w:r w:rsidR="00B04C23">
        <w:t>i</w:t>
      </w:r>
      <w:r w:rsidR="00B05F21">
        <w:t>ght it received from the sun.’</w:t>
      </w:r>
      <w:r w:rsidR="00B05F21">
        <w:rPr>
          <w:rStyle w:val="FootnoteReference"/>
        </w:rPr>
        <w:footnoteReference w:id="9"/>
      </w:r>
      <w:r w:rsidR="00B04C23">
        <w:t xml:space="preserve"> </w:t>
      </w:r>
    </w:p>
    <w:p w14:paraId="1087926A" w14:textId="2B076A80" w:rsidR="0050631F" w:rsidRDefault="00BF2962">
      <w:r>
        <w:lastRenderedPageBreak/>
        <w:t xml:space="preserve">Aristarchus presents several hypotheses in his </w:t>
      </w:r>
      <w:r w:rsidRPr="00BF2962">
        <w:rPr>
          <w:i/>
        </w:rPr>
        <w:t>Mathematical Works</w:t>
      </w:r>
      <w:r>
        <w:t>, one of which is ‘the moon receives its light from the sun’.</w:t>
      </w:r>
      <w:r>
        <w:rPr>
          <w:rStyle w:val="FootnoteReference"/>
        </w:rPr>
        <w:footnoteReference w:id="10"/>
      </w:r>
      <w:r w:rsidR="00D96DA4">
        <w:t xml:space="preserve"> </w:t>
      </w:r>
      <w:r w:rsidR="00EF16C5">
        <w:t>He does not expand on this point further</w:t>
      </w:r>
      <w:r w:rsidR="001F575A">
        <w:t xml:space="preserve"> </w:t>
      </w:r>
      <w:r w:rsidR="00EF16C5">
        <w:t xml:space="preserve">but given the </w:t>
      </w:r>
      <w:r w:rsidR="00317893">
        <w:t>shortness of the piece,</w:t>
      </w:r>
      <w:r w:rsidR="00EF16C5">
        <w:t xml:space="preserve"> it is clear that he thought it important enough to include. </w:t>
      </w:r>
    </w:p>
    <w:p w14:paraId="427DDA85" w14:textId="30A69FA1" w:rsidR="0050631F" w:rsidRDefault="00317893">
      <w:r>
        <w:t>Rudhyar’s piece is different to Ptolemy and Aristarchus in that his piece has a spiritual focus. This however still sees him discussing the sun as a giver or light, ‘we may not see this sun in us, but we may sense its light’.</w:t>
      </w:r>
      <w:r>
        <w:rPr>
          <w:rStyle w:val="FootnoteReference"/>
        </w:rPr>
        <w:footnoteReference w:id="11"/>
      </w:r>
      <w:r w:rsidR="00C33D56">
        <w:t xml:space="preserve"> Rudhyar concludes his chapter with emphasising that light is the most important substance, and the key source of it is the sun, ‘light is the beginning and light is the end … planets, by reflecting light to each other, lead to the slow rise of objective consciousness.’</w:t>
      </w:r>
      <w:r w:rsidR="00C33D56">
        <w:rPr>
          <w:rStyle w:val="FootnoteReference"/>
        </w:rPr>
        <w:footnoteReference w:id="12"/>
      </w:r>
      <w:r w:rsidR="0063557A">
        <w:t xml:space="preserve"> Rudhyar places the sun at the centre of his spiritual exploration into light, signifying its key position in the celestial order. </w:t>
      </w:r>
    </w:p>
    <w:p w14:paraId="59D67068" w14:textId="456A5D1B" w:rsidR="0050631F" w:rsidRDefault="006A0A3D">
      <w:r>
        <w:t xml:space="preserve">All three sources refer to the sun as a source of light and heat and make reference to these points in the contexts of their own pieces. Ptolemy and Aristarchus both place </w:t>
      </w:r>
      <w:r w:rsidR="00B04C23">
        <w:t>draw on the sun giving light to the moon, although</w:t>
      </w:r>
      <w:r>
        <w:t xml:space="preserve"> thei</w:t>
      </w:r>
      <w:r w:rsidR="0001197E">
        <w:t>r contexts differ.</w:t>
      </w:r>
      <w:r w:rsidR="006E0D74">
        <w:t xml:space="preserve"> Ptolemy is the only source that mentions the sun as a drying influence. </w:t>
      </w:r>
    </w:p>
    <w:p w14:paraId="611415D8" w14:textId="5A96E6A5" w:rsidR="0050631F" w:rsidRDefault="0050631F"/>
    <w:p w14:paraId="6A1B2659" w14:textId="01C679F0" w:rsidR="0050631F" w:rsidRPr="0050631F" w:rsidRDefault="0050631F">
      <w:pPr>
        <w:rPr>
          <w:u w:val="single"/>
        </w:rPr>
      </w:pPr>
      <w:r w:rsidRPr="0050631F">
        <w:rPr>
          <w:u w:val="single"/>
        </w:rPr>
        <w:t>The sun in conjunction to other celestial bodies</w:t>
      </w:r>
    </w:p>
    <w:p w14:paraId="54EF7900" w14:textId="0FEF0D78" w:rsidR="00C04A23" w:rsidRDefault="00A70202" w:rsidP="0050631F">
      <w:r>
        <w:t xml:space="preserve">In his introduction, Ptolemy sets out that the </w:t>
      </w:r>
      <w:r w:rsidR="00FB35ED">
        <w:t>‘</w:t>
      </w:r>
      <w:r>
        <w:t xml:space="preserve">movements of the sun, moon and stars in </w:t>
      </w:r>
      <w:r w:rsidR="00FB35ED">
        <w:t>relation to each other and to the earth’ are key considerations</w:t>
      </w:r>
      <w:r w:rsidR="007F5D8A">
        <w:t xml:space="preserve"> for his work</w:t>
      </w:r>
      <w:r w:rsidR="00FB35ED">
        <w:t>.</w:t>
      </w:r>
      <w:r w:rsidR="00FB35ED">
        <w:rPr>
          <w:rStyle w:val="FootnoteReference"/>
        </w:rPr>
        <w:footnoteReference w:id="13"/>
      </w:r>
      <w:r w:rsidR="007F5D8A">
        <w:t xml:space="preserve"> </w:t>
      </w:r>
      <w:r w:rsidR="00A47693">
        <w:t>He goes on to state in book 1, chapter 2 that ‘for though the sun’s power prevails… the other heavenly bodies aid or oppose it’.</w:t>
      </w:r>
      <w:r w:rsidR="00A47693">
        <w:rPr>
          <w:rStyle w:val="FootnoteReference"/>
        </w:rPr>
        <w:footnoteReference w:id="14"/>
      </w:r>
      <w:r w:rsidR="008403DE">
        <w:t xml:space="preserve"> These two statements set the tone for much of what is to follow, which </w:t>
      </w:r>
      <w:r w:rsidR="00F47665">
        <w:t xml:space="preserve">could be considered as a </w:t>
      </w:r>
      <w:r w:rsidR="008403DE">
        <w:t>catalogue of the sun’s causal</w:t>
      </w:r>
      <w:r w:rsidR="00F47665">
        <w:t xml:space="preserve"> relationships with other celestial bodies </w:t>
      </w:r>
      <w:r w:rsidR="008403DE">
        <w:t xml:space="preserve">and the effects that these </w:t>
      </w:r>
      <w:r w:rsidR="00F47665">
        <w:t xml:space="preserve">relationships </w:t>
      </w:r>
      <w:r w:rsidR="008403DE">
        <w:t>can produce. A</w:t>
      </w:r>
      <w:r w:rsidR="00F47665">
        <w:t xml:space="preserve"> prominent </w:t>
      </w:r>
      <w:r w:rsidR="008403DE">
        <w:t>example of this comes in book 1, chapter 6 where he discus</w:t>
      </w:r>
      <w:r w:rsidR="0083247A">
        <w:t>s</w:t>
      </w:r>
      <w:r w:rsidR="008403DE">
        <w:t xml:space="preserve">es the masculinity and </w:t>
      </w:r>
      <w:r w:rsidR="00F47665">
        <w:t>femininity</w:t>
      </w:r>
      <w:r w:rsidR="008403DE">
        <w:t xml:space="preserve"> of the planets; ‘the stars become masculine or feminine according to their aspects to the sun</w:t>
      </w:r>
      <w:r w:rsidR="00F47665">
        <w:t>, for when they are morning stars and precede the sun they become masculine, and feminine when they are evening stars and follow the sun’.</w:t>
      </w:r>
      <w:r w:rsidR="00F47665">
        <w:rPr>
          <w:rStyle w:val="FootnoteReference"/>
        </w:rPr>
        <w:footnoteReference w:id="15"/>
      </w:r>
      <w:r w:rsidR="00F47665">
        <w:t xml:space="preserve"> Ptolemy continues this causal effect of the sun on other celestial bodies throughout. </w:t>
      </w:r>
    </w:p>
    <w:p w14:paraId="544146B0" w14:textId="5020D860" w:rsidR="00EF16C5" w:rsidRDefault="00EF16C5" w:rsidP="0050631F">
      <w:r>
        <w:t>Aristarchus talks throughout his work about the relationship between the sun and the moon and its importance to his theory, he includes their relationship in one of his hypotheses, ‘when the moon appears to us halved its distance from the sun is less than a quadrant’.</w:t>
      </w:r>
      <w:r>
        <w:rPr>
          <w:rStyle w:val="FootnoteReference"/>
        </w:rPr>
        <w:footnoteReference w:id="16"/>
      </w:r>
      <w:r w:rsidR="001575C3">
        <w:t xml:space="preserve"> </w:t>
      </w:r>
      <w:r w:rsidR="00161CB1">
        <w:t xml:space="preserve">The relationship between the sun and the moon are quintessential to understanding his theory of distance and thus form the basis of his work. He concludes with ‘the distance of the sun from the earth is less than twenty times the distance of the moon from the earth’, </w:t>
      </w:r>
      <w:r w:rsidR="00E177D1">
        <w:t>reiterating</w:t>
      </w:r>
      <w:r w:rsidR="00161CB1">
        <w:t xml:space="preserve"> the importance of the sun’s relationship to other celestial bodies, namely the moon</w:t>
      </w:r>
      <w:r w:rsidR="00E177D1">
        <w:t>, but also earth,</w:t>
      </w:r>
      <w:r w:rsidR="00161CB1">
        <w:t xml:space="preserve"> to his theory.</w:t>
      </w:r>
      <w:r w:rsidR="00161CB1">
        <w:rPr>
          <w:rStyle w:val="FootnoteReference"/>
        </w:rPr>
        <w:footnoteReference w:id="17"/>
      </w:r>
    </w:p>
    <w:p w14:paraId="4AC1EC53" w14:textId="09412D8A" w:rsidR="0050631F" w:rsidRDefault="00C82C7D" w:rsidP="0050631F">
      <w:r>
        <w:t xml:space="preserve">Rudhyar does not make mention to the sun in relation to other celestial bodies in the same quantity as Ptolemy or Aristarchus, he does however draw on the suns relationship to Jupiter and Saturn as he </w:t>
      </w:r>
      <w:r w:rsidR="002F3520">
        <w:t>surmises</w:t>
      </w:r>
      <w:r>
        <w:t xml:space="preserve"> that energy flows from the sun to Jupiter who organises the outflow and Saturn who </w:t>
      </w:r>
      <w:r>
        <w:lastRenderedPageBreak/>
        <w:t>then establishes the purpose, ‘Jupiter reveals this purpose, makes it operative just as the Hierophant reveals the Mysteries’.</w:t>
      </w:r>
      <w:r>
        <w:rPr>
          <w:rStyle w:val="FootnoteReference"/>
        </w:rPr>
        <w:footnoteReference w:id="18"/>
      </w:r>
      <w:r w:rsidR="002F3520">
        <w:t xml:space="preserve"> Rudhyar hints here that without the sun, other celestial bodies could not perform their functions. </w:t>
      </w:r>
    </w:p>
    <w:p w14:paraId="08B4462A" w14:textId="40B851AD" w:rsidR="0050631F" w:rsidRPr="00660E1F" w:rsidRDefault="00660E1F" w:rsidP="0050631F">
      <w:r>
        <w:t xml:space="preserve">All three sources refer to the sun in conjunction with at least one other celestial body. Ptolemy draws on multiple across the </w:t>
      </w:r>
      <w:r>
        <w:rPr>
          <w:i/>
        </w:rPr>
        <w:t>Tetrabiblos</w:t>
      </w:r>
      <w:r>
        <w:t xml:space="preserve"> and uses the sun to explain and even justify the behaviours of other celestial bodies. Aristarchus focuses specifically on the conjunction between the sun and the moon and uses their relationship as the basis for his mathematical theory whereas Rudhyar mentions the suns relationship between the sun, Saturn and Jupiter in passing. The differing purposes and intents of the three sources serves as an explanation as to why each has focused on the conjunction between the sun and other celestial bodies differently. </w:t>
      </w:r>
    </w:p>
    <w:p w14:paraId="10CBE203" w14:textId="77777777" w:rsidR="00660E1F" w:rsidRDefault="00660E1F" w:rsidP="0050631F"/>
    <w:p w14:paraId="6972402D" w14:textId="5C728959" w:rsidR="0050631F" w:rsidRPr="0050631F" w:rsidRDefault="0050631F" w:rsidP="0050631F">
      <w:pPr>
        <w:rPr>
          <w:u w:val="single"/>
        </w:rPr>
      </w:pPr>
      <w:r w:rsidRPr="0050631F">
        <w:rPr>
          <w:u w:val="single"/>
        </w:rPr>
        <w:t>The sun as a measurer</w:t>
      </w:r>
    </w:p>
    <w:p w14:paraId="35644CA7" w14:textId="677107A8" w:rsidR="0050631F" w:rsidRDefault="00F11837" w:rsidP="0050631F">
      <w:r>
        <w:t xml:space="preserve">Ptolemy </w:t>
      </w:r>
      <w:r w:rsidR="00E57F67">
        <w:t>references the sun as a means</w:t>
      </w:r>
      <w:r w:rsidR="0045207F">
        <w:t xml:space="preserve"> of measuring in a number of different ways. He firstly refers to sailors who know that storms arise because of the relationship to the moon and stars with the sun, he then moves on to suggest that </w:t>
      </w:r>
      <w:r w:rsidR="00E57F67">
        <w:t xml:space="preserve">man </w:t>
      </w:r>
      <w:r w:rsidR="0045207F">
        <w:t xml:space="preserve">should be able </w:t>
      </w:r>
      <w:r w:rsidR="00E57F67">
        <w:t>to tell the characteristics of the air, if he understands the movements of the sun, stars and moon in relation to one another.</w:t>
      </w:r>
      <w:r w:rsidR="00E57F67">
        <w:rPr>
          <w:rStyle w:val="FootnoteReference"/>
        </w:rPr>
        <w:footnoteReference w:id="19"/>
      </w:r>
      <w:r w:rsidR="0045207F">
        <w:t xml:space="preserve"> </w:t>
      </w:r>
      <w:r w:rsidR="00B54587">
        <w:t>In book 1, chapter 13 he goes on to suggest that if the sun is observed rising, then it is possible to determine the weather and provides examples of possible outcomes based on certain observations.</w:t>
      </w:r>
      <w:r w:rsidR="00B54587">
        <w:rPr>
          <w:rStyle w:val="FootnoteReference"/>
        </w:rPr>
        <w:footnoteReference w:id="20"/>
      </w:r>
      <w:r w:rsidR="009E2015">
        <w:t xml:space="preserve"> In book 4, chapter 10, he references the sun in relation to the divination of time and its implications in accurately casting predictions.</w:t>
      </w:r>
      <w:r w:rsidR="009E2015">
        <w:rPr>
          <w:rStyle w:val="FootnoteReference"/>
        </w:rPr>
        <w:footnoteReference w:id="21"/>
      </w:r>
    </w:p>
    <w:p w14:paraId="63DD7F0D" w14:textId="1C632762" w:rsidR="0050631F" w:rsidRDefault="003272F5" w:rsidP="0050631F">
      <w:r>
        <w:t xml:space="preserve">Aristarchus uses the sun predominantly as a measuring device in his work. </w:t>
      </w:r>
      <w:r w:rsidR="007C3C70">
        <w:t>He takes observations and uses them to support his hypotheses about a halved moon, ‘the distance of the sun from the earth is greater than eighteen times, but less than twenty times’.</w:t>
      </w:r>
      <w:r w:rsidR="007C3C70">
        <w:rPr>
          <w:rStyle w:val="FootnoteReference"/>
        </w:rPr>
        <w:footnoteReference w:id="22"/>
      </w:r>
      <w:r w:rsidR="007C3C70">
        <w:t xml:space="preserve"> Aristarchus uses the sun throughout to measure distance and reinforce his theory. In using the sun in this way, Aristarchus applies principles he has observed to reinforce a mathematical theory he has hypothesised. </w:t>
      </w:r>
    </w:p>
    <w:p w14:paraId="557A0426" w14:textId="5E6218D4" w:rsidR="00602374" w:rsidRDefault="00204B68" w:rsidP="0050631F">
      <w:r>
        <w:t>Rudhyar looks to the sun as a measurer of time on earth</w:t>
      </w:r>
      <w:r w:rsidR="00602374">
        <w:t xml:space="preserve">, he makes reference to how the sun strikes the earth’s surface differently at different times due to the angles of the axis and also to </w:t>
      </w:r>
      <w:r>
        <w:t>the passage of the seasons</w:t>
      </w:r>
      <w:r w:rsidR="00602374">
        <w:t xml:space="preserve">. These in particular are important to him as they effect how the song of light is received, for example it moves from being tonic at the winter solstice to dominant at the summer solstice. </w:t>
      </w:r>
    </w:p>
    <w:p w14:paraId="7566FABE" w14:textId="63C4BD96" w:rsidR="00D70103" w:rsidRDefault="00D70103" w:rsidP="0050631F">
      <w:r>
        <w:t>All three sources refer to the sun</w:t>
      </w:r>
      <w:r>
        <w:t xml:space="preserve"> as a measurer in some capacity. Ptolemy emphasises that if humans are able to understand the movement of the sun and the other celestial bodies, they can predict the weather as well as understand the passage of time. Rudhyar also draws on the sun as a means of measuring time and links this to a spiritual dimension whereas Aristarchus focuses the sun as a means of measuring distance to support his mathematical theory. All three sources accept the sun as being capable of measurement in some capacity although the results depend on how the sun is being considered.</w:t>
      </w:r>
    </w:p>
    <w:p w14:paraId="0DAA0068" w14:textId="77777777" w:rsidR="00220A0A" w:rsidRDefault="00220A0A" w:rsidP="0050631F"/>
    <w:p w14:paraId="01EC3611" w14:textId="660B0FDB" w:rsidR="0050631F" w:rsidRPr="0050631F" w:rsidRDefault="0050631F" w:rsidP="0050631F">
      <w:pPr>
        <w:rPr>
          <w:u w:val="single"/>
        </w:rPr>
      </w:pPr>
      <w:r w:rsidRPr="0050631F">
        <w:rPr>
          <w:u w:val="single"/>
        </w:rPr>
        <w:lastRenderedPageBreak/>
        <w:t>Conclusion</w:t>
      </w:r>
    </w:p>
    <w:p w14:paraId="65062B21" w14:textId="12334BE1" w:rsidR="00220A0A" w:rsidRDefault="0050631F" w:rsidP="0050631F">
      <w:r>
        <w:t xml:space="preserve">This essay has reviewed three primary sources in relation to how they portray the sun. </w:t>
      </w:r>
      <w:r w:rsidR="00920C81">
        <w:t xml:space="preserve">It has done this by considering the themes of the sun as a giver, how the sun is portrayed in conjunction with other celestial bodies and how the sun is considered to be a measurer. It found that the three sources </w:t>
      </w:r>
      <w:r w:rsidR="001047E1">
        <w:t xml:space="preserve">all represented the sun under each of the themes in some capacity despite the fact that they were writing with different purposes and different audiences. They each approach the theme from different viewpoints and with their own agendas in mind, yet </w:t>
      </w:r>
      <w:r w:rsidR="00F5356C">
        <w:t>similarities arise when considered in comparison with each other.</w:t>
      </w:r>
    </w:p>
    <w:p w14:paraId="5B57D9CD" w14:textId="2376CA16" w:rsidR="001047E1" w:rsidRDefault="001047E1" w:rsidP="0050631F">
      <w:r>
        <w:t xml:space="preserve">In conclusion, the </w:t>
      </w:r>
      <w:r w:rsidR="00F5356C">
        <w:t xml:space="preserve">review of the three sources in comparison to each other with regards to </w:t>
      </w:r>
      <w:r>
        <w:t>their portrayal of the sun has show</w:t>
      </w:r>
      <w:r w:rsidR="00F5356C">
        <w:t xml:space="preserve">n that </w:t>
      </w:r>
      <w:r>
        <w:t>despite having different methods, coming from different time periods and the authors being of differing backgrounds, they have drawn similar understandings from their observations of the sun</w:t>
      </w:r>
      <w:r w:rsidR="00F5356C">
        <w:t xml:space="preserve"> and it has served to enrich their respective works</w:t>
      </w:r>
      <w:r>
        <w:t xml:space="preserve">. </w:t>
      </w:r>
    </w:p>
    <w:p w14:paraId="09EBD23A" w14:textId="77777777" w:rsidR="00220A0A" w:rsidRDefault="00220A0A" w:rsidP="0050631F"/>
    <w:p w14:paraId="310C068E" w14:textId="38B16E93" w:rsidR="0050631F" w:rsidRDefault="00920C81" w:rsidP="0050631F">
      <w:r>
        <w:t>SUM UP FINDINGS</w:t>
      </w:r>
      <w:r w:rsidR="00467243">
        <w:t xml:space="preserve"> – SIMILARITIES AND DIFFERENCES.</w:t>
      </w:r>
    </w:p>
    <w:p w14:paraId="1A2E8E73" w14:textId="24D342C3" w:rsidR="0090384F" w:rsidRDefault="00E06EAA">
      <w:r>
        <w:t>In conclusion, from the review of these three sources it is clear that CONCLUSION</w:t>
      </w:r>
    </w:p>
    <w:p w14:paraId="57B507BC" w14:textId="6BD307A8" w:rsidR="00467243" w:rsidRDefault="00467243">
      <w:r>
        <w:t xml:space="preserve">LOOK AT ESSAY 1 FROM FOUNDATIONS AS THIS WAS CONSIDERED EXCELLENT. </w:t>
      </w:r>
    </w:p>
    <w:p w14:paraId="7855EAB1" w14:textId="1319825D" w:rsidR="000645F3" w:rsidRDefault="000645F3"/>
    <w:p w14:paraId="5AF485EE" w14:textId="71C2E110" w:rsidR="000645F3" w:rsidRDefault="000645F3" w:rsidP="000645F3"/>
    <w:p w14:paraId="5C410857" w14:textId="45E9D03D" w:rsidR="000645F3" w:rsidRDefault="000645F3" w:rsidP="000645F3"/>
    <w:p w14:paraId="34B951CE" w14:textId="632E0F56" w:rsidR="000645F3" w:rsidRPr="00892268" w:rsidRDefault="000645F3" w:rsidP="000645F3">
      <w:pPr>
        <w:rPr>
          <w:u w:val="single"/>
        </w:rPr>
      </w:pPr>
      <w:r w:rsidRPr="00892268">
        <w:rPr>
          <w:u w:val="single"/>
        </w:rPr>
        <w:t>Bibliography</w:t>
      </w:r>
    </w:p>
    <w:p w14:paraId="0365DEB4" w14:textId="7F415C57" w:rsidR="005C7BED" w:rsidRPr="00904E9B" w:rsidRDefault="005C7BED" w:rsidP="00C754B0">
      <w:pPr>
        <w:spacing w:after="0"/>
        <w:rPr>
          <w:rFonts w:cstheme="minorHAnsi"/>
        </w:rPr>
      </w:pPr>
      <w:r w:rsidRPr="00904E9B">
        <w:rPr>
          <w:rFonts w:cstheme="minorHAnsi"/>
        </w:rPr>
        <w:t xml:space="preserve">Campion, Nicholas, </w:t>
      </w:r>
      <w:r w:rsidRPr="00904E9B">
        <w:rPr>
          <w:rFonts w:cstheme="minorHAnsi"/>
          <w:i/>
        </w:rPr>
        <w:t>A History of Western Astrology Volume I: The Ancient World</w:t>
      </w:r>
      <w:r w:rsidRPr="00904E9B">
        <w:rPr>
          <w:rFonts w:cstheme="minorHAnsi"/>
        </w:rPr>
        <w:t xml:space="preserve"> (New York: Bloomsbury Academic, 2009)</w:t>
      </w:r>
    </w:p>
    <w:p w14:paraId="098069E6" w14:textId="1E6B4C70" w:rsidR="008C7FAB" w:rsidRPr="00904E9B" w:rsidRDefault="008C7FAB" w:rsidP="00C754B0">
      <w:pPr>
        <w:spacing w:after="0"/>
        <w:rPr>
          <w:rFonts w:cstheme="minorHAnsi"/>
        </w:rPr>
      </w:pPr>
    </w:p>
    <w:p w14:paraId="15601ACA" w14:textId="5E587478" w:rsidR="008C7FAB" w:rsidRPr="00904E9B" w:rsidRDefault="008C7FAB" w:rsidP="00C754B0">
      <w:pPr>
        <w:spacing w:after="0"/>
        <w:rPr>
          <w:rFonts w:cstheme="minorHAnsi"/>
        </w:rPr>
      </w:pPr>
      <w:r w:rsidRPr="00904E9B">
        <w:rPr>
          <w:rFonts w:cstheme="minorHAnsi"/>
        </w:rPr>
        <w:t xml:space="preserve">Campion, Nicolas, </w:t>
      </w:r>
      <w:r w:rsidRPr="00904E9B">
        <w:rPr>
          <w:rFonts w:cstheme="minorHAnsi"/>
          <w:i/>
        </w:rPr>
        <w:t>A History of Western Astrology Volume II: The Medieval and Modern Worlds</w:t>
      </w:r>
      <w:r w:rsidRPr="00904E9B">
        <w:rPr>
          <w:rFonts w:cstheme="minorHAnsi"/>
        </w:rPr>
        <w:t>, (New York: Bloomsbury Academic 2009)</w:t>
      </w:r>
    </w:p>
    <w:p w14:paraId="790F3A91" w14:textId="77777777" w:rsidR="00892268" w:rsidRDefault="00892268" w:rsidP="00C754B0">
      <w:pPr>
        <w:spacing w:after="0"/>
      </w:pPr>
    </w:p>
    <w:p w14:paraId="19EF2CC7" w14:textId="71564A3F" w:rsidR="00892268" w:rsidRDefault="00DE5976" w:rsidP="00C754B0">
      <w:pPr>
        <w:spacing w:after="0"/>
      </w:pPr>
      <w:r>
        <w:t xml:space="preserve">Robbins, F.E. (trans), </w:t>
      </w:r>
      <w:r w:rsidRPr="00DE5976">
        <w:rPr>
          <w:i/>
        </w:rPr>
        <w:t>Ptolemy Tetrabiblos</w:t>
      </w:r>
      <w:r>
        <w:t>, (Massachusetts: Harvard University Press, 1940) &lt;</w:t>
      </w:r>
      <w:r w:rsidRPr="00065873">
        <w:t>https://www-loebclassics-com.ezproxy.uwtsd.ac.uk/view/ptolemy-tetrabiblos/1940/pb_LCL435.3.xml?rskey=ViLgdb&amp;result=1</w:t>
      </w:r>
      <w:r>
        <w:t>&gt; [accessed 26 May 2018]</w:t>
      </w:r>
    </w:p>
    <w:p w14:paraId="4C8AB22D" w14:textId="77777777" w:rsidR="00DE5976" w:rsidRDefault="00DE5976" w:rsidP="00C754B0">
      <w:pPr>
        <w:spacing w:after="0"/>
      </w:pPr>
    </w:p>
    <w:p w14:paraId="13B59E49" w14:textId="3772B2B8" w:rsidR="00892268" w:rsidRDefault="00892268" w:rsidP="00C754B0">
      <w:pPr>
        <w:spacing w:after="0"/>
      </w:pPr>
      <w:r>
        <w:t xml:space="preserve">Rudhyar, Dane, </w:t>
      </w:r>
      <w:r w:rsidR="00317893">
        <w:t xml:space="preserve">‘The Song of Light’ in </w:t>
      </w:r>
      <w:r w:rsidRPr="00636B8B">
        <w:rPr>
          <w:i/>
        </w:rPr>
        <w:t>New Mansions for New Men</w:t>
      </w:r>
      <w:r w:rsidR="00317893">
        <w:rPr>
          <w:i/>
        </w:rPr>
        <w:t xml:space="preserve"> </w:t>
      </w:r>
      <w:r w:rsidR="00317893" w:rsidRPr="00317893">
        <w:t>(</w:t>
      </w:r>
      <w:r w:rsidR="00260179">
        <w:t>Pickle Partners Publishing, 2017</w:t>
      </w:r>
      <w:r w:rsidR="00317893" w:rsidRPr="00317893">
        <w:t>)</w:t>
      </w:r>
      <w:r w:rsidR="0064791C" w:rsidRPr="00317893">
        <w:t>,</w:t>
      </w:r>
      <w:r w:rsidR="0064791C">
        <w:t xml:space="preserve"> </w:t>
      </w:r>
      <w:r>
        <w:t>&lt;</w:t>
      </w:r>
      <w:r w:rsidRPr="00975B75">
        <w:t>http://khaldea.com/rudhyar/nmnm/nmnm_sun.php</w:t>
      </w:r>
      <w:r>
        <w:t xml:space="preserve">&gt; </w:t>
      </w:r>
      <w:r w:rsidR="004003BD">
        <w:t xml:space="preserve">(2008), </w:t>
      </w:r>
      <w:r>
        <w:t xml:space="preserve">[accessed 28 May 2018] </w:t>
      </w:r>
    </w:p>
    <w:p w14:paraId="3F70A0D3" w14:textId="5ED6A71A" w:rsidR="009E10F2" w:rsidRDefault="009E10F2" w:rsidP="00C754B0">
      <w:pPr>
        <w:spacing w:after="0"/>
      </w:pPr>
    </w:p>
    <w:p w14:paraId="6BD57239" w14:textId="5CE92AAB" w:rsidR="009E10F2" w:rsidRDefault="009E10F2" w:rsidP="00C754B0">
      <w:pPr>
        <w:spacing w:after="0"/>
      </w:pPr>
      <w:r>
        <w:t>Stahl, W.H. ‘The Ancient Greek Astronomers: A Record of Remarkable Ingenuity’, The Classical Journal, Vol. 47, No. 1 (Oct. 1951), pp. 3-16</w:t>
      </w:r>
    </w:p>
    <w:p w14:paraId="7816C818" w14:textId="1D074917" w:rsidR="00904E9B" w:rsidRDefault="00904E9B" w:rsidP="00C754B0">
      <w:pPr>
        <w:spacing w:after="0"/>
      </w:pPr>
    </w:p>
    <w:p w14:paraId="7B83D840" w14:textId="206201EC" w:rsidR="00904E9B" w:rsidRPr="00904E9B" w:rsidRDefault="00904E9B" w:rsidP="00904E9B">
      <w:pPr>
        <w:spacing w:after="0"/>
        <w:rPr>
          <w:rFonts w:cstheme="minorHAnsi"/>
          <w:color w:val="000000"/>
        </w:rPr>
      </w:pPr>
      <w:r w:rsidRPr="00904E9B">
        <w:rPr>
          <w:rFonts w:cstheme="minorHAnsi"/>
        </w:rPr>
        <w:t>Thomas, Ivor (trans), ‘</w:t>
      </w:r>
      <w:r w:rsidRPr="00904E9B">
        <w:rPr>
          <w:rFonts w:cstheme="minorHAnsi"/>
          <w:color w:val="000000"/>
        </w:rPr>
        <w:t xml:space="preserve">XVI. Aristarchus of Samos’ in </w:t>
      </w:r>
      <w:r w:rsidRPr="00904E9B">
        <w:rPr>
          <w:rFonts w:cstheme="minorHAnsi"/>
          <w:i/>
          <w:iCs/>
          <w:color w:val="000000"/>
        </w:rPr>
        <w:t xml:space="preserve">Greek Mathematical Works Volume II: Aristarchus to Pappus </w:t>
      </w:r>
      <w:r w:rsidRPr="00904E9B">
        <w:rPr>
          <w:rFonts w:cstheme="minorHAnsi"/>
          <w:color w:val="000000"/>
        </w:rPr>
        <w:t>(Harvard University Press 1941) &lt;</w:t>
      </w:r>
      <w:r w:rsidRPr="00DE5976">
        <w:rPr>
          <w:rFonts w:cstheme="minorHAnsi"/>
          <w:color w:val="000000"/>
        </w:rPr>
        <w:t>https://www-loebclassics-com.ezproxy.uwtsd.ac.uk/view/aristarchus_samos-mathematical_works/1941/pb_LCL362.3.xml?result=1&amp;rskey=lF6v07</w:t>
      </w:r>
      <w:r w:rsidRPr="00904E9B">
        <w:rPr>
          <w:rFonts w:cstheme="minorHAnsi"/>
          <w:color w:val="000000"/>
        </w:rPr>
        <w:t>&gt; [accessed 26 May 2018]</w:t>
      </w:r>
    </w:p>
    <w:p w14:paraId="3B8BC14F" w14:textId="77777777" w:rsidR="00904E9B" w:rsidRDefault="00904E9B" w:rsidP="00C754B0">
      <w:pPr>
        <w:spacing w:after="0"/>
      </w:pPr>
    </w:p>
    <w:sectPr w:rsidR="00904E9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AA450" w14:textId="77777777" w:rsidR="00E36F1A" w:rsidRDefault="00E36F1A" w:rsidP="000D2541">
      <w:pPr>
        <w:spacing w:after="0" w:line="240" w:lineRule="auto"/>
      </w:pPr>
      <w:r>
        <w:separator/>
      </w:r>
    </w:p>
  </w:endnote>
  <w:endnote w:type="continuationSeparator" w:id="0">
    <w:p w14:paraId="5B377536" w14:textId="77777777" w:rsidR="00E36F1A" w:rsidRDefault="00E36F1A" w:rsidP="000D2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39473" w14:textId="77777777" w:rsidR="00E36F1A" w:rsidRDefault="00E36F1A" w:rsidP="000D2541">
      <w:pPr>
        <w:spacing w:after="0" w:line="240" w:lineRule="auto"/>
      </w:pPr>
      <w:r>
        <w:separator/>
      </w:r>
    </w:p>
  </w:footnote>
  <w:footnote w:type="continuationSeparator" w:id="0">
    <w:p w14:paraId="2B0F8198" w14:textId="77777777" w:rsidR="00E36F1A" w:rsidRDefault="00E36F1A" w:rsidP="000D2541">
      <w:pPr>
        <w:spacing w:after="0" w:line="240" w:lineRule="auto"/>
      </w:pPr>
      <w:r>
        <w:continuationSeparator/>
      </w:r>
    </w:p>
  </w:footnote>
  <w:footnote w:id="1">
    <w:p w14:paraId="129D77F2" w14:textId="278E71D3" w:rsidR="00DF5FA8" w:rsidRPr="00DF5FA8" w:rsidRDefault="00DF5FA8">
      <w:pPr>
        <w:pStyle w:val="FootnoteText"/>
        <w:rPr>
          <w:rFonts w:cstheme="minorHAnsi"/>
          <w:sz w:val="18"/>
          <w:szCs w:val="18"/>
        </w:rPr>
      </w:pPr>
      <w:r w:rsidRPr="00DF5FA8">
        <w:rPr>
          <w:rStyle w:val="FootnoteReference"/>
          <w:rFonts w:cstheme="minorHAnsi"/>
          <w:sz w:val="18"/>
          <w:szCs w:val="18"/>
        </w:rPr>
        <w:footnoteRef/>
      </w:r>
      <w:r w:rsidRPr="00DF5FA8">
        <w:rPr>
          <w:rFonts w:cstheme="minorHAnsi"/>
          <w:sz w:val="18"/>
          <w:szCs w:val="18"/>
        </w:rPr>
        <w:t xml:space="preserve"> N. Campion, </w:t>
      </w:r>
      <w:r w:rsidRPr="00DF5FA8">
        <w:rPr>
          <w:rFonts w:cstheme="minorHAnsi"/>
          <w:i/>
          <w:sz w:val="18"/>
          <w:szCs w:val="18"/>
        </w:rPr>
        <w:t>A History of Western Astrology Volume I: The Ancient World,</w:t>
      </w:r>
      <w:r w:rsidRPr="00DF5FA8">
        <w:rPr>
          <w:rFonts w:cstheme="minorHAnsi"/>
          <w:sz w:val="18"/>
          <w:szCs w:val="18"/>
        </w:rPr>
        <w:t xml:space="preserve"> (New York: Bloomsbury Academic, 2009), p.208</w:t>
      </w:r>
    </w:p>
  </w:footnote>
  <w:footnote w:id="2">
    <w:p w14:paraId="1EF43B97" w14:textId="62120D3E"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F.E. Robbins (trans), </w:t>
      </w:r>
      <w:r w:rsidRPr="00DF5FA8">
        <w:rPr>
          <w:i/>
          <w:sz w:val="18"/>
          <w:szCs w:val="18"/>
        </w:rPr>
        <w:t>Ptolemy Tetrabiblos</w:t>
      </w:r>
      <w:r w:rsidRPr="00DF5FA8">
        <w:rPr>
          <w:sz w:val="18"/>
          <w:szCs w:val="18"/>
        </w:rPr>
        <w:t>, (Massachusetts: Harvard University Press, 1940) &lt;https://www-loebclassics-com.ezproxy.uwtsd.ac.uk/view/ptolemy-tetrabiblos/1940/pb_LCL435.3.xml?rskey=ViLgdb&amp;result=1&gt; [accessed 26 May 2018]</w:t>
      </w:r>
    </w:p>
  </w:footnote>
  <w:footnote w:id="3">
    <w:p w14:paraId="6E4E55E8" w14:textId="190CC3DA" w:rsidR="00DF5FA8" w:rsidRPr="00DF5FA8" w:rsidRDefault="00DF5FA8">
      <w:pPr>
        <w:pStyle w:val="FootnoteText"/>
        <w:rPr>
          <w:rFonts w:cstheme="minorHAnsi"/>
          <w:sz w:val="18"/>
          <w:szCs w:val="18"/>
        </w:rPr>
      </w:pPr>
      <w:r w:rsidRPr="00DF5FA8">
        <w:rPr>
          <w:rStyle w:val="FootnoteReference"/>
          <w:rFonts w:cstheme="minorHAnsi"/>
          <w:sz w:val="18"/>
          <w:szCs w:val="18"/>
        </w:rPr>
        <w:footnoteRef/>
      </w:r>
      <w:r w:rsidRPr="00DF5FA8">
        <w:rPr>
          <w:rFonts w:cstheme="minorHAnsi"/>
          <w:sz w:val="18"/>
          <w:szCs w:val="18"/>
        </w:rPr>
        <w:t xml:space="preserve"> W.H. Stahl, ‘The Ancient Greek Astronomers: A Remarkable Ingenuity’, </w:t>
      </w:r>
      <w:r w:rsidRPr="00DF5FA8">
        <w:rPr>
          <w:rFonts w:cstheme="minorHAnsi"/>
          <w:i/>
          <w:sz w:val="18"/>
          <w:szCs w:val="18"/>
        </w:rPr>
        <w:t>The Classical Journal</w:t>
      </w:r>
      <w:r w:rsidRPr="00DF5FA8">
        <w:rPr>
          <w:rFonts w:cstheme="minorHAnsi"/>
          <w:sz w:val="18"/>
          <w:szCs w:val="18"/>
        </w:rPr>
        <w:t>, Vol. 47, No. 1 (1951), p. 9</w:t>
      </w:r>
    </w:p>
  </w:footnote>
  <w:footnote w:id="4">
    <w:p w14:paraId="6D6C9ED0" w14:textId="2FEDB4A9"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w:t>
      </w:r>
      <w:r w:rsidRPr="00DF5FA8">
        <w:rPr>
          <w:rFonts w:cstheme="minorHAnsi"/>
          <w:sz w:val="18"/>
          <w:szCs w:val="18"/>
        </w:rPr>
        <w:t>I Thomas (trans), ‘</w:t>
      </w:r>
      <w:r w:rsidRPr="00DF5FA8">
        <w:rPr>
          <w:rFonts w:cstheme="minorHAnsi"/>
          <w:color w:val="000000"/>
          <w:sz w:val="18"/>
          <w:szCs w:val="18"/>
        </w:rPr>
        <w:t xml:space="preserve">XVI. Aristarchus of Samos’ in </w:t>
      </w:r>
      <w:r w:rsidRPr="00DF5FA8">
        <w:rPr>
          <w:rFonts w:cstheme="minorHAnsi"/>
          <w:i/>
          <w:iCs/>
          <w:color w:val="000000"/>
          <w:sz w:val="18"/>
          <w:szCs w:val="18"/>
        </w:rPr>
        <w:t>Greek Mathematical Works Volume II: Aristarchus to Pappus</w:t>
      </w:r>
      <w:r w:rsidRPr="00DF5FA8">
        <w:rPr>
          <w:rFonts w:cstheme="minorHAnsi"/>
          <w:color w:val="000000"/>
          <w:sz w:val="18"/>
          <w:szCs w:val="18"/>
        </w:rPr>
        <w:t xml:space="preserve"> (Massachusetts: Harvard University Press, 1941) &lt;https://www-loebclassics-com.ezproxy.uwtsd.ac.uk/view/aristarchus_samos-mathematical_works/1941/pb_LCL362.3.xml?result=1&amp;rskey=lF6v07&gt; [accessed 26 May 2018</w:t>
      </w:r>
    </w:p>
  </w:footnote>
  <w:footnote w:id="5">
    <w:p w14:paraId="34F4E3BC" w14:textId="16ED5141" w:rsidR="00DF5FA8" w:rsidRPr="00DF5FA8" w:rsidRDefault="00DF5FA8">
      <w:pPr>
        <w:pStyle w:val="FootnoteText"/>
        <w:rPr>
          <w:rFonts w:cstheme="minorHAnsi"/>
          <w:sz w:val="18"/>
          <w:szCs w:val="18"/>
        </w:rPr>
      </w:pPr>
      <w:r w:rsidRPr="00DF5FA8">
        <w:rPr>
          <w:rStyle w:val="FootnoteReference"/>
          <w:rFonts w:cstheme="minorHAnsi"/>
          <w:sz w:val="18"/>
          <w:szCs w:val="18"/>
        </w:rPr>
        <w:footnoteRef/>
      </w:r>
      <w:r w:rsidRPr="00DF5FA8">
        <w:rPr>
          <w:rFonts w:cstheme="minorHAnsi"/>
          <w:sz w:val="18"/>
          <w:szCs w:val="18"/>
        </w:rPr>
        <w:t xml:space="preserve"> N. Campion, </w:t>
      </w:r>
      <w:r w:rsidRPr="00DF5FA8">
        <w:rPr>
          <w:rFonts w:cstheme="minorHAnsi"/>
          <w:i/>
          <w:sz w:val="18"/>
          <w:szCs w:val="18"/>
        </w:rPr>
        <w:t>A History of Western Astrology Volume II: The Medieval and Modern Worlds</w:t>
      </w:r>
      <w:r w:rsidRPr="00DF5FA8">
        <w:rPr>
          <w:rFonts w:cstheme="minorHAnsi"/>
          <w:sz w:val="18"/>
          <w:szCs w:val="18"/>
        </w:rPr>
        <w:t>, (New York: Bloomsbury Academic 2009), p.256</w:t>
      </w:r>
    </w:p>
  </w:footnote>
  <w:footnote w:id="6">
    <w:p w14:paraId="7D129AAB" w14:textId="4E53BB83"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F.E. Robbins (trans), </w:t>
      </w:r>
      <w:r w:rsidRPr="00DF5FA8">
        <w:rPr>
          <w:i/>
          <w:sz w:val="18"/>
          <w:szCs w:val="18"/>
        </w:rPr>
        <w:t>Ptolemy Tetrabiblos</w:t>
      </w:r>
      <w:r w:rsidRPr="00DF5FA8">
        <w:rPr>
          <w:sz w:val="18"/>
          <w:szCs w:val="18"/>
        </w:rPr>
        <w:t>, p. 11</w:t>
      </w:r>
    </w:p>
  </w:footnote>
  <w:footnote w:id="7">
    <w:p w14:paraId="5F3B335C" w14:textId="2695386C"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F.E. Robbins (trans), </w:t>
      </w:r>
      <w:r w:rsidRPr="00DF5FA8">
        <w:rPr>
          <w:i/>
          <w:sz w:val="18"/>
          <w:szCs w:val="18"/>
        </w:rPr>
        <w:t>Ptolemy Tetrabiblos</w:t>
      </w:r>
      <w:r w:rsidRPr="00DF5FA8">
        <w:rPr>
          <w:sz w:val="18"/>
          <w:szCs w:val="18"/>
        </w:rPr>
        <w:t>, p. 35</w:t>
      </w:r>
    </w:p>
  </w:footnote>
  <w:footnote w:id="8">
    <w:p w14:paraId="50529720" w14:textId="7C6DCD7A"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F.E. Robbins (trans), </w:t>
      </w:r>
      <w:r w:rsidRPr="00DF5FA8">
        <w:rPr>
          <w:i/>
          <w:sz w:val="18"/>
          <w:szCs w:val="18"/>
        </w:rPr>
        <w:t>Ptolemy Tetrabiblos</w:t>
      </w:r>
      <w:r w:rsidRPr="00DF5FA8">
        <w:rPr>
          <w:sz w:val="18"/>
          <w:szCs w:val="18"/>
        </w:rPr>
        <w:t>, p. 59</w:t>
      </w:r>
    </w:p>
  </w:footnote>
  <w:footnote w:id="9">
    <w:p w14:paraId="4DFC068F" w14:textId="2A3BD34D" w:rsidR="00DF5FA8" w:rsidRDefault="00DF5FA8">
      <w:pPr>
        <w:pStyle w:val="FootnoteText"/>
      </w:pPr>
      <w:r w:rsidRPr="00DF5FA8">
        <w:rPr>
          <w:rStyle w:val="FootnoteReference"/>
          <w:sz w:val="18"/>
          <w:szCs w:val="18"/>
        </w:rPr>
        <w:footnoteRef/>
      </w:r>
      <w:r w:rsidRPr="00DF5FA8">
        <w:rPr>
          <w:sz w:val="18"/>
          <w:szCs w:val="18"/>
        </w:rPr>
        <w:t xml:space="preserve"> F.E. Robbins (trans), </w:t>
      </w:r>
      <w:r w:rsidRPr="00DF5FA8">
        <w:rPr>
          <w:i/>
          <w:sz w:val="18"/>
          <w:szCs w:val="18"/>
        </w:rPr>
        <w:t>Ptolemy Tetrabiblos</w:t>
      </w:r>
      <w:r w:rsidRPr="00DF5FA8">
        <w:rPr>
          <w:sz w:val="18"/>
          <w:szCs w:val="18"/>
        </w:rPr>
        <w:t>, p. 35</w:t>
      </w:r>
    </w:p>
  </w:footnote>
  <w:footnote w:id="10">
    <w:p w14:paraId="5F30F54A" w14:textId="0C5113F9" w:rsidR="00DF5FA8" w:rsidRPr="00DF5FA8" w:rsidRDefault="00DF5FA8">
      <w:pPr>
        <w:pStyle w:val="FootnoteText"/>
        <w:rPr>
          <w:sz w:val="18"/>
          <w:szCs w:val="18"/>
        </w:rPr>
      </w:pPr>
      <w:r w:rsidRPr="00DF5FA8">
        <w:rPr>
          <w:rStyle w:val="FootnoteReference"/>
          <w:rFonts w:cstheme="minorHAnsi"/>
          <w:sz w:val="18"/>
          <w:szCs w:val="18"/>
        </w:rPr>
        <w:footnoteRef/>
      </w:r>
      <w:r w:rsidRPr="00DF5FA8">
        <w:rPr>
          <w:rFonts w:cstheme="minorHAnsi"/>
          <w:sz w:val="18"/>
          <w:szCs w:val="18"/>
        </w:rPr>
        <w:t xml:space="preserve"> I Thomas (trans), ‘</w:t>
      </w:r>
      <w:r w:rsidRPr="00DF5FA8">
        <w:rPr>
          <w:rFonts w:cstheme="minorHAnsi"/>
          <w:color w:val="000000"/>
          <w:sz w:val="18"/>
          <w:szCs w:val="18"/>
        </w:rPr>
        <w:t xml:space="preserve">XVI. Aristarchus of Samos’, p.5 </w:t>
      </w:r>
    </w:p>
  </w:footnote>
  <w:footnote w:id="11">
    <w:p w14:paraId="02950E07" w14:textId="4CB82ED4" w:rsidR="00DF5FA8" w:rsidRPr="00DF5FA8" w:rsidRDefault="00DF5FA8" w:rsidP="00260179">
      <w:pPr>
        <w:spacing w:after="0" w:line="240" w:lineRule="auto"/>
        <w:rPr>
          <w:sz w:val="18"/>
          <w:szCs w:val="18"/>
        </w:rPr>
      </w:pPr>
      <w:r w:rsidRPr="00DF5FA8">
        <w:rPr>
          <w:rStyle w:val="FootnoteReference"/>
          <w:sz w:val="18"/>
          <w:szCs w:val="18"/>
        </w:rPr>
        <w:footnoteRef/>
      </w:r>
      <w:r w:rsidRPr="00DF5FA8">
        <w:rPr>
          <w:sz w:val="18"/>
          <w:szCs w:val="18"/>
        </w:rPr>
        <w:t xml:space="preserve"> D Rudhyar, ‘The Song of Light’ in </w:t>
      </w:r>
      <w:r w:rsidRPr="00DF5FA8">
        <w:rPr>
          <w:i/>
          <w:sz w:val="18"/>
          <w:szCs w:val="18"/>
        </w:rPr>
        <w:t xml:space="preserve">New Mansions for New Men </w:t>
      </w:r>
      <w:r w:rsidRPr="00DF5FA8">
        <w:rPr>
          <w:sz w:val="18"/>
          <w:szCs w:val="18"/>
        </w:rPr>
        <w:t xml:space="preserve">(Pickle Partners Publishing, 2017), &lt;http://khaldea.com/rudhyar/nmnm/nmnm_sun.php&gt; (2008), [accessed 28 May 2018] </w:t>
      </w:r>
    </w:p>
  </w:footnote>
  <w:footnote w:id="12">
    <w:p w14:paraId="56A1D5E6" w14:textId="1E6063C6"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D Rudhyar, ‘The Song of Light’, &lt;http://khaldea.com/rudhyar/nmnm/nmnm_sun.php&gt; (2008), [accessed 28 May 2018]</w:t>
      </w:r>
    </w:p>
  </w:footnote>
  <w:footnote w:id="13">
    <w:p w14:paraId="0299314A" w14:textId="013F7DC2"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F.E. Robbins (trans), </w:t>
      </w:r>
      <w:r w:rsidRPr="00DF5FA8">
        <w:rPr>
          <w:i/>
          <w:sz w:val="18"/>
          <w:szCs w:val="18"/>
        </w:rPr>
        <w:t>Ptolemy Tetrabiblos</w:t>
      </w:r>
      <w:r w:rsidRPr="00DF5FA8">
        <w:rPr>
          <w:sz w:val="18"/>
          <w:szCs w:val="18"/>
        </w:rPr>
        <w:t>, p. 3</w:t>
      </w:r>
    </w:p>
  </w:footnote>
  <w:footnote w:id="14">
    <w:p w14:paraId="2C766618" w14:textId="4655FC98"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F.E. Robbins (trans), </w:t>
      </w:r>
      <w:r w:rsidRPr="00DF5FA8">
        <w:rPr>
          <w:i/>
          <w:sz w:val="18"/>
          <w:szCs w:val="18"/>
        </w:rPr>
        <w:t>Ptolemy Tetrabiblos</w:t>
      </w:r>
      <w:r w:rsidRPr="00DF5FA8">
        <w:rPr>
          <w:sz w:val="18"/>
          <w:szCs w:val="18"/>
        </w:rPr>
        <w:t>, p. 9</w:t>
      </w:r>
    </w:p>
  </w:footnote>
  <w:footnote w:id="15">
    <w:p w14:paraId="00F681EA" w14:textId="627D2EA4"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F.E. Robbins (trans), </w:t>
      </w:r>
      <w:r w:rsidRPr="00DF5FA8">
        <w:rPr>
          <w:i/>
          <w:sz w:val="18"/>
          <w:szCs w:val="18"/>
        </w:rPr>
        <w:t>Ptolemy Tetrabiblos</w:t>
      </w:r>
      <w:r w:rsidRPr="00DF5FA8">
        <w:rPr>
          <w:sz w:val="18"/>
          <w:szCs w:val="18"/>
        </w:rPr>
        <w:t>, p. 41</w:t>
      </w:r>
    </w:p>
  </w:footnote>
  <w:footnote w:id="16">
    <w:p w14:paraId="0C950A21" w14:textId="1C772503" w:rsidR="00DF5FA8" w:rsidRPr="00DF5FA8" w:rsidRDefault="00DF5FA8" w:rsidP="00260179">
      <w:pPr>
        <w:pStyle w:val="FootnoteText"/>
        <w:rPr>
          <w:sz w:val="18"/>
          <w:szCs w:val="18"/>
        </w:rPr>
      </w:pPr>
      <w:r w:rsidRPr="00DF5FA8">
        <w:rPr>
          <w:rStyle w:val="FootnoteReference"/>
          <w:sz w:val="18"/>
          <w:szCs w:val="18"/>
        </w:rPr>
        <w:footnoteRef/>
      </w:r>
      <w:r w:rsidRPr="00DF5FA8">
        <w:rPr>
          <w:sz w:val="18"/>
          <w:szCs w:val="18"/>
        </w:rPr>
        <w:t xml:space="preserve"> </w:t>
      </w:r>
      <w:r w:rsidRPr="00DF5FA8">
        <w:rPr>
          <w:rFonts w:cstheme="minorHAnsi"/>
          <w:sz w:val="18"/>
          <w:szCs w:val="18"/>
        </w:rPr>
        <w:t>I Thomas (trans), ‘</w:t>
      </w:r>
      <w:r w:rsidRPr="00DF5FA8">
        <w:rPr>
          <w:rFonts w:cstheme="minorHAnsi"/>
          <w:color w:val="000000"/>
          <w:sz w:val="18"/>
          <w:szCs w:val="18"/>
        </w:rPr>
        <w:t>XVI. Aristarchus of Samos’, p.7</w:t>
      </w:r>
    </w:p>
  </w:footnote>
  <w:footnote w:id="17">
    <w:p w14:paraId="66100E98" w14:textId="33E76437" w:rsidR="00DF5FA8" w:rsidRPr="0063557A" w:rsidRDefault="00DF5FA8" w:rsidP="00260179">
      <w:pPr>
        <w:pStyle w:val="FootnoteText"/>
        <w:rPr>
          <w:sz w:val="18"/>
          <w:szCs w:val="18"/>
        </w:rPr>
      </w:pPr>
      <w:r w:rsidRPr="00DF5FA8">
        <w:rPr>
          <w:rStyle w:val="FootnoteReference"/>
          <w:sz w:val="18"/>
          <w:szCs w:val="18"/>
        </w:rPr>
        <w:footnoteRef/>
      </w:r>
      <w:r w:rsidRPr="00DF5FA8">
        <w:rPr>
          <w:sz w:val="18"/>
          <w:szCs w:val="18"/>
        </w:rPr>
        <w:t xml:space="preserve"> </w:t>
      </w:r>
      <w:r w:rsidRPr="00DF5FA8">
        <w:rPr>
          <w:rFonts w:cstheme="minorHAnsi"/>
          <w:sz w:val="18"/>
          <w:szCs w:val="18"/>
        </w:rPr>
        <w:t>I Thomas (trans), ‘</w:t>
      </w:r>
      <w:r w:rsidRPr="00DF5FA8">
        <w:rPr>
          <w:rFonts w:cstheme="minorHAnsi"/>
          <w:color w:val="000000"/>
          <w:sz w:val="18"/>
          <w:szCs w:val="18"/>
        </w:rPr>
        <w:t>XVI. Aristarchus of Samos’, p.15</w:t>
      </w:r>
      <w:r w:rsidRPr="0063557A">
        <w:rPr>
          <w:rFonts w:cstheme="minorHAnsi"/>
          <w:color w:val="000000"/>
          <w:sz w:val="18"/>
          <w:szCs w:val="18"/>
        </w:rPr>
        <w:t xml:space="preserve"> </w:t>
      </w:r>
    </w:p>
  </w:footnote>
  <w:footnote w:id="18">
    <w:p w14:paraId="683F1C33" w14:textId="429CA91D"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D Rudhyar, ‘The Song of Light’, &lt;http://khaldea.com/rudhyar/nmnm/nmnm_sun.php&gt; (2008), [accessed 28 May 2018]</w:t>
      </w:r>
    </w:p>
  </w:footnote>
  <w:footnote w:id="19">
    <w:p w14:paraId="043422BE" w14:textId="5D8DDA91"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F.E. Robbins (trans), </w:t>
      </w:r>
      <w:r w:rsidRPr="00DF5FA8">
        <w:rPr>
          <w:i/>
          <w:sz w:val="18"/>
          <w:szCs w:val="18"/>
        </w:rPr>
        <w:t>Ptolemy Tetrabiblos</w:t>
      </w:r>
      <w:r w:rsidRPr="00DF5FA8">
        <w:rPr>
          <w:sz w:val="18"/>
          <w:szCs w:val="18"/>
        </w:rPr>
        <w:t>, p. 11</w:t>
      </w:r>
    </w:p>
  </w:footnote>
  <w:footnote w:id="20">
    <w:p w14:paraId="26A12ECF" w14:textId="10310341"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F.E. Robbins (trans), </w:t>
      </w:r>
      <w:r w:rsidRPr="00DF5FA8">
        <w:rPr>
          <w:i/>
          <w:sz w:val="18"/>
          <w:szCs w:val="18"/>
        </w:rPr>
        <w:t>Ptolemy Tetrabiblos</w:t>
      </w:r>
      <w:r w:rsidRPr="00DF5FA8">
        <w:rPr>
          <w:sz w:val="18"/>
          <w:szCs w:val="18"/>
        </w:rPr>
        <w:t>, p. 73</w:t>
      </w:r>
    </w:p>
  </w:footnote>
  <w:footnote w:id="21">
    <w:p w14:paraId="763FA174" w14:textId="27F74253" w:rsidR="00DF5FA8" w:rsidRPr="00DF5FA8" w:rsidRDefault="00DF5FA8">
      <w:pPr>
        <w:pStyle w:val="FootnoteText"/>
        <w:rPr>
          <w:sz w:val="18"/>
          <w:szCs w:val="18"/>
        </w:rPr>
      </w:pPr>
      <w:r w:rsidRPr="00DF5FA8">
        <w:rPr>
          <w:rStyle w:val="FootnoteReference"/>
          <w:sz w:val="18"/>
          <w:szCs w:val="18"/>
        </w:rPr>
        <w:footnoteRef/>
      </w:r>
      <w:r w:rsidRPr="00DF5FA8">
        <w:rPr>
          <w:sz w:val="18"/>
          <w:szCs w:val="18"/>
        </w:rPr>
        <w:t xml:space="preserve"> F.E. Robbins (trans), </w:t>
      </w:r>
      <w:r w:rsidRPr="00DF5FA8">
        <w:rPr>
          <w:i/>
          <w:sz w:val="18"/>
          <w:szCs w:val="18"/>
        </w:rPr>
        <w:t>Ptolemy Tetrabiblos</w:t>
      </w:r>
      <w:r w:rsidRPr="00DF5FA8">
        <w:rPr>
          <w:sz w:val="18"/>
          <w:szCs w:val="18"/>
        </w:rPr>
        <w:t>, p. 455</w:t>
      </w:r>
    </w:p>
  </w:footnote>
  <w:footnote w:id="22">
    <w:p w14:paraId="6634F8A3" w14:textId="1C39616C" w:rsidR="00DF5FA8" w:rsidRDefault="00DF5FA8" w:rsidP="00260179">
      <w:pPr>
        <w:pStyle w:val="FootnoteText"/>
      </w:pPr>
      <w:r w:rsidRPr="00DF5FA8">
        <w:rPr>
          <w:rStyle w:val="FootnoteReference"/>
          <w:sz w:val="18"/>
          <w:szCs w:val="18"/>
        </w:rPr>
        <w:footnoteRef/>
      </w:r>
      <w:r w:rsidRPr="00DF5FA8">
        <w:rPr>
          <w:sz w:val="18"/>
          <w:szCs w:val="18"/>
        </w:rPr>
        <w:t xml:space="preserve"> </w:t>
      </w:r>
      <w:r w:rsidRPr="00DF5FA8">
        <w:rPr>
          <w:rFonts w:cstheme="minorHAnsi"/>
          <w:sz w:val="18"/>
          <w:szCs w:val="18"/>
        </w:rPr>
        <w:t>I Thomas (trans), ‘</w:t>
      </w:r>
      <w:r w:rsidRPr="00DF5FA8">
        <w:rPr>
          <w:rFonts w:cstheme="minorHAnsi"/>
          <w:color w:val="000000"/>
          <w:sz w:val="18"/>
          <w:szCs w:val="18"/>
        </w:rPr>
        <w:t>XVI. Aristarchus of Samos’, p.7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B243A" w14:textId="3DBA50BA" w:rsidR="00DF5FA8" w:rsidRDefault="00DF5FA8">
    <w:pPr>
      <w:pStyle w:val="Header"/>
    </w:pPr>
    <w:r>
      <w:t>Leanne Crowley 1710847</w:t>
    </w:r>
    <w:r>
      <w:tab/>
    </w:r>
    <w:r>
      <w:tab/>
    </w:r>
    <w:r>
      <w:fldChar w:fldCharType="begin"/>
    </w:r>
    <w:r>
      <w:instrText xml:space="preserve"> PAGE   \* MERGEFORMAT </w:instrText>
    </w:r>
    <w:r>
      <w:fldChar w:fldCharType="separate"/>
    </w:r>
    <w:r>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541"/>
    <w:rsid w:val="00001AE8"/>
    <w:rsid w:val="0001197E"/>
    <w:rsid w:val="000257B6"/>
    <w:rsid w:val="000645F3"/>
    <w:rsid w:val="00065873"/>
    <w:rsid w:val="000D2541"/>
    <w:rsid w:val="001047E1"/>
    <w:rsid w:val="001575C3"/>
    <w:rsid w:val="00161CB1"/>
    <w:rsid w:val="001F575A"/>
    <w:rsid w:val="00204B68"/>
    <w:rsid w:val="00220A0A"/>
    <w:rsid w:val="002448B8"/>
    <w:rsid w:val="002451C3"/>
    <w:rsid w:val="00260179"/>
    <w:rsid w:val="002F3520"/>
    <w:rsid w:val="00317039"/>
    <w:rsid w:val="00317893"/>
    <w:rsid w:val="003272F5"/>
    <w:rsid w:val="00370727"/>
    <w:rsid w:val="003A6E33"/>
    <w:rsid w:val="003B2B12"/>
    <w:rsid w:val="003C11DA"/>
    <w:rsid w:val="003C5C07"/>
    <w:rsid w:val="004003BD"/>
    <w:rsid w:val="00415C4D"/>
    <w:rsid w:val="00435134"/>
    <w:rsid w:val="0044570D"/>
    <w:rsid w:val="0045207F"/>
    <w:rsid w:val="00455A2F"/>
    <w:rsid w:val="00461EC6"/>
    <w:rsid w:val="00467243"/>
    <w:rsid w:val="004F1AAB"/>
    <w:rsid w:val="0050631F"/>
    <w:rsid w:val="005A3494"/>
    <w:rsid w:val="005C695A"/>
    <w:rsid w:val="005C7BED"/>
    <w:rsid w:val="00602374"/>
    <w:rsid w:val="0063557A"/>
    <w:rsid w:val="00636B8B"/>
    <w:rsid w:val="0064791C"/>
    <w:rsid w:val="00660E1F"/>
    <w:rsid w:val="006A0A3D"/>
    <w:rsid w:val="006C2CA8"/>
    <w:rsid w:val="006D08D2"/>
    <w:rsid w:val="006E0D74"/>
    <w:rsid w:val="00746843"/>
    <w:rsid w:val="007C3C70"/>
    <w:rsid w:val="007D6044"/>
    <w:rsid w:val="007E0EA0"/>
    <w:rsid w:val="007F5D8A"/>
    <w:rsid w:val="008001FE"/>
    <w:rsid w:val="0083247A"/>
    <w:rsid w:val="008403DE"/>
    <w:rsid w:val="0084347C"/>
    <w:rsid w:val="00892268"/>
    <w:rsid w:val="008C7FAB"/>
    <w:rsid w:val="0090384F"/>
    <w:rsid w:val="00904E9B"/>
    <w:rsid w:val="00920C81"/>
    <w:rsid w:val="00974B6C"/>
    <w:rsid w:val="00975B75"/>
    <w:rsid w:val="009B5825"/>
    <w:rsid w:val="009E10F2"/>
    <w:rsid w:val="009E2015"/>
    <w:rsid w:val="00A029A4"/>
    <w:rsid w:val="00A47693"/>
    <w:rsid w:val="00A70202"/>
    <w:rsid w:val="00A94643"/>
    <w:rsid w:val="00B04C23"/>
    <w:rsid w:val="00B05F21"/>
    <w:rsid w:val="00B54587"/>
    <w:rsid w:val="00B62A70"/>
    <w:rsid w:val="00B82317"/>
    <w:rsid w:val="00B911D8"/>
    <w:rsid w:val="00BF2962"/>
    <w:rsid w:val="00C04A23"/>
    <w:rsid w:val="00C33D56"/>
    <w:rsid w:val="00C754B0"/>
    <w:rsid w:val="00C82C7D"/>
    <w:rsid w:val="00CA234B"/>
    <w:rsid w:val="00D70103"/>
    <w:rsid w:val="00D96DA4"/>
    <w:rsid w:val="00DE5976"/>
    <w:rsid w:val="00DE7F56"/>
    <w:rsid w:val="00DF5FA8"/>
    <w:rsid w:val="00E06EAA"/>
    <w:rsid w:val="00E110AC"/>
    <w:rsid w:val="00E149BA"/>
    <w:rsid w:val="00E177D1"/>
    <w:rsid w:val="00E22D0E"/>
    <w:rsid w:val="00E36F1A"/>
    <w:rsid w:val="00E57F67"/>
    <w:rsid w:val="00EC13DF"/>
    <w:rsid w:val="00EF16C5"/>
    <w:rsid w:val="00EF3938"/>
    <w:rsid w:val="00F059DA"/>
    <w:rsid w:val="00F11837"/>
    <w:rsid w:val="00F47665"/>
    <w:rsid w:val="00F5356C"/>
    <w:rsid w:val="00FA10AC"/>
    <w:rsid w:val="00FB35ED"/>
    <w:rsid w:val="00FC7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C0ABDE"/>
  <w15:chartTrackingRefBased/>
  <w15:docId w15:val="{FC706D9A-9C1B-4FB8-9D3A-6B2FAAB86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25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541"/>
  </w:style>
  <w:style w:type="paragraph" w:styleId="Footer">
    <w:name w:val="footer"/>
    <w:basedOn w:val="Normal"/>
    <w:link w:val="FooterChar"/>
    <w:uiPriority w:val="99"/>
    <w:unhideWhenUsed/>
    <w:rsid w:val="000D25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541"/>
  </w:style>
  <w:style w:type="paragraph" w:styleId="FootnoteText">
    <w:name w:val="footnote text"/>
    <w:basedOn w:val="Normal"/>
    <w:link w:val="FootnoteTextChar"/>
    <w:uiPriority w:val="99"/>
    <w:semiHidden/>
    <w:unhideWhenUsed/>
    <w:rsid w:val="000645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45F3"/>
    <w:rPr>
      <w:sz w:val="20"/>
      <w:szCs w:val="20"/>
    </w:rPr>
  </w:style>
  <w:style w:type="character" w:styleId="FootnoteReference">
    <w:name w:val="footnote reference"/>
    <w:basedOn w:val="DefaultParagraphFont"/>
    <w:uiPriority w:val="99"/>
    <w:semiHidden/>
    <w:unhideWhenUsed/>
    <w:rsid w:val="000645F3"/>
    <w:rPr>
      <w:vertAlign w:val="superscript"/>
    </w:rPr>
  </w:style>
  <w:style w:type="character" w:styleId="Hyperlink">
    <w:name w:val="Hyperlink"/>
    <w:basedOn w:val="DefaultParagraphFont"/>
    <w:uiPriority w:val="99"/>
    <w:unhideWhenUsed/>
    <w:rsid w:val="00892268"/>
    <w:rPr>
      <w:color w:val="0563C1" w:themeColor="hyperlink"/>
      <w:u w:val="single"/>
    </w:rPr>
  </w:style>
  <w:style w:type="character" w:styleId="UnresolvedMention">
    <w:name w:val="Unresolved Mention"/>
    <w:basedOn w:val="DefaultParagraphFont"/>
    <w:uiPriority w:val="99"/>
    <w:semiHidden/>
    <w:unhideWhenUsed/>
    <w:rsid w:val="008922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7CE40-917B-4F09-877B-85CD69929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4</Pages>
  <Words>1602</Words>
  <Characters>9134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M Crowley</dc:creator>
  <cp:keywords/>
  <dc:description/>
  <cp:lastModifiedBy>Shaun M Crowley</cp:lastModifiedBy>
  <cp:revision>87</cp:revision>
  <dcterms:created xsi:type="dcterms:W3CDTF">2018-06-01T09:48:00Z</dcterms:created>
  <dcterms:modified xsi:type="dcterms:W3CDTF">2018-06-01T14:42:00Z</dcterms:modified>
</cp:coreProperties>
</file>