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77011" w14:textId="77777777" w:rsidR="004311F1" w:rsidRDefault="004311F1" w:rsidP="004311F1">
      <w:bookmarkStart w:id="0" w:name="_7pxx6oc2gcsc" w:colFirst="0" w:colLast="0"/>
      <w:bookmarkEnd w:id="0"/>
    </w:p>
    <w:p w14:paraId="6B05EA1C" w14:textId="77777777" w:rsidR="004311F1" w:rsidRDefault="004311F1" w:rsidP="004311F1">
      <w:pPr>
        <w:jc w:val="center"/>
      </w:pPr>
    </w:p>
    <w:p w14:paraId="743C5186" w14:textId="77777777" w:rsidR="004311F1" w:rsidRDefault="004311F1" w:rsidP="004311F1">
      <w:pPr>
        <w:jc w:val="center"/>
      </w:pPr>
    </w:p>
    <w:p w14:paraId="1913664A" w14:textId="5CF31368" w:rsidR="004311F1" w:rsidRPr="004311F1" w:rsidRDefault="004311F1" w:rsidP="004311F1">
      <w:pPr>
        <w:jc w:val="center"/>
      </w:pPr>
      <w:r>
        <w:rPr>
          <w:noProof/>
        </w:rPr>
        <w:drawing>
          <wp:inline distT="0" distB="0" distL="0" distR="0" wp14:anchorId="4DFF5B67" wp14:editId="42A6D133">
            <wp:extent cx="6167368" cy="2941983"/>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4662" cy="2978854"/>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4F22F62F" wp14:editId="0B4B45E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5B47AC"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1DCE069D" w14:textId="77777777" w:rsidR="004311F1" w:rsidRDefault="004311F1" w:rsidP="004311F1">
      <w:pPr>
        <w:spacing w:line="600" w:lineRule="auto"/>
        <w:rPr>
          <w:b/>
        </w:rPr>
      </w:pPr>
    </w:p>
    <w:p w14:paraId="03E07C85" w14:textId="77777777" w:rsidR="004311F1" w:rsidRDefault="004311F1" w:rsidP="004311F1">
      <w:pPr>
        <w:spacing w:line="600" w:lineRule="auto"/>
        <w:jc w:val="center"/>
        <w:rPr>
          <w:b/>
        </w:rPr>
      </w:pPr>
    </w:p>
    <w:p w14:paraId="5615B8BB" w14:textId="5BFB80E8" w:rsidR="004311F1" w:rsidRPr="005F52FA" w:rsidRDefault="004311F1" w:rsidP="004311F1">
      <w:pPr>
        <w:spacing w:line="600" w:lineRule="auto"/>
        <w:jc w:val="center"/>
        <w:rPr>
          <w:rFonts w:ascii="Times New Roman" w:hAnsi="Times New Roman" w:cs="Times New Roman"/>
          <w:b/>
          <w:sz w:val="32"/>
          <w:szCs w:val="32"/>
        </w:rPr>
      </w:pPr>
      <w:r>
        <w:rPr>
          <w:rFonts w:ascii="Times New Roman" w:hAnsi="Times New Roman" w:cs="Times New Roman"/>
          <w:b/>
          <w:sz w:val="32"/>
          <w:szCs w:val="32"/>
        </w:rPr>
        <w:t xml:space="preserve">University of Glasgow: </w:t>
      </w:r>
      <w:r w:rsidRPr="004311F1">
        <w:rPr>
          <w:rFonts w:ascii="Times New Roman" w:hAnsi="Times New Roman" w:cs="Times New Roman"/>
          <w:b/>
          <w:sz w:val="32"/>
          <w:szCs w:val="32"/>
        </w:rPr>
        <w:t>A Critical Analysis of a Learning and Development Plan</w:t>
      </w:r>
      <w:r>
        <w:rPr>
          <w:rFonts w:ascii="Times New Roman" w:hAnsi="Times New Roman" w:cs="Times New Roman"/>
          <w:b/>
          <w:sz w:val="32"/>
          <w:szCs w:val="32"/>
        </w:rPr>
        <w:t xml:space="preserve"> </w:t>
      </w:r>
    </w:p>
    <w:p w14:paraId="1A5CC38A" w14:textId="77777777" w:rsidR="004311F1" w:rsidRDefault="004311F1" w:rsidP="004311F1">
      <w:pPr>
        <w:jc w:val="center"/>
        <w:rPr>
          <w:rFonts w:ascii="Times New Roman" w:hAnsi="Times New Roman" w:cs="Times New Roman"/>
          <w:bCs/>
          <w:sz w:val="24"/>
          <w:szCs w:val="24"/>
        </w:rPr>
      </w:pPr>
    </w:p>
    <w:p w14:paraId="73C6444B" w14:textId="7A5794F2" w:rsidR="004311F1" w:rsidRDefault="004311F1" w:rsidP="004311F1">
      <w:pPr>
        <w:jc w:val="center"/>
        <w:rPr>
          <w:rFonts w:ascii="Times New Roman" w:hAnsi="Times New Roman" w:cs="Times New Roman"/>
          <w:bCs/>
          <w:sz w:val="24"/>
          <w:szCs w:val="24"/>
        </w:rPr>
      </w:pPr>
    </w:p>
    <w:p w14:paraId="1836F62C" w14:textId="77777777" w:rsidR="004311F1" w:rsidRPr="005F52FA" w:rsidRDefault="004311F1" w:rsidP="004311F1">
      <w:pPr>
        <w:spacing w:line="600" w:lineRule="auto"/>
        <w:jc w:val="right"/>
        <w:rPr>
          <w:rFonts w:ascii="Times New Roman" w:hAnsi="Times New Roman" w:cs="Times New Roman"/>
          <w:bCs/>
          <w:sz w:val="28"/>
          <w:szCs w:val="28"/>
        </w:rPr>
      </w:pPr>
      <w:r w:rsidRPr="005F52FA">
        <w:rPr>
          <w:rFonts w:ascii="Times New Roman" w:hAnsi="Times New Roman" w:cs="Times New Roman"/>
          <w:bCs/>
          <w:sz w:val="28"/>
          <w:szCs w:val="28"/>
        </w:rPr>
        <w:t>Lim Pei Xian 2226079</w:t>
      </w:r>
    </w:p>
    <w:p w14:paraId="1A493C5B" w14:textId="55D2645D" w:rsidR="004311F1" w:rsidRDefault="004311F1" w:rsidP="004311F1">
      <w:pPr>
        <w:spacing w:line="480" w:lineRule="auto"/>
        <w:rPr>
          <w:rFonts w:ascii="Times New Roman" w:hAnsi="Times New Roman" w:cs="Times New Roman"/>
          <w:bCs/>
          <w:sz w:val="28"/>
          <w:szCs w:val="28"/>
        </w:rPr>
      </w:pPr>
    </w:p>
    <w:p w14:paraId="55AD25A9" w14:textId="77777777" w:rsidR="004311F1" w:rsidRDefault="004311F1" w:rsidP="004311F1">
      <w:pPr>
        <w:spacing w:line="480" w:lineRule="auto"/>
        <w:rPr>
          <w:rFonts w:ascii="Times New Roman" w:hAnsi="Times New Roman" w:cs="Times New Roman"/>
          <w:bCs/>
          <w:sz w:val="28"/>
          <w:szCs w:val="28"/>
        </w:rPr>
      </w:pPr>
    </w:p>
    <w:p w14:paraId="0F8EB274" w14:textId="069D2550" w:rsidR="004311F1" w:rsidRPr="005F52FA" w:rsidRDefault="004311F1" w:rsidP="004311F1">
      <w:pPr>
        <w:spacing w:line="480" w:lineRule="auto"/>
        <w:rPr>
          <w:rFonts w:ascii="Times New Roman" w:hAnsi="Times New Roman" w:cs="Times New Roman"/>
          <w:bCs/>
          <w:sz w:val="28"/>
          <w:szCs w:val="28"/>
        </w:rPr>
      </w:pPr>
      <w:r w:rsidRPr="005F52FA">
        <w:rPr>
          <w:rFonts w:ascii="Times New Roman" w:hAnsi="Times New Roman" w:cs="Times New Roman"/>
          <w:bCs/>
          <w:sz w:val="28"/>
          <w:szCs w:val="28"/>
        </w:rPr>
        <w:t>BMBM601</w:t>
      </w:r>
      <w:r>
        <w:rPr>
          <w:rFonts w:ascii="Times New Roman" w:hAnsi="Times New Roman" w:cs="Times New Roman"/>
          <w:bCs/>
          <w:sz w:val="28"/>
          <w:szCs w:val="28"/>
        </w:rPr>
        <w:t>2</w:t>
      </w:r>
      <w:r w:rsidRPr="005F52FA">
        <w:rPr>
          <w:rFonts w:ascii="Times New Roman" w:hAnsi="Times New Roman" w:cs="Times New Roman"/>
          <w:bCs/>
          <w:sz w:val="28"/>
          <w:szCs w:val="28"/>
        </w:rPr>
        <w:t xml:space="preserve"> </w:t>
      </w:r>
      <w:r w:rsidRPr="004311F1">
        <w:rPr>
          <w:rFonts w:ascii="Times New Roman" w:hAnsi="Times New Roman" w:cs="Times New Roman"/>
          <w:bCs/>
          <w:sz w:val="28"/>
          <w:szCs w:val="28"/>
        </w:rPr>
        <w:t>Leading and Developing People</w:t>
      </w:r>
    </w:p>
    <w:p w14:paraId="7867DBC2" w14:textId="21016D95" w:rsidR="00C44277" w:rsidRPr="00996DB2" w:rsidRDefault="004311F1" w:rsidP="00996DB2">
      <w:pPr>
        <w:spacing w:line="480"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Lecturer: Laura James</w:t>
      </w:r>
      <w:r>
        <w:br w:type="page"/>
      </w:r>
    </w:p>
    <w:p w14:paraId="796FF313" w14:textId="1F9F26F0" w:rsidR="00996DB2" w:rsidRDefault="00996DB2" w:rsidP="00996DB2">
      <w:pPr>
        <w:spacing w:line="600" w:lineRule="auto"/>
        <w:jc w:val="center"/>
        <w:rPr>
          <w:rFonts w:ascii="Times New Roman" w:hAnsi="Times New Roman" w:cs="Times New Roman"/>
          <w:b/>
          <w:bCs/>
          <w:sz w:val="28"/>
          <w:szCs w:val="28"/>
        </w:rPr>
      </w:pPr>
      <w:bookmarkStart w:id="1" w:name="_Toc133952070"/>
      <w:bookmarkStart w:id="2" w:name="_Toc133952132"/>
      <w:r w:rsidRPr="00996DB2">
        <w:rPr>
          <w:rFonts w:ascii="Times New Roman" w:hAnsi="Times New Roman" w:cs="Times New Roman"/>
          <w:b/>
          <w:bCs/>
          <w:sz w:val="28"/>
          <w:szCs w:val="28"/>
        </w:rPr>
        <w:lastRenderedPageBreak/>
        <w:t>Critically analyze the design of the Learning and Development Plan/Framework- what is included? What does this look like?</w:t>
      </w:r>
    </w:p>
    <w:p w14:paraId="37A58B79" w14:textId="552C2A5B" w:rsidR="00BF5951" w:rsidRDefault="00BF5951" w:rsidP="00BF5951">
      <w:pPr>
        <w:spacing w:line="600" w:lineRule="auto"/>
        <w:rPr>
          <w:rFonts w:ascii="Times New Roman" w:hAnsi="Times New Roman" w:cs="Times New Roman"/>
          <w:sz w:val="28"/>
          <w:szCs w:val="28"/>
        </w:rPr>
      </w:pPr>
      <w:r w:rsidRPr="00BF5951">
        <w:rPr>
          <w:rFonts w:ascii="Times New Roman" w:hAnsi="Times New Roman" w:cs="Times New Roman"/>
          <w:sz w:val="28"/>
          <w:szCs w:val="28"/>
        </w:rPr>
        <w:t>This is the link of our presentation:</w:t>
      </w:r>
    </w:p>
    <w:p w14:paraId="11D5BCEC" w14:textId="71F9D34C" w:rsidR="00BF5951" w:rsidRPr="00BA5CCD" w:rsidRDefault="00BA5CCD" w:rsidP="00BF5951">
      <w:pPr>
        <w:spacing w:line="600" w:lineRule="auto"/>
        <w:rPr>
          <w:rFonts w:ascii="Times New Roman" w:hAnsi="Times New Roman" w:cs="Times New Roman"/>
          <w:sz w:val="28"/>
          <w:szCs w:val="28"/>
        </w:rPr>
      </w:pPr>
      <w:hyperlink r:id="rId11" w:history="1">
        <w:r w:rsidRPr="00701E28">
          <w:rPr>
            <w:rStyle w:val="Hyperlink"/>
            <w:rFonts w:ascii="Times New Roman" w:hAnsi="Times New Roman" w:cs="Times New Roman"/>
            <w:sz w:val="28"/>
            <w:szCs w:val="28"/>
          </w:rPr>
          <w:t>https://uowtsd-my.sharepoint.com/:v:/r/personal/2226088_student_u</w:t>
        </w:r>
        <w:bookmarkStart w:id="3" w:name="_GoBack"/>
        <w:bookmarkEnd w:id="3"/>
        <w:r w:rsidRPr="00701E28">
          <w:rPr>
            <w:rStyle w:val="Hyperlink"/>
            <w:rFonts w:ascii="Times New Roman" w:hAnsi="Times New Roman" w:cs="Times New Roman"/>
            <w:sz w:val="28"/>
            <w:szCs w:val="28"/>
          </w:rPr>
          <w:t>wtsd_ac_uk/Documents/Recordings/Call%20with%20Pei%20Xian%20Lim,%20Tracy%20Wan%20See%20Cheong,%20Zhi%20Yan%20Tan-20230502_224956-Meeting%20Recording.mp4?csf=1&amp;web=1&amp;e=dzEqQR</w:t>
        </w:r>
      </w:hyperlink>
      <w:r>
        <w:rPr>
          <w:rFonts w:ascii="Times New Roman" w:hAnsi="Times New Roman" w:cs="Times New Roman"/>
          <w:sz w:val="28"/>
          <w:szCs w:val="28"/>
        </w:rPr>
        <w:t xml:space="preserve"> </w:t>
      </w:r>
    </w:p>
    <w:p w14:paraId="3189A78C" w14:textId="0D5772CD" w:rsidR="00021586" w:rsidRPr="00250DF2" w:rsidRDefault="005E4051" w:rsidP="00996DB2">
      <w:pPr>
        <w:pStyle w:val="Heading1"/>
      </w:pPr>
      <w:r w:rsidRPr="00250DF2">
        <w:t xml:space="preserve">1.0 </w:t>
      </w:r>
      <w:r w:rsidR="00A25525" w:rsidRPr="00250DF2">
        <w:t xml:space="preserve">What is included in the L&amp;D Plan? </w:t>
      </w:r>
      <w:bookmarkEnd w:id="1"/>
      <w:bookmarkEnd w:id="2"/>
    </w:p>
    <w:p w14:paraId="08ED815A" w14:textId="77777777" w:rsidR="00021586"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development planning, on-the-job training, and mentorship are the pillars upon which a learning and development strategy is constructed. First, personalized coaching helps workers take ownership of their careers by improving their self-awareness of their skills and development opportunities (Hall, 2022). Coaching can also help people recognize and improve their strengths, shortcomings, work attitude, and leadership skills (</w:t>
      </w:r>
      <w:proofErr w:type="spellStart"/>
      <w:r>
        <w:rPr>
          <w:rFonts w:ascii="Times New Roman" w:eastAsia="Times New Roman" w:hAnsi="Times New Roman" w:cs="Times New Roman"/>
          <w:sz w:val="24"/>
          <w:szCs w:val="24"/>
        </w:rPr>
        <w:t>Glaveski</w:t>
      </w:r>
      <w:proofErr w:type="spellEnd"/>
      <w:r>
        <w:rPr>
          <w:rFonts w:ascii="Times New Roman" w:eastAsia="Times New Roman" w:hAnsi="Times New Roman" w:cs="Times New Roman"/>
          <w:sz w:val="24"/>
          <w:szCs w:val="24"/>
        </w:rPr>
        <w:t xml:space="preserve">, 2019). Users of a performance management system will benefit from a system that automatically provides timely feedback. </w:t>
      </w:r>
    </w:p>
    <w:p w14:paraId="1A8804DB" w14:textId="77777777" w:rsidR="00021586"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Moreover, for effective experiential learning, one must first engage in concrete experiences, then engage in reflection, then engage in abstract thought in order to draw conclusions </w:t>
      </w:r>
      <w:r>
        <w:rPr>
          <w:rFonts w:ascii="Times New Roman" w:eastAsia="Times New Roman" w:hAnsi="Times New Roman" w:cs="Times New Roman"/>
          <w:sz w:val="24"/>
          <w:szCs w:val="24"/>
        </w:rPr>
        <w:lastRenderedPageBreak/>
        <w:t>and make sense of the experience, and finally engage in action in order to put what has been learned into practice (Waller et al., 2017). In this way, students (or workers in corporate learning programs) remain interested, involved, and working together throughout the entire process. With the right program or platform, employees may be inspired to pursue additional training and eLearning on their own time (Johnson et al., 2018).</w:t>
      </w:r>
    </w:p>
    <w:p w14:paraId="7BAC768E" w14:textId="09BF9F2C" w:rsidR="00021586"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Last but not least, increasing retention and employee engagement through encouraging employees' professional progress in line with the company's goals have been found to be effective (Hall, 2022). They worked their entire careers at the same organization, structuring their careers according to an organizational chart and rising from the bottom (Yarnall, 2008). Achievement in the workplace can be running a team, gaining all the necessary skills in a field as a staff member moves from company to organization, or being an autonomous contributor (Hirsh, 2021). The University of Glasgow's L&amp;D Plan has all it needs and has enabled its affiliated business to prosper.</w:t>
      </w:r>
    </w:p>
    <w:p w14:paraId="224D171B" w14:textId="61EFFD24" w:rsidR="00021586" w:rsidRDefault="005E4051" w:rsidP="00996DB2">
      <w:pPr>
        <w:pStyle w:val="Heading1"/>
      </w:pPr>
      <w:bookmarkStart w:id="4" w:name="_Toc133952071"/>
      <w:bookmarkStart w:id="5" w:name="_Toc133952133"/>
      <w:r>
        <w:t xml:space="preserve">2.0 </w:t>
      </w:r>
      <w:r w:rsidR="00A25525">
        <w:t xml:space="preserve">Highlight the critical objectives of the strategy. </w:t>
      </w:r>
      <w:bookmarkEnd w:id="4"/>
      <w:bookmarkEnd w:id="5"/>
    </w:p>
    <w:p w14:paraId="027C217B" w14:textId="77777777" w:rsidR="00021586"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internationalization will be of utmost importance in the pursuit of the People &amp;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Strategy's goals. It can be conducted by encouraging participation from staff members in events with a worldwide reach and those that aim to increase the cultural diversity of the community. Also, maximizing both the recruitment and retention of internationally renowned staff members, as well as the amount of education that is provided to international </w:t>
      </w:r>
      <w:r>
        <w:rPr>
          <w:rFonts w:ascii="Times New Roman" w:eastAsia="Times New Roman" w:hAnsi="Times New Roman" w:cs="Times New Roman"/>
          <w:sz w:val="24"/>
          <w:szCs w:val="24"/>
        </w:rPr>
        <w:lastRenderedPageBreak/>
        <w:t xml:space="preserve">students. For instance, The University of Glasgow has begun implementing new programs to provide support for the internationalization agenda such as the Staff Mobility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the Glasgow Welcome online hosting resource, and so forth (University of Glasgow, 2020a).</w:t>
      </w:r>
    </w:p>
    <w:p w14:paraId="4C8BCAB2" w14:textId="724F3207" w:rsidR="00021586" w:rsidRPr="005E4051"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addition, one of the most important goals that this strategy aims to accomplish is to encourage cultural shifts. Creating an environment where employees feel encouraged to take risks and strive for the best in order to successfully meet future challenges. To avoid having to reshape culture in tandem with widespread organizational transformation, leaders must take preventative measures now to build the appropriate culture (Rose Hollister, 2021). The University of Glasgow received the Athena Swan Bronze Award in April 2013 for its efforts to design and implement an inclusive and diverse strategy (University of Glasgow, 2013). </w:t>
      </w:r>
    </w:p>
    <w:p w14:paraId="29EBF17F" w14:textId="47A17D63" w:rsidR="00021586" w:rsidRDefault="005E4051" w:rsidP="00996DB2">
      <w:pPr>
        <w:pStyle w:val="Heading1"/>
      </w:pPr>
      <w:bookmarkStart w:id="6" w:name="_Toc133952072"/>
      <w:bookmarkStart w:id="7" w:name="_Toc133952134"/>
      <w:r>
        <w:t xml:space="preserve">3.0 </w:t>
      </w:r>
      <w:r w:rsidR="00A25525">
        <w:t xml:space="preserve">What appears to be driving the strategy? </w:t>
      </w:r>
      <w:bookmarkEnd w:id="6"/>
      <w:bookmarkEnd w:id="7"/>
    </w:p>
    <w:p w14:paraId="18F5FA0B" w14:textId="174A2145" w:rsidR="00021586" w:rsidRPr="005E4051"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possible to refer to the University of Glasgow's strategy as being determined by "ambition and excellence." They will make sure that their highest aspirations, goals, and promises are in line with the University's overarching strategy, World Changers Together. Their position as an internationally competitive high-performing institution has been strengthened, and they have been afforded both their reputation and their place in the rankings, as a result of their ability to bring together extraordinary people who are united by a common purpose, shared values, and the desire to make a difference that is aligned with these objectives (University of Glasgow, 2013).</w:t>
      </w:r>
    </w:p>
    <w:p w14:paraId="2F862674" w14:textId="7C74C593" w:rsidR="00021586" w:rsidRDefault="005E4051" w:rsidP="00996DB2">
      <w:pPr>
        <w:pStyle w:val="Heading1"/>
      </w:pPr>
      <w:bookmarkStart w:id="8" w:name="_Toc133952073"/>
      <w:bookmarkStart w:id="9" w:name="_Toc133952135"/>
      <w:r>
        <w:lastRenderedPageBreak/>
        <w:t xml:space="preserve">4.0 </w:t>
      </w:r>
      <w:r w:rsidR="00A25525">
        <w:t xml:space="preserve">Who wrote the Plan? </w:t>
      </w:r>
      <w:bookmarkEnd w:id="8"/>
      <w:bookmarkEnd w:id="9"/>
    </w:p>
    <w:p w14:paraId="314DDC50" w14:textId="6A69569B" w:rsidR="00BF5951" w:rsidRPr="00BF5951" w:rsidRDefault="00A25525" w:rsidP="00250DF2">
      <w:pPr>
        <w:spacing w:line="600" w:lineRule="auto"/>
        <w:jc w:val="both"/>
      </w:pPr>
      <w:r>
        <w:rPr>
          <w:rFonts w:ascii="Times New Roman" w:eastAsia="Times New Roman" w:hAnsi="Times New Roman" w:cs="Times New Roman"/>
          <w:sz w:val="24"/>
          <w:szCs w:val="24"/>
        </w:rPr>
        <w:t>The Chief Operating Officer or Operations Manager of a smaller company may be responsible for L&amp;D, while an entire L&amp;D department may be assigned to this task at a larger corporation (</w:t>
      </w:r>
      <w:proofErr w:type="spellStart"/>
      <w:r>
        <w:rPr>
          <w:rFonts w:ascii="Times New Roman" w:eastAsia="Times New Roman" w:hAnsi="Times New Roman" w:cs="Times New Roman"/>
          <w:sz w:val="24"/>
          <w:szCs w:val="24"/>
        </w:rPr>
        <w:t>Mansor</w:t>
      </w:r>
      <w:proofErr w:type="spellEnd"/>
      <w:r>
        <w:rPr>
          <w:rFonts w:ascii="Times New Roman" w:eastAsia="Times New Roman" w:hAnsi="Times New Roman" w:cs="Times New Roman"/>
          <w:sz w:val="24"/>
          <w:szCs w:val="24"/>
        </w:rPr>
        <w:t xml:space="preserve"> et al., 2012). According to the proposed strategy, Christine Barr, the Executive Director of the University of Glasgow, will be in charge of either writing or developing a Learning &amp; Development Framework (L&amp;D).</w:t>
      </w:r>
    </w:p>
    <w:p w14:paraId="36F98D4B" w14:textId="7F33B233" w:rsidR="00021586" w:rsidRPr="00250DF2" w:rsidRDefault="005E4051" w:rsidP="00996DB2">
      <w:pPr>
        <w:pStyle w:val="Heading1"/>
        <w:rPr>
          <w:i/>
        </w:rPr>
      </w:pPr>
      <w:bookmarkStart w:id="10" w:name="_Toc133952074"/>
      <w:bookmarkStart w:id="11" w:name="_Toc133952136"/>
      <w:r>
        <w:t xml:space="preserve">5.0 </w:t>
      </w:r>
      <w:r w:rsidR="00A25525">
        <w:t xml:space="preserve">Pull out an example of learning and development that they demonstrate (for example, the </w:t>
      </w:r>
      <w:r w:rsidR="00A25525">
        <w:rPr>
          <w:i/>
        </w:rPr>
        <w:t>introduction of e-learning packages)</w:t>
      </w:r>
      <w:bookmarkEnd w:id="10"/>
      <w:bookmarkEnd w:id="11"/>
    </w:p>
    <w:p w14:paraId="1EAE4CB7" w14:textId="77777777" w:rsidR="00021586" w:rsidRDefault="00A25525" w:rsidP="00250DF2">
      <w:pPr>
        <w:spacing w:line="60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0765483" wp14:editId="169504FA">
            <wp:extent cx="4743450" cy="3605886"/>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29255" t="37694" r="28901" b="5762"/>
                    <a:stretch>
                      <a:fillRect/>
                    </a:stretch>
                  </pic:blipFill>
                  <pic:spPr>
                    <a:xfrm>
                      <a:off x="0" y="0"/>
                      <a:ext cx="4743450" cy="3605886"/>
                    </a:xfrm>
                    <a:prstGeom prst="rect">
                      <a:avLst/>
                    </a:prstGeom>
                    <a:ln w="12700">
                      <a:solidFill>
                        <a:srgbClr val="000000"/>
                      </a:solidFill>
                      <a:prstDash val="solid"/>
                    </a:ln>
                  </pic:spPr>
                </pic:pic>
              </a:graphicData>
            </a:graphic>
          </wp:inline>
        </w:drawing>
      </w:r>
    </w:p>
    <w:p w14:paraId="1FC1D37C" w14:textId="77777777" w:rsidR="00021586" w:rsidRDefault="00A25525" w:rsidP="00250DF2">
      <w:pPr>
        <w:spacing w:after="200" w:line="60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PDR Plan </w:t>
      </w:r>
      <w:proofErr w:type="gramStart"/>
      <w:r>
        <w:rPr>
          <w:rFonts w:ascii="Times New Roman" w:eastAsia="Times New Roman" w:hAnsi="Times New Roman" w:cs="Times New Roman"/>
          <w:b/>
          <w:sz w:val="24"/>
          <w:szCs w:val="24"/>
        </w:rPr>
        <w:t>Of</w:t>
      </w:r>
      <w:proofErr w:type="gramEnd"/>
      <w:r>
        <w:rPr>
          <w:rFonts w:ascii="Times New Roman" w:eastAsia="Times New Roman" w:hAnsi="Times New Roman" w:cs="Times New Roman"/>
          <w:b/>
          <w:sz w:val="24"/>
          <w:szCs w:val="24"/>
        </w:rPr>
        <w:t xml:space="preserve"> University Of Glasgow (University of Glasgow, 2020b)</w:t>
      </w:r>
    </w:p>
    <w:p w14:paraId="69DB0F11" w14:textId="77777777" w:rsidR="00021586" w:rsidRDefault="00A25525" w:rsidP="00250DF2">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The University of Glasgow has introduced a digitally enabled PDR platform, which is an example of its commitment to learning and development. Colleagues' achievement and development are continuously monitored and managed, in part through a procedure called Performance Development Review (PDR). Annual Performance and Development Reviews (PDRs) are mandatory for all workers and serve as a platform for discussing professional growth and acknowledging accomplishments from the previous year (University of Glasgow, 2022). Create personalized goals and performance benchmarks that are in line with the overall strategic plan. </w:t>
      </w:r>
      <w:r>
        <w:rPr>
          <w:rFonts w:ascii="Times New Roman" w:eastAsia="Times New Roman" w:hAnsi="Times New Roman" w:cs="Times New Roman"/>
          <w:b/>
          <w:sz w:val="24"/>
          <w:szCs w:val="24"/>
        </w:rPr>
        <w:t>Figure 1</w:t>
      </w:r>
      <w:r>
        <w:rPr>
          <w:rFonts w:ascii="Times New Roman" w:eastAsia="Times New Roman" w:hAnsi="Times New Roman" w:cs="Times New Roman"/>
          <w:sz w:val="24"/>
          <w:szCs w:val="24"/>
        </w:rPr>
        <w:t xml:space="preserve"> displays the newly developed performance framework of the university, aligned with the overall performance cycle. In this process, Principals, Vice Presidents, and the Chief Operating Officer are also accountable for upholding the University's PDR Process and Guiding Principles. Goals, standards, and accompanying growth strategies must all be established and connected with the overall University strategy. </w:t>
      </w:r>
    </w:p>
    <w:p w14:paraId="13DDE2E9" w14:textId="182F4CF5" w:rsidR="00021586" w:rsidRDefault="005E4051" w:rsidP="00996DB2">
      <w:pPr>
        <w:pStyle w:val="Heading1"/>
      </w:pPr>
      <w:bookmarkStart w:id="12" w:name="_Toc133952075"/>
      <w:bookmarkStart w:id="13" w:name="_Toc133952137"/>
      <w:r>
        <w:t xml:space="preserve">6.0 </w:t>
      </w:r>
      <w:r w:rsidR="00A25525">
        <w:t>Is the L&amp;D Plan aligned with the company's vision? What is their vision</w:t>
      </w:r>
      <w:bookmarkEnd w:id="12"/>
      <w:bookmarkEnd w:id="13"/>
    </w:p>
    <w:p w14:paraId="12867E96" w14:textId="70AE6807" w:rsidR="00021586" w:rsidRDefault="00A25525" w:rsidP="00250DF2">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an organization of discovery that looks beyond its borders and generates inspiration and strength from its relationships and collaborations worldwide, World Changers Together helps them realize its vision over the long term by emphasizing the value of open cooperation. In the next ten years, the vision can be recognized as Glasgow and will be recognized around the world as a center </w:t>
      </w:r>
      <w:r>
        <w:rPr>
          <w:rFonts w:ascii="Times New Roman" w:eastAsia="Times New Roman" w:hAnsi="Times New Roman" w:cs="Times New Roman"/>
          <w:sz w:val="24"/>
          <w:szCs w:val="24"/>
        </w:rPr>
        <w:lastRenderedPageBreak/>
        <w:t xml:space="preserve">of cutting-edge research and influential leadership. Thus, it is considered that the L&amp;D plan is aligned with the company’s vision.  </w:t>
      </w:r>
    </w:p>
    <w:p w14:paraId="6243327E" w14:textId="77777777" w:rsidR="00996DB2" w:rsidRDefault="00996DB2">
      <w:pPr>
        <w:rPr>
          <w:rFonts w:ascii="Times New Roman" w:hAnsi="Times New Roman"/>
          <w:color w:val="365F91" w:themeColor="accent1" w:themeShade="BF"/>
          <w:sz w:val="32"/>
          <w:szCs w:val="40"/>
        </w:rPr>
      </w:pPr>
      <w:bookmarkStart w:id="14" w:name="_Toc133952076"/>
      <w:bookmarkStart w:id="15" w:name="_Toc133952138"/>
      <w:r>
        <w:br w:type="page"/>
      </w:r>
    </w:p>
    <w:p w14:paraId="4CB2F371" w14:textId="798F7C5E" w:rsidR="00021586" w:rsidRDefault="00250DF2" w:rsidP="00996DB2">
      <w:pPr>
        <w:pStyle w:val="Heading1"/>
      </w:pPr>
      <w:r>
        <w:lastRenderedPageBreak/>
        <w:t xml:space="preserve">7.0 </w:t>
      </w:r>
      <w:r w:rsidR="00A25525">
        <w:t>Has the Plan considered all employees?</w:t>
      </w:r>
      <w:bookmarkEnd w:id="14"/>
      <w:bookmarkEnd w:id="15"/>
    </w:p>
    <w:p w14:paraId="068F4D5D" w14:textId="331040A3" w:rsidR="00021586" w:rsidRPr="00250DF2"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theme of The University of Glasgow is to maximize organizational capability, it is necessary to consider all employees and their involvement in the workplace. An environment where everyone is valued and respected, where they have access to competitive and transparent benefits, where they can learn and grow, where they can reach their full potential at work, and where they can make a significant contribution (University of Glasgow, 2020a). They also include making available to everyone credible professional career paths for use in career planning.</w:t>
      </w:r>
    </w:p>
    <w:p w14:paraId="42978E06" w14:textId="5D83A720" w:rsidR="00021586" w:rsidRDefault="00250DF2" w:rsidP="00996DB2">
      <w:pPr>
        <w:pStyle w:val="Heading1"/>
      </w:pPr>
      <w:bookmarkStart w:id="16" w:name="_Toc133952077"/>
      <w:bookmarkStart w:id="17" w:name="_Toc133952139"/>
      <w:r>
        <w:t xml:space="preserve">8.0 </w:t>
      </w:r>
      <w:r w:rsidR="00A25525">
        <w:t>Are there clear timescales for completion or review?</w:t>
      </w:r>
      <w:bookmarkEnd w:id="16"/>
      <w:bookmarkEnd w:id="17"/>
    </w:p>
    <w:p w14:paraId="4B306095" w14:textId="77777777" w:rsidR="00021586" w:rsidRDefault="00A25525" w:rsidP="00250DF2">
      <w:pPr>
        <w:spacing w:line="60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DECA70F" wp14:editId="2AD1EC27">
            <wp:extent cx="6286500" cy="313415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16640" t="33746" r="21620" b="11268"/>
                    <a:stretch>
                      <a:fillRect/>
                    </a:stretch>
                  </pic:blipFill>
                  <pic:spPr>
                    <a:xfrm>
                      <a:off x="0" y="0"/>
                      <a:ext cx="6286500" cy="3134159"/>
                    </a:xfrm>
                    <a:prstGeom prst="rect">
                      <a:avLst/>
                    </a:prstGeom>
                    <a:ln w="12700">
                      <a:solidFill>
                        <a:srgbClr val="000000"/>
                      </a:solidFill>
                      <a:prstDash val="solid"/>
                    </a:ln>
                  </pic:spPr>
                </pic:pic>
              </a:graphicData>
            </a:graphic>
          </wp:inline>
        </w:drawing>
      </w:r>
    </w:p>
    <w:p w14:paraId="19F61D42" w14:textId="77777777" w:rsidR="00021586" w:rsidRDefault="00A25525" w:rsidP="00250DF2">
      <w:pPr>
        <w:spacing w:after="200" w:line="60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2: Timescale of P&amp;OD Strategy (University of Glasgow, 2020a)</w:t>
      </w:r>
    </w:p>
    <w:p w14:paraId="5702B856" w14:textId="137F23F8" w:rsidR="00250DF2" w:rsidRDefault="00A25525" w:rsidP="00250DF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L&amp;D plan, the University of Glasgow did, in fact, state that its institution had both current and long-term objectives that needed to be met. Additionally, they reported on the current state of their efforts to draw in talents, support growth, and contribute to transformation as part of the People &amp;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Development Strategy. </w:t>
      </w:r>
      <w:r>
        <w:rPr>
          <w:rFonts w:ascii="Times New Roman" w:eastAsia="Times New Roman" w:hAnsi="Times New Roman" w:cs="Times New Roman"/>
          <w:b/>
          <w:sz w:val="24"/>
          <w:szCs w:val="24"/>
        </w:rPr>
        <w:t>Figure 2</w:t>
      </w:r>
      <w:r>
        <w:rPr>
          <w:rFonts w:ascii="Times New Roman" w:eastAsia="Times New Roman" w:hAnsi="Times New Roman" w:cs="Times New Roman"/>
          <w:sz w:val="24"/>
          <w:szCs w:val="24"/>
        </w:rPr>
        <w:t xml:space="preserve"> shows the summary P&amp;D plan that presented some high-level activities and timelines needed to achieve this document's strategy.</w:t>
      </w:r>
    </w:p>
    <w:p w14:paraId="0F9398FE" w14:textId="2C610F15" w:rsidR="00996DB2" w:rsidRPr="00996DB2" w:rsidRDefault="00996DB2" w:rsidP="00250DF2">
      <w:pPr>
        <w:spacing w:line="600" w:lineRule="auto"/>
        <w:jc w:val="both"/>
        <w:rPr>
          <w:rFonts w:ascii="Times New Roman" w:eastAsia="Times New Roman" w:hAnsi="Times New Roman" w:cs="Times New Roman"/>
          <w:b/>
          <w:bCs/>
          <w:sz w:val="24"/>
          <w:szCs w:val="24"/>
        </w:rPr>
      </w:pPr>
    </w:p>
    <w:p w14:paraId="228C650F" w14:textId="145BD639" w:rsidR="00996DB2" w:rsidRPr="00996DB2" w:rsidRDefault="00996DB2" w:rsidP="00250DF2">
      <w:pPr>
        <w:spacing w:line="600" w:lineRule="auto"/>
        <w:jc w:val="both"/>
        <w:rPr>
          <w:rFonts w:ascii="Times New Roman" w:eastAsia="Times New Roman" w:hAnsi="Times New Roman" w:cs="Times New Roman"/>
          <w:b/>
          <w:bCs/>
          <w:sz w:val="24"/>
          <w:szCs w:val="24"/>
        </w:rPr>
      </w:pPr>
      <w:r w:rsidRPr="00996DB2">
        <w:rPr>
          <w:rFonts w:ascii="Times New Roman" w:eastAsia="Times New Roman" w:hAnsi="Times New Roman" w:cs="Times New Roman"/>
          <w:b/>
          <w:bCs/>
          <w:sz w:val="24"/>
          <w:szCs w:val="24"/>
        </w:rPr>
        <w:t>Word Count: 987</w:t>
      </w:r>
    </w:p>
    <w:p w14:paraId="0578DEB6" w14:textId="77777777" w:rsidR="00996DB2" w:rsidRDefault="00996DB2">
      <w:pPr>
        <w:rPr>
          <w:rFonts w:ascii="Times New Roman" w:hAnsi="Times New Roman"/>
          <w:color w:val="365F91" w:themeColor="accent1" w:themeShade="BF"/>
          <w:sz w:val="32"/>
          <w:szCs w:val="40"/>
        </w:rPr>
      </w:pPr>
      <w:bookmarkStart w:id="18" w:name="_Toc133952078"/>
      <w:bookmarkStart w:id="19" w:name="_Toc133952140"/>
      <w:r>
        <w:br w:type="page"/>
      </w:r>
    </w:p>
    <w:p w14:paraId="15001D72" w14:textId="0904AD75" w:rsidR="00021586" w:rsidRPr="003D3362" w:rsidRDefault="00996DB2" w:rsidP="00996DB2">
      <w:pPr>
        <w:pStyle w:val="Heading1"/>
      </w:pPr>
      <w:r>
        <w:lastRenderedPageBreak/>
        <w:t>9</w:t>
      </w:r>
      <w:r w:rsidR="00250DF2">
        <w:t xml:space="preserve">.0 </w:t>
      </w:r>
      <w:r w:rsidR="003D3362" w:rsidRPr="003D3362">
        <w:t>References</w:t>
      </w:r>
      <w:bookmarkEnd w:id="18"/>
      <w:bookmarkEnd w:id="19"/>
      <w:r w:rsidR="003D3362" w:rsidRPr="003D3362">
        <w:t xml:space="preserve"> </w:t>
      </w:r>
    </w:p>
    <w:p w14:paraId="1B05C8DC" w14:textId="31C15241" w:rsidR="003D3362" w:rsidRDefault="003D3362" w:rsidP="00250DF2">
      <w:pPr>
        <w:pStyle w:val="NormalWeb"/>
        <w:spacing w:line="600" w:lineRule="auto"/>
        <w:ind w:left="567" w:hanging="567"/>
      </w:pPr>
      <w:proofErr w:type="spellStart"/>
      <w:r>
        <w:t>Glaveski</w:t>
      </w:r>
      <w:proofErr w:type="spellEnd"/>
      <w:r>
        <w:t xml:space="preserve">, S. (2019) </w:t>
      </w:r>
      <w:r>
        <w:rPr>
          <w:i/>
          <w:iCs/>
        </w:rPr>
        <w:t>Where companies go wrong with learning and development</w:t>
      </w:r>
      <w:r>
        <w:t xml:space="preserve">, </w:t>
      </w:r>
      <w:r>
        <w:rPr>
          <w:i/>
          <w:iCs/>
        </w:rPr>
        <w:t>Harvard Business Review</w:t>
      </w:r>
      <w:r>
        <w:t xml:space="preserve">. Available at: </w:t>
      </w:r>
      <w:hyperlink r:id="rId14" w:history="1">
        <w:r w:rsidRPr="002572C7">
          <w:rPr>
            <w:rStyle w:val="Hyperlink"/>
          </w:rPr>
          <w:t>https://hbr.org/2019/10/where-companies-go-wrong-with-learning-and-development</w:t>
        </w:r>
      </w:hyperlink>
      <w:r>
        <w:t xml:space="preserve"> (Accessed: April 30, 2023). </w:t>
      </w:r>
    </w:p>
    <w:p w14:paraId="47F751D3" w14:textId="2DCAAC26" w:rsidR="003D3362" w:rsidRDefault="003D3362" w:rsidP="00250DF2">
      <w:pPr>
        <w:pStyle w:val="NormalWeb"/>
        <w:spacing w:line="600" w:lineRule="auto"/>
        <w:ind w:left="567" w:hanging="567"/>
      </w:pPr>
      <w:r>
        <w:t xml:space="preserve">Hall, S.L. (2022) </w:t>
      </w:r>
      <w:r>
        <w:rPr>
          <w:i/>
          <w:iCs/>
        </w:rPr>
        <w:t xml:space="preserve">The 3 Pillars of Learning &amp; </w:t>
      </w:r>
      <w:proofErr w:type="gramStart"/>
      <w:r>
        <w:rPr>
          <w:i/>
          <w:iCs/>
        </w:rPr>
        <w:t>Development </w:t>
      </w:r>
      <w:r>
        <w:t>,</w:t>
      </w:r>
      <w:proofErr w:type="gramEnd"/>
      <w:r>
        <w:t xml:space="preserve"> </w:t>
      </w:r>
      <w:r>
        <w:rPr>
          <w:i/>
          <w:iCs/>
        </w:rPr>
        <w:t>Lattice</w:t>
      </w:r>
      <w:r>
        <w:t xml:space="preserve">. Available at: </w:t>
      </w:r>
      <w:hyperlink r:id="rId15" w:history="1">
        <w:r w:rsidRPr="002572C7">
          <w:rPr>
            <w:rStyle w:val="Hyperlink"/>
          </w:rPr>
          <w:t>https://lattice.com/library/the-3-pillars-of-learning-development#</w:t>
        </w:r>
      </w:hyperlink>
      <w:r>
        <w:t xml:space="preserve"> (Accessed: April 30, 2023). </w:t>
      </w:r>
    </w:p>
    <w:p w14:paraId="760AE470" w14:textId="0C6E35B0" w:rsidR="003D3362" w:rsidRDefault="003D3362" w:rsidP="00250DF2">
      <w:pPr>
        <w:pStyle w:val="NormalWeb"/>
        <w:spacing w:line="600" w:lineRule="auto"/>
        <w:ind w:left="567" w:hanging="567"/>
      </w:pPr>
      <w:r>
        <w:t xml:space="preserve">Hirsh, W. (2021) “Supporting career development in organisations: Drivers, practices and challenges,” </w:t>
      </w:r>
      <w:r>
        <w:rPr>
          <w:i/>
          <w:iCs/>
        </w:rPr>
        <w:t>Journal of the National Institute for Career Education and Counselling</w:t>
      </w:r>
      <w:r>
        <w:t xml:space="preserve">, 46(1), pp. 47–55. Available at: </w:t>
      </w:r>
      <w:hyperlink r:id="rId16" w:history="1">
        <w:r w:rsidRPr="002572C7">
          <w:rPr>
            <w:rStyle w:val="Hyperlink"/>
          </w:rPr>
          <w:t>https://doi.org/10.20856/jnicec.4608</w:t>
        </w:r>
      </w:hyperlink>
      <w:r>
        <w:t xml:space="preserve">.  </w:t>
      </w:r>
    </w:p>
    <w:p w14:paraId="1AEAA642" w14:textId="1AC9FEB4" w:rsidR="003D3362" w:rsidRDefault="003D3362" w:rsidP="00250DF2">
      <w:pPr>
        <w:pStyle w:val="NormalWeb"/>
        <w:spacing w:line="600" w:lineRule="auto"/>
        <w:ind w:left="567" w:hanging="567"/>
      </w:pPr>
      <w:r>
        <w:t xml:space="preserve">Johnson, S.J., Blackman, D.A. and Buick, F. (2018) “The 70:20:10 framework and the transfer of learning,” </w:t>
      </w:r>
      <w:r>
        <w:rPr>
          <w:i/>
          <w:iCs/>
        </w:rPr>
        <w:t>Human Resource Development Quarterly</w:t>
      </w:r>
      <w:r>
        <w:t xml:space="preserve">, 29(4), pp. 383–402. Available at: </w:t>
      </w:r>
      <w:hyperlink r:id="rId17" w:history="1">
        <w:r w:rsidRPr="002572C7">
          <w:rPr>
            <w:rStyle w:val="Hyperlink"/>
          </w:rPr>
          <w:t>https://doi.org/10.1002/hrdq.21330</w:t>
        </w:r>
      </w:hyperlink>
      <w:r>
        <w:t xml:space="preserve">.   </w:t>
      </w:r>
    </w:p>
    <w:p w14:paraId="36F8F856" w14:textId="5E54C943" w:rsidR="003D3362" w:rsidRDefault="003D3362" w:rsidP="00250DF2">
      <w:pPr>
        <w:pStyle w:val="NormalWeb"/>
        <w:spacing w:line="600" w:lineRule="auto"/>
        <w:ind w:left="567" w:hanging="567"/>
      </w:pPr>
      <w:proofErr w:type="spellStart"/>
      <w:r>
        <w:t>Mansor</w:t>
      </w:r>
      <w:proofErr w:type="spellEnd"/>
      <w:r>
        <w:t xml:space="preserve">, N.N.A. </w:t>
      </w:r>
      <w:r>
        <w:rPr>
          <w:i/>
          <w:iCs/>
        </w:rPr>
        <w:t>et al.</w:t>
      </w:r>
      <w:r>
        <w:t xml:space="preserve"> (2012) “Organizational factors in learning and development initiatives,” </w:t>
      </w:r>
      <w:r>
        <w:rPr>
          <w:i/>
          <w:iCs/>
        </w:rPr>
        <w:t xml:space="preserve">Procedia - Social and </w:t>
      </w:r>
      <w:proofErr w:type="spellStart"/>
      <w:r>
        <w:rPr>
          <w:i/>
          <w:iCs/>
        </w:rPr>
        <w:t>Behavioral</w:t>
      </w:r>
      <w:proofErr w:type="spellEnd"/>
      <w:r>
        <w:rPr>
          <w:i/>
          <w:iCs/>
        </w:rPr>
        <w:t xml:space="preserve"> Sciences</w:t>
      </w:r>
      <w:r>
        <w:t xml:space="preserve">, 40, pp. 565–570. Available at: </w:t>
      </w:r>
      <w:hyperlink r:id="rId18" w:history="1">
        <w:r w:rsidRPr="002572C7">
          <w:rPr>
            <w:rStyle w:val="Hyperlink"/>
          </w:rPr>
          <w:t>https://doi.org/10.1016/j.sbspro.2012.03.231</w:t>
        </w:r>
      </w:hyperlink>
      <w:r>
        <w:t xml:space="preserve">.  </w:t>
      </w:r>
    </w:p>
    <w:p w14:paraId="085BC43A" w14:textId="5519AF4A" w:rsidR="003D3362" w:rsidRDefault="003D3362" w:rsidP="00250DF2">
      <w:pPr>
        <w:pStyle w:val="NormalWeb"/>
        <w:spacing w:line="600" w:lineRule="auto"/>
        <w:ind w:left="567" w:hanging="567"/>
      </w:pPr>
      <w:r>
        <w:lastRenderedPageBreak/>
        <w:t xml:space="preserve">Rose Hollister, K.T. (2021) </w:t>
      </w:r>
      <w:r>
        <w:rPr>
          <w:i/>
          <w:iCs/>
        </w:rPr>
        <w:t>Why every executive should be focusing on culture change now</w:t>
      </w:r>
      <w:r>
        <w:t xml:space="preserve">, </w:t>
      </w:r>
      <w:r>
        <w:rPr>
          <w:i/>
          <w:iCs/>
        </w:rPr>
        <w:t>MIT Sloan Management Review</w:t>
      </w:r>
      <w:r>
        <w:t xml:space="preserve">. Available at: </w:t>
      </w:r>
      <w:hyperlink r:id="rId19" w:history="1">
        <w:r w:rsidRPr="002572C7">
          <w:rPr>
            <w:rStyle w:val="Hyperlink"/>
          </w:rPr>
          <w:t>https://sloanreview.mit.edu/article/why-every-executive-should-be-focusing-on-culture-change-now/</w:t>
        </w:r>
      </w:hyperlink>
      <w:r>
        <w:t xml:space="preserve"> (Accessed: April 30, 2023). </w:t>
      </w:r>
    </w:p>
    <w:p w14:paraId="43839566" w14:textId="0FD2C8B1" w:rsidR="003D3362" w:rsidRDefault="003D3362" w:rsidP="00250DF2">
      <w:pPr>
        <w:pStyle w:val="NormalWeb"/>
        <w:spacing w:line="600" w:lineRule="auto"/>
        <w:ind w:left="567" w:hanging="567"/>
      </w:pPr>
      <w:r>
        <w:t xml:space="preserve">University of Glasgow (2013) </w:t>
      </w:r>
      <w:r>
        <w:rPr>
          <w:i/>
          <w:iCs/>
        </w:rPr>
        <w:t>People &amp; Organisational Development Strategy 2013-2018</w:t>
      </w:r>
      <w:r>
        <w:t xml:space="preserve">, </w:t>
      </w:r>
      <w:r>
        <w:rPr>
          <w:i/>
          <w:iCs/>
        </w:rPr>
        <w:t>L&amp;D Strategy</w:t>
      </w:r>
      <w:r>
        <w:t xml:space="preserve">. Available at: </w:t>
      </w:r>
      <w:hyperlink r:id="rId20" w:history="1">
        <w:r w:rsidRPr="002572C7">
          <w:rPr>
            <w:rStyle w:val="Hyperlink"/>
          </w:rPr>
          <w:t>https://www.gla.ac.uk/media/Media_305998_smxx.pdf</w:t>
        </w:r>
      </w:hyperlink>
      <w:r>
        <w:t xml:space="preserve"> (Accessed: April 30, 2023). </w:t>
      </w:r>
    </w:p>
    <w:p w14:paraId="2A0749F7" w14:textId="38685E53" w:rsidR="003D3362" w:rsidRDefault="003D3362" w:rsidP="00250DF2">
      <w:pPr>
        <w:pStyle w:val="NormalWeb"/>
        <w:spacing w:line="600" w:lineRule="auto"/>
        <w:ind w:left="567" w:hanging="567"/>
      </w:pPr>
      <w:r>
        <w:t xml:space="preserve">University of Glasgow (2020) </w:t>
      </w:r>
      <w:r>
        <w:rPr>
          <w:i/>
          <w:iCs/>
        </w:rPr>
        <w:t>People &amp; Organisational Development Strategy 2020-2025</w:t>
      </w:r>
      <w:r>
        <w:t xml:space="preserve">, </w:t>
      </w:r>
      <w:r>
        <w:rPr>
          <w:i/>
          <w:iCs/>
        </w:rPr>
        <w:t>L&amp;D Strategy</w:t>
      </w:r>
      <w:r>
        <w:t xml:space="preserve">. Available at: </w:t>
      </w:r>
      <w:hyperlink r:id="rId21" w:history="1">
        <w:r w:rsidRPr="002572C7">
          <w:rPr>
            <w:rStyle w:val="Hyperlink"/>
          </w:rPr>
          <w:t>https://www.cc.gla.ac.uk/media/Media_481292_smxx.pdf</w:t>
        </w:r>
      </w:hyperlink>
      <w:r>
        <w:t xml:space="preserve"> (Accessed: April 28, 2023). </w:t>
      </w:r>
    </w:p>
    <w:p w14:paraId="74AD4F63" w14:textId="3BE57495" w:rsidR="003D3362" w:rsidRDefault="003D3362" w:rsidP="00250DF2">
      <w:pPr>
        <w:pStyle w:val="NormalWeb"/>
        <w:spacing w:line="600" w:lineRule="auto"/>
        <w:ind w:left="567" w:hanging="567"/>
      </w:pPr>
      <w:r>
        <w:t xml:space="preserve">University of Glasgow (2020) </w:t>
      </w:r>
      <w:r>
        <w:rPr>
          <w:i/>
          <w:iCs/>
        </w:rPr>
        <w:t>Performance &amp; Development Review</w:t>
      </w:r>
      <w:r>
        <w:t xml:space="preserve">. Available at: </w:t>
      </w:r>
      <w:hyperlink r:id="rId22" w:anchor="d.en.524547" w:history="1">
        <w:r w:rsidRPr="002572C7">
          <w:rPr>
            <w:rStyle w:val="Hyperlink"/>
          </w:rPr>
          <w:t>https://www.gla.ac.uk/myglasgow/humanresources/all/pay/pdr/pdrprocess/#d.en.524547</w:t>
        </w:r>
      </w:hyperlink>
      <w:r>
        <w:t xml:space="preserve"> (Accessed: April 30, 2023). </w:t>
      </w:r>
    </w:p>
    <w:p w14:paraId="37CB6DD2" w14:textId="77E3AAE2" w:rsidR="003D3362" w:rsidRDefault="003D3362" w:rsidP="00250DF2">
      <w:pPr>
        <w:pStyle w:val="NormalWeb"/>
        <w:spacing w:line="600" w:lineRule="auto"/>
        <w:ind w:left="567" w:hanging="567"/>
      </w:pPr>
      <w:r>
        <w:t xml:space="preserve">University of Glasgow (2022) </w:t>
      </w:r>
      <w:r>
        <w:rPr>
          <w:i/>
          <w:iCs/>
        </w:rPr>
        <w:t>Performance &amp; Development Review</w:t>
      </w:r>
      <w:r>
        <w:t xml:space="preserve">, </w:t>
      </w:r>
      <w:r>
        <w:rPr>
          <w:i/>
          <w:iCs/>
        </w:rPr>
        <w:t>Guide to writing SMART objectives</w:t>
      </w:r>
      <w:r>
        <w:t xml:space="preserve">. Available at: </w:t>
      </w:r>
      <w:hyperlink r:id="rId23" w:history="1">
        <w:r w:rsidRPr="002572C7">
          <w:rPr>
            <w:rStyle w:val="Hyperlink"/>
          </w:rPr>
          <w:t>https://www.gla.ac.uk/myglasgow/humanresources/all/pay/pdr/</w:t>
        </w:r>
      </w:hyperlink>
      <w:r>
        <w:t xml:space="preserve"> (Accessed: April 30, 2023). </w:t>
      </w:r>
    </w:p>
    <w:p w14:paraId="1240D7A6" w14:textId="3325463C" w:rsidR="003D3362" w:rsidRDefault="003D3362" w:rsidP="00250DF2">
      <w:pPr>
        <w:pStyle w:val="NormalWeb"/>
        <w:spacing w:line="600" w:lineRule="auto"/>
        <w:ind w:left="567" w:hanging="567"/>
      </w:pPr>
      <w:r>
        <w:lastRenderedPageBreak/>
        <w:t xml:space="preserve">Waller, L. </w:t>
      </w:r>
      <w:r>
        <w:rPr>
          <w:i/>
          <w:iCs/>
        </w:rPr>
        <w:t>et al.</w:t>
      </w:r>
      <w:r>
        <w:t xml:space="preserve"> (2017) “Experiential learning as preparation for leadership,” </w:t>
      </w:r>
      <w:r>
        <w:rPr>
          <w:i/>
          <w:iCs/>
        </w:rPr>
        <w:t>Leadership &amp; Organization Development Journal</w:t>
      </w:r>
      <w:r>
        <w:t xml:space="preserve">, 38(4), pp. 513–529. Available at: </w:t>
      </w:r>
      <w:hyperlink r:id="rId24" w:history="1">
        <w:r w:rsidRPr="002572C7">
          <w:rPr>
            <w:rStyle w:val="Hyperlink"/>
          </w:rPr>
          <w:t>https://doi.org/10.1108/lodj-03-2015-0057</w:t>
        </w:r>
      </w:hyperlink>
      <w:r>
        <w:t xml:space="preserve">.  </w:t>
      </w:r>
    </w:p>
    <w:p w14:paraId="5C9DC449" w14:textId="38043035" w:rsidR="003D3362" w:rsidRDefault="003D3362" w:rsidP="00250DF2">
      <w:pPr>
        <w:pStyle w:val="NormalWeb"/>
        <w:spacing w:line="600" w:lineRule="auto"/>
        <w:ind w:left="567" w:hanging="567"/>
      </w:pPr>
      <w:r>
        <w:t xml:space="preserve">Yarnall, J. (2008) </w:t>
      </w:r>
      <w:r>
        <w:rPr>
          <w:i/>
          <w:iCs/>
        </w:rPr>
        <w:t>Strategic career management: Developing your talent</w:t>
      </w:r>
      <w:r>
        <w:t xml:space="preserve">. Amsterdam: Elsevier/Butterworth-Heinemann.  </w:t>
      </w:r>
    </w:p>
    <w:p w14:paraId="394E3A75" w14:textId="77777777" w:rsidR="003D3362" w:rsidRPr="003D3362" w:rsidRDefault="003D3362" w:rsidP="00250DF2">
      <w:pPr>
        <w:spacing w:line="600" w:lineRule="auto"/>
        <w:jc w:val="both"/>
        <w:rPr>
          <w:rFonts w:ascii="Times New Roman" w:eastAsia="Times New Roman" w:hAnsi="Times New Roman" w:cs="Times New Roman"/>
          <w:iCs/>
          <w:sz w:val="24"/>
          <w:szCs w:val="24"/>
        </w:rPr>
      </w:pPr>
    </w:p>
    <w:sectPr w:rsidR="003D3362" w:rsidRPr="003D3362" w:rsidSect="00C44277">
      <w:footerReference w:type="default" r:id="rId2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70263" w14:textId="77777777" w:rsidR="00CB18EB" w:rsidRDefault="00CB18EB">
      <w:pPr>
        <w:spacing w:line="240" w:lineRule="auto"/>
      </w:pPr>
      <w:r>
        <w:separator/>
      </w:r>
    </w:p>
  </w:endnote>
  <w:endnote w:type="continuationSeparator" w:id="0">
    <w:p w14:paraId="4E9216CD" w14:textId="77777777" w:rsidR="00CB18EB" w:rsidRDefault="00CB18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192414"/>
      <w:docPartObj>
        <w:docPartGallery w:val="Page Numbers (Bottom of Page)"/>
        <w:docPartUnique/>
      </w:docPartObj>
    </w:sdtPr>
    <w:sdtEndPr>
      <w:rPr>
        <w:noProof/>
      </w:rPr>
    </w:sdtEndPr>
    <w:sdtContent>
      <w:p w14:paraId="011067A5" w14:textId="51424D5F" w:rsidR="00C44277" w:rsidRDefault="00C442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3AA3C7" w14:textId="77777777" w:rsidR="00C44277" w:rsidRDefault="00C44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7B6F1" w14:textId="77777777" w:rsidR="00CB18EB" w:rsidRDefault="00CB18EB">
      <w:pPr>
        <w:spacing w:line="240" w:lineRule="auto"/>
      </w:pPr>
      <w:r>
        <w:separator/>
      </w:r>
    </w:p>
  </w:footnote>
  <w:footnote w:type="continuationSeparator" w:id="0">
    <w:p w14:paraId="515F6EE3" w14:textId="77777777" w:rsidR="00CB18EB" w:rsidRDefault="00CB18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556417"/>
    <w:multiLevelType w:val="hybridMultilevel"/>
    <w:tmpl w:val="42669F3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586"/>
    <w:rsid w:val="00021586"/>
    <w:rsid w:val="00076558"/>
    <w:rsid w:val="00182516"/>
    <w:rsid w:val="00223D10"/>
    <w:rsid w:val="00250DF2"/>
    <w:rsid w:val="003D3362"/>
    <w:rsid w:val="003D6C3D"/>
    <w:rsid w:val="004311F1"/>
    <w:rsid w:val="005E4051"/>
    <w:rsid w:val="00996DB2"/>
    <w:rsid w:val="00A25525"/>
    <w:rsid w:val="00BA5CCD"/>
    <w:rsid w:val="00BF5951"/>
    <w:rsid w:val="00C44277"/>
    <w:rsid w:val="00CB18EB"/>
    <w:rsid w:val="00E32C7A"/>
    <w:rsid w:val="00E90570"/>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B3A34"/>
  <w15:docId w15:val="{98BB311D-A10A-4408-908B-3F9028698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996DB2"/>
    <w:pPr>
      <w:keepNext/>
      <w:keepLines/>
      <w:spacing w:line="600" w:lineRule="auto"/>
      <w:jc w:val="both"/>
      <w:outlineLvl w:val="0"/>
    </w:pPr>
    <w:rPr>
      <w:rFonts w:ascii="Times New Roman" w:hAnsi="Times New Roman"/>
      <w:color w:val="365F91" w:themeColor="accent1" w:themeShade="BF"/>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3D3362"/>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3D3362"/>
    <w:rPr>
      <w:color w:val="0000FF" w:themeColor="hyperlink"/>
      <w:u w:val="single"/>
    </w:rPr>
  </w:style>
  <w:style w:type="character" w:styleId="UnresolvedMention">
    <w:name w:val="Unresolved Mention"/>
    <w:basedOn w:val="DefaultParagraphFont"/>
    <w:uiPriority w:val="99"/>
    <w:semiHidden/>
    <w:unhideWhenUsed/>
    <w:rsid w:val="003D3362"/>
    <w:rPr>
      <w:color w:val="605E5C"/>
      <w:shd w:val="clear" w:color="auto" w:fill="E1DFDD"/>
    </w:rPr>
  </w:style>
  <w:style w:type="paragraph" w:styleId="Header">
    <w:name w:val="header"/>
    <w:basedOn w:val="Normal"/>
    <w:link w:val="HeaderChar"/>
    <w:uiPriority w:val="99"/>
    <w:unhideWhenUsed/>
    <w:rsid w:val="00250DF2"/>
    <w:pPr>
      <w:tabs>
        <w:tab w:val="center" w:pos="4513"/>
        <w:tab w:val="right" w:pos="9026"/>
      </w:tabs>
      <w:spacing w:line="240" w:lineRule="auto"/>
    </w:pPr>
  </w:style>
  <w:style w:type="character" w:customStyle="1" w:styleId="HeaderChar">
    <w:name w:val="Header Char"/>
    <w:basedOn w:val="DefaultParagraphFont"/>
    <w:link w:val="Header"/>
    <w:uiPriority w:val="99"/>
    <w:rsid w:val="00250DF2"/>
  </w:style>
  <w:style w:type="paragraph" w:styleId="Footer">
    <w:name w:val="footer"/>
    <w:basedOn w:val="Normal"/>
    <w:link w:val="FooterChar"/>
    <w:uiPriority w:val="99"/>
    <w:unhideWhenUsed/>
    <w:rsid w:val="00250DF2"/>
    <w:pPr>
      <w:tabs>
        <w:tab w:val="center" w:pos="4513"/>
        <w:tab w:val="right" w:pos="9026"/>
      </w:tabs>
      <w:spacing w:line="240" w:lineRule="auto"/>
    </w:pPr>
  </w:style>
  <w:style w:type="character" w:customStyle="1" w:styleId="FooterChar">
    <w:name w:val="Footer Char"/>
    <w:basedOn w:val="DefaultParagraphFont"/>
    <w:link w:val="Footer"/>
    <w:uiPriority w:val="99"/>
    <w:rsid w:val="00250DF2"/>
  </w:style>
  <w:style w:type="paragraph" w:styleId="TOCHeading">
    <w:name w:val="TOC Heading"/>
    <w:basedOn w:val="Heading1"/>
    <w:next w:val="Normal"/>
    <w:uiPriority w:val="39"/>
    <w:unhideWhenUsed/>
    <w:qFormat/>
    <w:rsid w:val="00C44277"/>
    <w:pPr>
      <w:spacing w:before="240" w:line="259" w:lineRule="auto"/>
      <w:jc w:val="left"/>
      <w:outlineLvl w:val="9"/>
    </w:pPr>
    <w:rPr>
      <w:rFonts w:asciiTheme="majorHAnsi" w:eastAsiaTheme="majorEastAsia" w:hAnsiTheme="majorHAnsi" w:cstheme="majorBidi"/>
      <w:szCs w:val="32"/>
      <w:lang w:val="en-US" w:eastAsia="en-US"/>
    </w:rPr>
  </w:style>
  <w:style w:type="paragraph" w:styleId="TOC1">
    <w:name w:val="toc 1"/>
    <w:basedOn w:val="Normal"/>
    <w:next w:val="Normal"/>
    <w:autoRedefine/>
    <w:uiPriority w:val="39"/>
    <w:unhideWhenUsed/>
    <w:rsid w:val="00E90570"/>
    <w:pPr>
      <w:tabs>
        <w:tab w:val="right" w:leader="dot" w:pos="9350"/>
      </w:tabs>
      <w:spacing w:after="100" w:line="600" w:lineRule="auto"/>
    </w:pPr>
    <w:rPr>
      <w:rFonts w:ascii="Times New Roman" w:hAnsi="Times New Roman" w:cs="Times New Roman"/>
      <w:noProof/>
      <w:sz w:val="28"/>
      <w:szCs w:val="28"/>
      <w:shd w:val="pct15"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113749">
      <w:bodyDiv w:val="1"/>
      <w:marLeft w:val="0"/>
      <w:marRight w:val="0"/>
      <w:marTop w:val="0"/>
      <w:marBottom w:val="0"/>
      <w:divBdr>
        <w:top w:val="none" w:sz="0" w:space="0" w:color="auto"/>
        <w:left w:val="none" w:sz="0" w:space="0" w:color="auto"/>
        <w:bottom w:val="none" w:sz="0" w:space="0" w:color="auto"/>
        <w:right w:val="none" w:sz="0" w:space="0" w:color="auto"/>
      </w:divBdr>
    </w:div>
    <w:div w:id="5908914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hyperlink" Target="https://doi.org/10.1016/j.sbspro.2012.03.23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c.gla.ac.uk/media/Media_481292_smxx.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02/hrdq.2133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20856/jnicec.4608" TargetMode="External"/><Relationship Id="rId20" Type="http://schemas.openxmlformats.org/officeDocument/2006/relationships/hyperlink" Target="https://www.gla.ac.uk/media/Media_305998_smxx.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v:/r/personal/2226088_student_uwtsd_ac_uk/Documents/Recordings/Call%20with%20Pei%20Xian%20Lim,%20Tracy%20Wan%20See%20Cheong,%20Zhi%20Yan%20Tan-20230502_224956-Meeting%20Recording.mp4?csf=1&amp;web=1&amp;e=dzEqQR" TargetMode="External"/><Relationship Id="rId24" Type="http://schemas.openxmlformats.org/officeDocument/2006/relationships/hyperlink" Target="https://doi.org/10.1108/lodj-03-2015-0057" TargetMode="External"/><Relationship Id="rId5" Type="http://schemas.openxmlformats.org/officeDocument/2006/relationships/webSettings" Target="webSettings.xml"/><Relationship Id="rId15" Type="http://schemas.openxmlformats.org/officeDocument/2006/relationships/hyperlink" Target="https://lattice.com/library/the-3-pillars-of-learning-development" TargetMode="External"/><Relationship Id="rId23" Type="http://schemas.openxmlformats.org/officeDocument/2006/relationships/hyperlink" Target="https://www.gla.ac.uk/myglasgow/humanresources/all/pay/pdr/" TargetMode="External"/><Relationship Id="rId10" Type="http://schemas.openxmlformats.org/officeDocument/2006/relationships/image" Target="media/image3.png"/><Relationship Id="rId19" Type="http://schemas.openxmlformats.org/officeDocument/2006/relationships/hyperlink" Target="https://sloanreview.mit.edu/article/why-every-executive-should-be-focusing-on-culture-change-n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br.org/2019/10/where-companies-go-wrong-with-learning-and-development" TargetMode="External"/><Relationship Id="rId22" Type="http://schemas.openxmlformats.org/officeDocument/2006/relationships/hyperlink" Target="https://www.gla.ac.uk/myglasgow/humanresources/all/pay/pdr/pdrproc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050B50-9205-4D3B-9774-E0BCF86EC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1742</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Pei Xian</cp:lastModifiedBy>
  <cp:revision>22</cp:revision>
  <dcterms:created xsi:type="dcterms:W3CDTF">2023-05-02T15:53:00Z</dcterms:created>
  <dcterms:modified xsi:type="dcterms:W3CDTF">2023-05-02T22:12:00Z</dcterms:modified>
</cp:coreProperties>
</file>