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200D7" w14:textId="4CA5EE95" w:rsidR="003E1FAC" w:rsidRDefault="003E1FAC" w:rsidP="003E1FAC">
      <w:pPr>
        <w:shd w:val="clear" w:color="auto" w:fill="002060"/>
        <w:spacing w:line="360" w:lineRule="auto"/>
        <w:jc w:val="center"/>
        <w:rPr>
          <w:b/>
          <w:i/>
          <w:color w:val="FFFFFF"/>
          <w:sz w:val="36"/>
          <w:szCs w:val="36"/>
        </w:rPr>
      </w:pPr>
      <w:r>
        <w:rPr>
          <w:b/>
          <w:i/>
          <w:color w:val="FFFFFF"/>
          <w:sz w:val="36"/>
          <w:szCs w:val="36"/>
        </w:rPr>
        <w:t>Global Business Environment</w:t>
      </w:r>
    </w:p>
    <w:p w14:paraId="67A1B7F6" w14:textId="77777777" w:rsidR="003E1FAC" w:rsidRDefault="003E1FAC" w:rsidP="003E1FAC">
      <w:pPr>
        <w:spacing w:line="360" w:lineRule="auto"/>
        <w:rPr>
          <w:sz w:val="32"/>
          <w:szCs w:val="32"/>
        </w:rPr>
      </w:pPr>
      <w:r>
        <w:rPr>
          <w:b/>
          <w:sz w:val="32"/>
          <w:szCs w:val="32"/>
        </w:rPr>
        <w:t xml:space="preserve">                                         </w:t>
      </w:r>
      <w:r w:rsidRPr="003E1FAC">
        <w:rPr>
          <w:b/>
          <w:sz w:val="32"/>
          <w:szCs w:val="32"/>
        </w:rPr>
        <w:t>(LCBB4005_BIRM)</w:t>
      </w:r>
      <w:r>
        <w:rPr>
          <w:b/>
          <w:sz w:val="32"/>
          <w:szCs w:val="32"/>
        </w:rPr>
        <w:br/>
      </w:r>
      <w:r>
        <w:rPr>
          <w:b/>
          <w:sz w:val="32"/>
          <w:szCs w:val="32"/>
        </w:rPr>
        <w:br/>
      </w:r>
      <w:r>
        <w:rPr>
          <w:b/>
          <w:sz w:val="32"/>
          <w:szCs w:val="32"/>
        </w:rPr>
        <w:br/>
      </w:r>
      <w:r>
        <w:rPr>
          <w:b/>
          <w:sz w:val="32"/>
          <w:szCs w:val="32"/>
        </w:rPr>
        <w:br/>
      </w:r>
    </w:p>
    <w:p w14:paraId="2E3E696B" w14:textId="77777777" w:rsidR="003E1FAC" w:rsidRDefault="003E1FAC" w:rsidP="003E1FAC">
      <w:pPr>
        <w:spacing w:line="360" w:lineRule="auto"/>
        <w:rPr>
          <w:sz w:val="32"/>
          <w:szCs w:val="32"/>
        </w:rPr>
      </w:pPr>
    </w:p>
    <w:p w14:paraId="7739287A" w14:textId="77777777" w:rsidR="003E1FAC" w:rsidRDefault="003E1FAC" w:rsidP="003E1FAC">
      <w:pPr>
        <w:spacing w:line="360" w:lineRule="auto"/>
        <w:rPr>
          <w:sz w:val="32"/>
          <w:szCs w:val="32"/>
        </w:rPr>
      </w:pPr>
    </w:p>
    <w:p w14:paraId="3EF2C94F" w14:textId="77777777" w:rsidR="003E1FAC" w:rsidRDefault="003E1FAC" w:rsidP="003E1FAC">
      <w:pPr>
        <w:spacing w:line="360" w:lineRule="auto"/>
        <w:rPr>
          <w:sz w:val="32"/>
          <w:szCs w:val="32"/>
        </w:rPr>
      </w:pPr>
    </w:p>
    <w:p w14:paraId="3E66AA81" w14:textId="77777777" w:rsidR="003E1FAC" w:rsidRDefault="003E1FAC" w:rsidP="003E1FAC">
      <w:pPr>
        <w:spacing w:line="360" w:lineRule="auto"/>
        <w:rPr>
          <w:sz w:val="32"/>
          <w:szCs w:val="32"/>
        </w:rPr>
      </w:pPr>
    </w:p>
    <w:p w14:paraId="39263DEA" w14:textId="09119A8B" w:rsidR="008B0BBF" w:rsidRPr="003E1FAC" w:rsidRDefault="003E1FAC" w:rsidP="003E1FAC">
      <w:pPr>
        <w:spacing w:line="360" w:lineRule="auto"/>
        <w:rPr>
          <w:sz w:val="32"/>
          <w:szCs w:val="32"/>
        </w:rPr>
      </w:pPr>
      <w:r w:rsidRPr="003E1FAC">
        <w:rPr>
          <w:sz w:val="28"/>
          <w:szCs w:val="28"/>
        </w:rPr>
        <w:t>Student name: Cristina-Valentina Solomon</w:t>
      </w:r>
      <w:r w:rsidRPr="003E1FAC">
        <w:rPr>
          <w:sz w:val="28"/>
          <w:szCs w:val="28"/>
        </w:rPr>
        <w:br/>
        <w:t>Student ID number: 2025748</w:t>
      </w:r>
      <w:r w:rsidRPr="003E1FAC">
        <w:rPr>
          <w:sz w:val="28"/>
          <w:szCs w:val="28"/>
        </w:rPr>
        <w:br/>
        <w:t>Programme: BA (Hons) Business Management – Skills for the Workplace</w:t>
      </w:r>
      <w:r>
        <w:rPr>
          <w:sz w:val="32"/>
          <w:szCs w:val="32"/>
        </w:rPr>
        <w:br/>
      </w:r>
      <w:r w:rsidR="007A70AA">
        <w:rPr>
          <w:sz w:val="32"/>
          <w:szCs w:val="32"/>
        </w:rPr>
        <w:t xml:space="preserve">Lecturer: </w:t>
      </w:r>
      <w:proofErr w:type="spellStart"/>
      <w:r w:rsidR="007A70AA">
        <w:rPr>
          <w:sz w:val="32"/>
          <w:szCs w:val="32"/>
        </w:rPr>
        <w:t>Uwaoma</w:t>
      </w:r>
      <w:proofErr w:type="spellEnd"/>
      <w:r w:rsidR="007A70AA">
        <w:rPr>
          <w:sz w:val="32"/>
          <w:szCs w:val="32"/>
        </w:rPr>
        <w:t xml:space="preserve"> </w:t>
      </w:r>
      <w:proofErr w:type="spellStart"/>
      <w:r w:rsidR="007A70AA">
        <w:rPr>
          <w:sz w:val="32"/>
          <w:szCs w:val="32"/>
        </w:rPr>
        <w:t>Ochonogor</w:t>
      </w:r>
      <w:proofErr w:type="spellEnd"/>
      <w:r w:rsidR="007A70AA">
        <w:rPr>
          <w:sz w:val="32"/>
          <w:szCs w:val="32"/>
        </w:rPr>
        <w:br/>
        <w:t>Module Coordinator: Dr. Eric Osei</w:t>
      </w:r>
      <w:r w:rsidR="004645E0" w:rsidRPr="003E1FAC">
        <w:rPr>
          <w:sz w:val="32"/>
          <w:szCs w:val="32"/>
        </w:rPr>
        <w:br w:type="page"/>
      </w:r>
    </w:p>
    <w:p w14:paraId="0B221EF1" w14:textId="77777777" w:rsidR="008B0BBF" w:rsidRDefault="004645E0">
      <w:pPr>
        <w:keepNext/>
        <w:keepLines/>
        <w:pBdr>
          <w:top w:val="nil"/>
          <w:left w:val="nil"/>
          <w:bottom w:val="nil"/>
          <w:right w:val="nil"/>
          <w:between w:val="nil"/>
        </w:pBdr>
        <w:shd w:val="clear" w:color="auto" w:fill="002060"/>
        <w:spacing w:before="240" w:after="0" w:line="360" w:lineRule="auto"/>
        <w:jc w:val="center"/>
        <w:rPr>
          <w:b/>
          <w:color w:val="FFFFFF"/>
          <w:sz w:val="36"/>
          <w:szCs w:val="36"/>
        </w:rPr>
      </w:pPr>
      <w:r>
        <w:rPr>
          <w:b/>
          <w:color w:val="FFFFFF"/>
          <w:sz w:val="36"/>
          <w:szCs w:val="36"/>
        </w:rPr>
        <w:lastRenderedPageBreak/>
        <w:t>Table of Contents</w:t>
      </w:r>
    </w:p>
    <w:sdt>
      <w:sdtPr>
        <w:id w:val="-1097553448"/>
        <w:docPartObj>
          <w:docPartGallery w:val="Table of Contents"/>
          <w:docPartUnique/>
        </w:docPartObj>
      </w:sdtPr>
      <w:sdtEndPr/>
      <w:sdtContent>
        <w:p w14:paraId="3709AA5D" w14:textId="77777777" w:rsidR="008B0BBF" w:rsidRDefault="004645E0">
          <w:pPr>
            <w:pBdr>
              <w:top w:val="nil"/>
              <w:left w:val="nil"/>
              <w:bottom w:val="nil"/>
              <w:right w:val="nil"/>
              <w:between w:val="nil"/>
            </w:pBdr>
            <w:tabs>
              <w:tab w:val="right" w:pos="9350"/>
            </w:tabs>
            <w:spacing w:after="100"/>
            <w:jc w:val="center"/>
            <w:rPr>
              <w:rFonts w:ascii="Calibri" w:eastAsia="Calibri" w:hAnsi="Calibri" w:cs="Calibri"/>
              <w:color w:val="000000"/>
              <w:sz w:val="22"/>
              <w:szCs w:val="22"/>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08D98F13" w14:textId="77777777" w:rsidR="008B0BBF" w:rsidRDefault="004645E0">
          <w:pPr>
            <w:pBdr>
              <w:top w:val="nil"/>
              <w:left w:val="nil"/>
              <w:bottom w:val="nil"/>
              <w:right w:val="nil"/>
              <w:between w:val="nil"/>
            </w:pBdr>
            <w:tabs>
              <w:tab w:val="right" w:pos="9350"/>
            </w:tabs>
            <w:spacing w:after="100"/>
            <w:jc w:val="center"/>
            <w:rPr>
              <w:rFonts w:ascii="Calibri" w:eastAsia="Calibri" w:hAnsi="Calibri" w:cs="Calibri"/>
              <w:color w:val="000000"/>
              <w:sz w:val="22"/>
              <w:szCs w:val="22"/>
            </w:rPr>
          </w:pPr>
          <w:hyperlink w:anchor="_30j0zll">
            <w:r>
              <w:rPr>
                <w:color w:val="000000"/>
              </w:rPr>
              <w:t>The major forces shaping the global business environment</w:t>
            </w:r>
            <w:r>
              <w:rPr>
                <w:color w:val="000000"/>
              </w:rPr>
              <w:tab/>
              <w:t>4</w:t>
            </w:r>
          </w:hyperlink>
        </w:p>
        <w:p w14:paraId="1D5284DA" w14:textId="77777777" w:rsidR="008B0BBF" w:rsidRDefault="004645E0">
          <w:pPr>
            <w:pBdr>
              <w:top w:val="nil"/>
              <w:left w:val="nil"/>
              <w:bottom w:val="nil"/>
              <w:right w:val="nil"/>
              <w:between w:val="nil"/>
            </w:pBdr>
            <w:tabs>
              <w:tab w:val="right" w:pos="9350"/>
            </w:tabs>
            <w:spacing w:after="100"/>
            <w:jc w:val="center"/>
            <w:rPr>
              <w:rFonts w:ascii="Calibri" w:eastAsia="Calibri" w:hAnsi="Calibri" w:cs="Calibri"/>
              <w:color w:val="000000"/>
              <w:sz w:val="22"/>
              <w:szCs w:val="22"/>
            </w:rPr>
          </w:pPr>
          <w:hyperlink w:anchor="_1fob9te">
            <w:r>
              <w:rPr>
                <w:color w:val="000000"/>
              </w:rPr>
              <w:t>Recognizing major forces shaping global business environment</w:t>
            </w:r>
            <w:r>
              <w:rPr>
                <w:color w:val="000000"/>
              </w:rPr>
              <w:tab/>
              <w:t>4</w:t>
            </w:r>
          </w:hyperlink>
        </w:p>
        <w:p w14:paraId="01BF5479" w14:textId="77777777" w:rsidR="008B0BBF" w:rsidRDefault="004645E0">
          <w:pPr>
            <w:pBdr>
              <w:top w:val="nil"/>
              <w:left w:val="nil"/>
              <w:bottom w:val="nil"/>
              <w:right w:val="nil"/>
              <w:between w:val="nil"/>
            </w:pBdr>
            <w:tabs>
              <w:tab w:val="right" w:pos="9350"/>
            </w:tabs>
            <w:spacing w:after="100"/>
            <w:jc w:val="center"/>
            <w:rPr>
              <w:rFonts w:ascii="Calibri" w:eastAsia="Calibri" w:hAnsi="Calibri" w:cs="Calibri"/>
              <w:color w:val="000000"/>
              <w:sz w:val="22"/>
              <w:szCs w:val="22"/>
            </w:rPr>
          </w:pPr>
          <w:hyperlink w:anchor="_3znysh7">
            <w:r>
              <w:rPr>
                <w:color w:val="000000"/>
              </w:rPr>
              <w:t>Relevant business models</w:t>
            </w:r>
            <w:r>
              <w:rPr>
                <w:color w:val="000000"/>
              </w:rPr>
              <w:tab/>
              <w:t>6</w:t>
            </w:r>
          </w:hyperlink>
        </w:p>
        <w:p w14:paraId="24185F0E" w14:textId="77777777" w:rsidR="008B0BBF" w:rsidRDefault="004645E0">
          <w:pPr>
            <w:pBdr>
              <w:top w:val="nil"/>
              <w:left w:val="nil"/>
              <w:bottom w:val="nil"/>
              <w:right w:val="nil"/>
              <w:between w:val="nil"/>
            </w:pBdr>
            <w:tabs>
              <w:tab w:val="right" w:pos="9350"/>
            </w:tabs>
            <w:spacing w:after="100"/>
            <w:ind w:left="240"/>
            <w:jc w:val="center"/>
            <w:rPr>
              <w:rFonts w:ascii="Calibri" w:eastAsia="Calibri" w:hAnsi="Calibri" w:cs="Calibri"/>
              <w:color w:val="000000"/>
              <w:sz w:val="22"/>
              <w:szCs w:val="22"/>
            </w:rPr>
          </w:pPr>
          <w:hyperlink w:anchor="_2et92p0">
            <w:r>
              <w:rPr>
                <w:color w:val="000000"/>
              </w:rPr>
              <w:t>Pestle analysis:</w:t>
            </w:r>
            <w:r>
              <w:rPr>
                <w:color w:val="000000"/>
              </w:rPr>
              <w:tab/>
              <w:t>6</w:t>
            </w:r>
          </w:hyperlink>
        </w:p>
        <w:p w14:paraId="56035F4C" w14:textId="77777777" w:rsidR="008B0BBF" w:rsidRDefault="004645E0">
          <w:pPr>
            <w:pBdr>
              <w:top w:val="nil"/>
              <w:left w:val="nil"/>
              <w:bottom w:val="nil"/>
              <w:right w:val="nil"/>
              <w:between w:val="nil"/>
            </w:pBdr>
            <w:tabs>
              <w:tab w:val="right" w:pos="9350"/>
            </w:tabs>
            <w:spacing w:after="100"/>
            <w:ind w:left="240"/>
            <w:jc w:val="center"/>
            <w:rPr>
              <w:rFonts w:ascii="Calibri" w:eastAsia="Calibri" w:hAnsi="Calibri" w:cs="Calibri"/>
              <w:color w:val="000000"/>
              <w:sz w:val="22"/>
              <w:szCs w:val="22"/>
            </w:rPr>
          </w:pPr>
          <w:hyperlink w:anchor="_tyjcwt">
            <w:r>
              <w:rPr>
                <w:color w:val="000000"/>
              </w:rPr>
              <w:t>Porter's Diamond model</w:t>
            </w:r>
            <w:r>
              <w:rPr>
                <w:color w:val="000000"/>
              </w:rPr>
              <w:tab/>
              <w:t>7</w:t>
            </w:r>
          </w:hyperlink>
        </w:p>
        <w:p w14:paraId="5A6BD4D4" w14:textId="77777777" w:rsidR="008B0BBF" w:rsidRDefault="004645E0">
          <w:pPr>
            <w:pBdr>
              <w:top w:val="nil"/>
              <w:left w:val="nil"/>
              <w:bottom w:val="nil"/>
              <w:right w:val="nil"/>
              <w:between w:val="nil"/>
            </w:pBdr>
            <w:tabs>
              <w:tab w:val="right" w:pos="9350"/>
            </w:tabs>
            <w:spacing w:after="100"/>
            <w:jc w:val="center"/>
            <w:rPr>
              <w:rFonts w:ascii="Calibri" w:eastAsia="Calibri" w:hAnsi="Calibri" w:cs="Calibri"/>
              <w:color w:val="000000"/>
              <w:sz w:val="22"/>
              <w:szCs w:val="22"/>
            </w:rPr>
          </w:pPr>
          <w:hyperlink w:anchor="_3dy6vkm">
            <w:r>
              <w:rPr>
                <w:color w:val="000000"/>
              </w:rPr>
              <w:t>The reasons for internationalization:</w:t>
            </w:r>
            <w:r>
              <w:rPr>
                <w:color w:val="000000"/>
              </w:rPr>
              <w:tab/>
              <w:t>9</w:t>
            </w:r>
          </w:hyperlink>
        </w:p>
        <w:p w14:paraId="75D0AA45" w14:textId="77777777" w:rsidR="008B0BBF" w:rsidRDefault="004645E0">
          <w:pPr>
            <w:pBdr>
              <w:top w:val="nil"/>
              <w:left w:val="nil"/>
              <w:bottom w:val="nil"/>
              <w:right w:val="nil"/>
              <w:between w:val="nil"/>
            </w:pBdr>
            <w:tabs>
              <w:tab w:val="right" w:pos="9350"/>
            </w:tabs>
            <w:spacing w:after="100"/>
            <w:jc w:val="center"/>
            <w:rPr>
              <w:rFonts w:ascii="Calibri" w:eastAsia="Calibri" w:hAnsi="Calibri" w:cs="Calibri"/>
              <w:color w:val="000000"/>
              <w:sz w:val="22"/>
              <w:szCs w:val="22"/>
            </w:rPr>
          </w:pPr>
          <w:hyperlink w:anchor="_1t3h5sf">
            <w:r>
              <w:rPr>
                <w:color w:val="000000"/>
              </w:rPr>
              <w:t>Market structure and changes in strategy</w:t>
            </w:r>
            <w:r>
              <w:rPr>
                <w:color w:val="000000"/>
              </w:rPr>
              <w:tab/>
              <w:t>10</w:t>
            </w:r>
          </w:hyperlink>
        </w:p>
        <w:p w14:paraId="6121106D" w14:textId="77777777" w:rsidR="008B0BBF" w:rsidRDefault="004645E0">
          <w:pPr>
            <w:pBdr>
              <w:top w:val="nil"/>
              <w:left w:val="nil"/>
              <w:bottom w:val="nil"/>
              <w:right w:val="nil"/>
              <w:between w:val="nil"/>
            </w:pBdr>
            <w:tabs>
              <w:tab w:val="right" w:pos="9350"/>
            </w:tabs>
            <w:spacing w:after="100"/>
            <w:jc w:val="center"/>
            <w:rPr>
              <w:rFonts w:ascii="Calibri" w:eastAsia="Calibri" w:hAnsi="Calibri" w:cs="Calibri"/>
              <w:color w:val="000000"/>
              <w:sz w:val="22"/>
              <w:szCs w:val="22"/>
            </w:rPr>
          </w:pPr>
          <w:hyperlink w:anchor="_4d34og8">
            <w:r>
              <w:rPr>
                <w:color w:val="000000"/>
              </w:rPr>
              <w:t>Conclusion</w:t>
            </w:r>
            <w:r>
              <w:rPr>
                <w:color w:val="000000"/>
              </w:rPr>
              <w:tab/>
              <w:t>11</w:t>
            </w:r>
          </w:hyperlink>
        </w:p>
        <w:p w14:paraId="4C800D13" w14:textId="77777777" w:rsidR="008B0BBF" w:rsidRDefault="004645E0">
          <w:pPr>
            <w:pBdr>
              <w:top w:val="nil"/>
              <w:left w:val="nil"/>
              <w:bottom w:val="nil"/>
              <w:right w:val="nil"/>
              <w:between w:val="nil"/>
            </w:pBdr>
            <w:tabs>
              <w:tab w:val="right" w:pos="9350"/>
            </w:tabs>
            <w:spacing w:after="100"/>
            <w:jc w:val="center"/>
            <w:rPr>
              <w:rFonts w:ascii="Calibri" w:eastAsia="Calibri" w:hAnsi="Calibri" w:cs="Calibri"/>
              <w:color w:val="000000"/>
              <w:sz w:val="22"/>
              <w:szCs w:val="22"/>
            </w:rPr>
          </w:pPr>
          <w:hyperlink w:anchor="_2s8eyo1">
            <w:r>
              <w:rPr>
                <w:color w:val="000000"/>
              </w:rPr>
              <w:t>Reference</w:t>
            </w:r>
            <w:r>
              <w:rPr>
                <w:color w:val="000000"/>
              </w:rPr>
              <w:tab/>
              <w:t>12</w:t>
            </w:r>
          </w:hyperlink>
        </w:p>
        <w:p w14:paraId="678265D2" w14:textId="77777777" w:rsidR="008B0BBF" w:rsidRDefault="004645E0">
          <w:pPr>
            <w:spacing w:line="360" w:lineRule="auto"/>
            <w:jc w:val="center"/>
          </w:pPr>
          <w:r>
            <w:fldChar w:fldCharType="end"/>
          </w:r>
        </w:p>
      </w:sdtContent>
    </w:sdt>
    <w:p w14:paraId="108913EA" w14:textId="77777777" w:rsidR="008B0BBF" w:rsidRDefault="008B0BBF">
      <w:pPr>
        <w:pStyle w:val="Heading1"/>
        <w:spacing w:line="360" w:lineRule="auto"/>
        <w:jc w:val="center"/>
        <w:rPr>
          <w:b/>
          <w:u w:val="single"/>
        </w:rPr>
      </w:pPr>
    </w:p>
    <w:p w14:paraId="75CDBDB0" w14:textId="77777777" w:rsidR="008B0BBF" w:rsidRDefault="008B0BBF">
      <w:pPr>
        <w:spacing w:line="360" w:lineRule="auto"/>
        <w:jc w:val="center"/>
      </w:pPr>
    </w:p>
    <w:p w14:paraId="70F3064A" w14:textId="77777777" w:rsidR="008B0BBF" w:rsidRDefault="008B0BBF">
      <w:pPr>
        <w:spacing w:line="360" w:lineRule="auto"/>
        <w:jc w:val="center"/>
      </w:pPr>
    </w:p>
    <w:p w14:paraId="364540BD" w14:textId="77777777" w:rsidR="008B0BBF" w:rsidRDefault="008B0BBF">
      <w:pPr>
        <w:spacing w:line="360" w:lineRule="auto"/>
        <w:jc w:val="center"/>
      </w:pPr>
    </w:p>
    <w:p w14:paraId="19D1763E" w14:textId="77777777" w:rsidR="008B0BBF" w:rsidRDefault="008B0BBF">
      <w:pPr>
        <w:spacing w:line="360" w:lineRule="auto"/>
        <w:jc w:val="center"/>
      </w:pPr>
    </w:p>
    <w:p w14:paraId="13B1EB5D" w14:textId="77777777" w:rsidR="008B0BBF" w:rsidRDefault="008B0BBF">
      <w:pPr>
        <w:spacing w:line="360" w:lineRule="auto"/>
        <w:jc w:val="center"/>
      </w:pPr>
    </w:p>
    <w:p w14:paraId="2B9F0329" w14:textId="77777777" w:rsidR="008B0BBF" w:rsidRDefault="008B0BBF">
      <w:pPr>
        <w:spacing w:line="360" w:lineRule="auto"/>
        <w:jc w:val="center"/>
      </w:pPr>
    </w:p>
    <w:p w14:paraId="0E491477" w14:textId="77777777" w:rsidR="008B0BBF" w:rsidRDefault="004645E0">
      <w:pPr>
        <w:spacing w:line="360" w:lineRule="auto"/>
        <w:jc w:val="center"/>
        <w:rPr>
          <w:color w:val="1F3864"/>
          <w:sz w:val="32"/>
          <w:szCs w:val="32"/>
        </w:rPr>
      </w:pPr>
      <w:r>
        <w:br w:type="page"/>
      </w:r>
    </w:p>
    <w:p w14:paraId="24A2C12B" w14:textId="77777777" w:rsidR="008B0BBF" w:rsidRDefault="004645E0">
      <w:pPr>
        <w:pStyle w:val="Heading1"/>
        <w:spacing w:line="360" w:lineRule="auto"/>
        <w:jc w:val="center"/>
        <w:rPr>
          <w:b/>
          <w:u w:val="single"/>
        </w:rPr>
      </w:pPr>
      <w:bookmarkStart w:id="0" w:name="_gjdgxs" w:colFirst="0" w:colLast="0"/>
      <w:bookmarkEnd w:id="0"/>
      <w:r>
        <w:rPr>
          <w:b/>
          <w:u w:val="single"/>
        </w:rPr>
        <w:lastRenderedPageBreak/>
        <w:t>Introduction</w:t>
      </w:r>
    </w:p>
    <w:p w14:paraId="12D96158" w14:textId="77777777" w:rsidR="008B0BBF" w:rsidRDefault="004645E0">
      <w:pPr>
        <w:spacing w:line="360" w:lineRule="auto"/>
        <w:jc w:val="center"/>
      </w:pPr>
      <w:r>
        <w:t>The Cheese Bar, a must-visit cheese destination in London, opened in 2014 to celebrate and promote the best of British cheese. As the Cheese Truck, they've built a reputation for delivering some of Britain's finest grilled cheese sandwiches fr</w:t>
      </w:r>
      <w:r>
        <w:t>om the famous vintage Bedford vans: Archie, Alfie, and Audrey, which started as a stand at the Maltby Street Market. As well as conquering Glastonbury's fields, they've been in Hollywood films and toured the world, selling half a million sandwiches and bui</w:t>
      </w:r>
      <w:r>
        <w:t>lding an enthusiastic fan base for British cheese. The Cheese Bar decided to open a physical location in 2016 because they felt it was time to expand their business (</w:t>
      </w:r>
      <w:r>
        <w:rPr>
          <w:color w:val="000000"/>
        </w:rPr>
        <w:t>The Cheese Bar, 2021)</w:t>
      </w:r>
      <w:r>
        <w:t>. Within a week after launching their crowdfunding campaign, they had</w:t>
      </w:r>
      <w:r>
        <w:t xml:space="preserve"> raised enough money to establish their first restaurant in Camden the next year. The report is designed to explore the Cheese Bar’s business expansion strategy in China. First of all, the major forces that shape the global business environment are discuss</w:t>
      </w:r>
      <w:r>
        <w:t>ed. Then the relevant business model to know the market potential in China and the reasons for engaging in international business by The Cheese Bar.</w:t>
      </w:r>
    </w:p>
    <w:p w14:paraId="387834D3" w14:textId="77777777" w:rsidR="008B0BBF" w:rsidRDefault="004645E0">
      <w:pPr>
        <w:spacing w:line="360" w:lineRule="auto"/>
        <w:jc w:val="center"/>
        <w:rPr>
          <w:color w:val="1F3864"/>
          <w:sz w:val="32"/>
          <w:szCs w:val="32"/>
        </w:rPr>
      </w:pPr>
      <w:r>
        <w:br w:type="page"/>
      </w:r>
    </w:p>
    <w:p w14:paraId="768F63E8" w14:textId="77777777" w:rsidR="008B0BBF" w:rsidRDefault="004645E0">
      <w:pPr>
        <w:pStyle w:val="Heading1"/>
        <w:spacing w:line="360" w:lineRule="auto"/>
        <w:jc w:val="center"/>
        <w:rPr>
          <w:b/>
          <w:u w:val="single"/>
        </w:rPr>
      </w:pPr>
      <w:bookmarkStart w:id="1" w:name="_30j0zll" w:colFirst="0" w:colLast="0"/>
      <w:bookmarkEnd w:id="1"/>
      <w:r>
        <w:rPr>
          <w:b/>
          <w:u w:val="single"/>
        </w:rPr>
        <w:lastRenderedPageBreak/>
        <w:t>The major forces shaping the global business environment</w:t>
      </w:r>
    </w:p>
    <w:p w14:paraId="75F8B2A4" w14:textId="77777777" w:rsidR="008B0BBF" w:rsidRDefault="004645E0">
      <w:pPr>
        <w:spacing w:line="360" w:lineRule="auto"/>
        <w:jc w:val="center"/>
      </w:pPr>
      <w:r>
        <w:t>Globalization is a buzzword that refers to the w</w:t>
      </w:r>
      <w:r>
        <w:t>orldwide integration and interaction of individuals from many countries, businesses from other countries, and governments from various countries (Meyer, 2017). International commerce and foreign direct investment are the primary drivers of globalization, a</w:t>
      </w:r>
      <w:r>
        <w:t xml:space="preserve">nd these forces are being quickly supplemented by information technology. Globalization has numerous advantages, one of which is the growth of impoverished nations and the improvement of living standards. These developments are feasible because businesses </w:t>
      </w:r>
      <w:r>
        <w:t>may engage in any market. However, free-market systems have provided many possibilities for both domestic and international nations.</w:t>
      </w:r>
    </w:p>
    <w:p w14:paraId="60EA250D" w14:textId="77777777" w:rsidR="008B0BBF" w:rsidRDefault="004645E0">
      <w:pPr>
        <w:pStyle w:val="Heading1"/>
        <w:spacing w:line="360" w:lineRule="auto"/>
        <w:jc w:val="center"/>
        <w:rPr>
          <w:b/>
          <w:u w:val="single"/>
        </w:rPr>
      </w:pPr>
      <w:bookmarkStart w:id="2" w:name="_1fob9te" w:colFirst="0" w:colLast="0"/>
      <w:bookmarkEnd w:id="2"/>
      <w:r>
        <w:rPr>
          <w:b/>
          <w:u w:val="single"/>
        </w:rPr>
        <w:t>Recognizing major forces shaping global business environment</w:t>
      </w:r>
    </w:p>
    <w:p w14:paraId="119C5E15" w14:textId="77777777" w:rsidR="008B0BBF" w:rsidRDefault="004645E0">
      <w:pPr>
        <w:keepNext/>
        <w:spacing w:line="360" w:lineRule="auto"/>
        <w:jc w:val="center"/>
        <w:rPr>
          <w:sz w:val="36"/>
          <w:szCs w:val="36"/>
        </w:rPr>
      </w:pPr>
      <w:r>
        <w:rPr>
          <w:noProof/>
          <w:sz w:val="36"/>
          <w:szCs w:val="36"/>
        </w:rPr>
        <w:drawing>
          <wp:inline distT="0" distB="0" distL="0" distR="0" wp14:anchorId="7309E076" wp14:editId="5CF4FB70">
            <wp:extent cx="4667921" cy="2687394"/>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t="8156"/>
                    <a:stretch>
                      <a:fillRect/>
                    </a:stretch>
                  </pic:blipFill>
                  <pic:spPr>
                    <a:xfrm>
                      <a:off x="0" y="0"/>
                      <a:ext cx="4667921" cy="2687394"/>
                    </a:xfrm>
                    <a:prstGeom prst="rect">
                      <a:avLst/>
                    </a:prstGeom>
                    <a:ln/>
                  </pic:spPr>
                </pic:pic>
              </a:graphicData>
            </a:graphic>
          </wp:inline>
        </w:drawing>
      </w:r>
    </w:p>
    <w:p w14:paraId="36D216DC" w14:textId="77777777" w:rsidR="008B0BBF" w:rsidRDefault="004645E0">
      <w:pPr>
        <w:pBdr>
          <w:top w:val="nil"/>
          <w:left w:val="nil"/>
          <w:bottom w:val="nil"/>
          <w:right w:val="nil"/>
          <w:between w:val="nil"/>
        </w:pBdr>
        <w:spacing w:after="200" w:line="360" w:lineRule="auto"/>
        <w:jc w:val="center"/>
        <w:rPr>
          <w:i/>
          <w:color w:val="44546A"/>
        </w:rPr>
      </w:pPr>
      <w:r>
        <w:rPr>
          <w:i/>
          <w:color w:val="44546A"/>
        </w:rPr>
        <w:t>Figure 1: Forces of global business; Source:</w:t>
      </w:r>
      <w:r>
        <w:rPr>
          <w:i/>
          <w:color w:val="44546A"/>
          <w:sz w:val="18"/>
          <w:szCs w:val="18"/>
        </w:rPr>
        <w:t xml:space="preserve"> </w:t>
      </w:r>
      <w:r>
        <w:rPr>
          <w:i/>
          <w:color w:val="44546A"/>
        </w:rPr>
        <w:t>(John and Lawton, 2018)</w:t>
      </w:r>
    </w:p>
    <w:p w14:paraId="34C3B77C" w14:textId="77777777" w:rsidR="008B0BBF" w:rsidRDefault="004645E0">
      <w:pPr>
        <w:spacing w:line="360" w:lineRule="auto"/>
        <w:jc w:val="center"/>
      </w:pPr>
      <w:r>
        <w:rPr>
          <w:b/>
        </w:rPr>
        <w:t>Technology:</w:t>
      </w:r>
      <w:r>
        <w:t xml:space="preserve"> Technology is the foundation of globalization. Different technologies have compelled businesses to enter new markets. The advancement of transportation technology makes it simpler to access new markets (Shyamsundar et al</w:t>
      </w:r>
      <w:r>
        <w:t>., 2021). In the instance of The Cheese Bar, the advancement of transportation technology has caused them to expand into new metropolitan areas. Furthermore, the advancement of new approaches of delivering products, contactless customer service, etc. is cr</w:t>
      </w:r>
      <w:r>
        <w:t>ucial in the covid-19 situations. The Internet, which promotes e-commerce and trade, is the most significant technical development.</w:t>
      </w:r>
    </w:p>
    <w:p w14:paraId="5362E76A" w14:textId="77777777" w:rsidR="008B0BBF" w:rsidRDefault="004645E0">
      <w:pPr>
        <w:spacing w:line="360" w:lineRule="auto"/>
        <w:jc w:val="center"/>
      </w:pPr>
      <w:r>
        <w:rPr>
          <w:b/>
        </w:rPr>
        <w:lastRenderedPageBreak/>
        <w:t>Political</w:t>
      </w:r>
      <w:r>
        <w:t>: Political forces also provide the groundwork for global business and trade. Companies could only collaborate in t</w:t>
      </w:r>
      <w:r>
        <w:t>heir local region or a few places before globalization, but after that, they may join any market if they are competent in functioning and competing in that market since trade laws are more flexible today (Faria, 2021). Because of this liberalization, compa</w:t>
      </w:r>
      <w:r>
        <w:t>nies like The Cheese Bar can expand into new markets more readily. Tariff reductions and the acceptance of FDI (foreign direct investment) make the company more capable of functioning in a wide range of markets.</w:t>
      </w:r>
    </w:p>
    <w:p w14:paraId="14549F68" w14:textId="77777777" w:rsidR="008B0BBF" w:rsidRDefault="004645E0">
      <w:pPr>
        <w:spacing w:line="360" w:lineRule="auto"/>
        <w:jc w:val="center"/>
      </w:pPr>
      <w:r>
        <w:rPr>
          <w:b/>
        </w:rPr>
        <w:t>Market:</w:t>
      </w:r>
      <w:r>
        <w:t xml:space="preserve"> Previously, businesses had fewer pos</w:t>
      </w:r>
      <w:r>
        <w:t>sibilities for expansion since they could only operate locally. However, any business may now expand its horizons into other areas, even worldwide. If the same customer requirements exist in various foreign marketplaces, then a Technology, Political, Marke</w:t>
      </w:r>
      <w:r>
        <w:t>t Cost, and Competition business may simply enter them and meet them (Tallman et al., 2018). The Cheese Bar will try to expand its business in China. The reason for this is because they discovered the same requirements that other foreign markets had, and t</w:t>
      </w:r>
      <w:r>
        <w:t>hey also saw that they could utilize global marketing channels to promote their service. As a result, they have gained access to a variety of foreign markets.</w:t>
      </w:r>
    </w:p>
    <w:p w14:paraId="0D7420B7" w14:textId="77777777" w:rsidR="008B0BBF" w:rsidRDefault="004645E0">
      <w:pPr>
        <w:spacing w:line="360" w:lineRule="auto"/>
        <w:jc w:val="center"/>
      </w:pPr>
      <w:r>
        <w:rPr>
          <w:b/>
        </w:rPr>
        <w:t>Cost:</w:t>
      </w:r>
      <w:r>
        <w:t xml:space="preserve"> Cost is another significant factor in a global company. Equipment sourcing is critical sinc</w:t>
      </w:r>
      <w:r>
        <w:t>e it may be expensive in the worldwide market. Because of lower costs in other markets or locations, businesses are forced to become global, which has made them more efficient in sourcing (</w:t>
      </w:r>
      <w:proofErr w:type="spellStart"/>
      <w:r>
        <w:t>Sukardi</w:t>
      </w:r>
      <w:proofErr w:type="spellEnd"/>
      <w:r>
        <w:t xml:space="preserve"> et al., 2019). Another cost issue is economies of scale, wh</w:t>
      </w:r>
      <w:r>
        <w:t xml:space="preserve">ich means that if they can expand their sales volume, they can decrease their cost per unit of goods. Such a thing enables globalization. If the Cheese Bar’s operating costs are high in one region because they vary by location, they may expand into a less </w:t>
      </w:r>
      <w:r>
        <w:t>expensive sector and achieve economies of scale.</w:t>
      </w:r>
    </w:p>
    <w:p w14:paraId="3B17CE58" w14:textId="77777777" w:rsidR="008B0BBF" w:rsidRDefault="004645E0">
      <w:pPr>
        <w:spacing w:line="360" w:lineRule="auto"/>
        <w:jc w:val="center"/>
      </w:pPr>
      <w:r>
        <w:rPr>
          <w:b/>
        </w:rPr>
        <w:t>Competition:</w:t>
      </w:r>
      <w:r>
        <w:t xml:space="preserve"> Any farm works to gain a competitive edge over competitors. Because there are so many marketplaces both locally and globally, farmers strive to broaden their horizons by entering them. Since the</w:t>
      </w:r>
      <w:r>
        <w:t>n, the rivalry has increased on a worldwide and international scale. If a large corporation fails to dominate one market, it focuses on another. By continuing this process, rivalry among farmers increases, as with the introduction of new goods and services</w:t>
      </w:r>
      <w:r>
        <w:t>.</w:t>
      </w:r>
    </w:p>
    <w:p w14:paraId="1B53D2D9" w14:textId="77777777" w:rsidR="008B0BBF" w:rsidRDefault="004645E0">
      <w:pPr>
        <w:pStyle w:val="Heading1"/>
        <w:spacing w:line="360" w:lineRule="auto"/>
        <w:jc w:val="center"/>
        <w:rPr>
          <w:b/>
          <w:u w:val="single"/>
        </w:rPr>
      </w:pPr>
      <w:bookmarkStart w:id="3" w:name="_3znysh7" w:colFirst="0" w:colLast="0"/>
      <w:bookmarkEnd w:id="3"/>
      <w:r>
        <w:rPr>
          <w:b/>
          <w:u w:val="single"/>
        </w:rPr>
        <w:lastRenderedPageBreak/>
        <w:t>Relevant business models</w:t>
      </w:r>
    </w:p>
    <w:p w14:paraId="79CC903E" w14:textId="77777777" w:rsidR="008B0BBF" w:rsidRDefault="004645E0">
      <w:pPr>
        <w:pStyle w:val="Heading2"/>
        <w:pBdr>
          <w:bottom w:val="single" w:sz="4" w:space="1" w:color="000000"/>
        </w:pBdr>
        <w:spacing w:line="360" w:lineRule="auto"/>
        <w:jc w:val="center"/>
        <w:rPr>
          <w:b/>
        </w:rPr>
      </w:pPr>
      <w:bookmarkStart w:id="4" w:name="_2et92p0" w:colFirst="0" w:colLast="0"/>
      <w:bookmarkEnd w:id="4"/>
      <w:r>
        <w:rPr>
          <w:b/>
        </w:rPr>
        <w:t>Pestle analysis:</w:t>
      </w:r>
    </w:p>
    <w:p w14:paraId="37C68A51" w14:textId="77777777" w:rsidR="008B0BBF" w:rsidRDefault="004645E0">
      <w:pPr>
        <w:spacing w:line="360" w:lineRule="auto"/>
        <w:jc w:val="center"/>
      </w:pPr>
      <w:r>
        <w:t>PESTEL study sheds light on the operational challenges that every firm in the industry, as well as the one in question, appears to be facing today (Islam and Mamun, 2017). Investors and entrepreneurs will stay aw</w:t>
      </w:r>
      <w:r>
        <w:t>ay from risky ventures if the risk comes from an unstable political system or a fast-economic collapse, for example. The recent withdrawal of the United Kingdom from the European Union serves as an excellent illustration of this. Many investors withdrew fr</w:t>
      </w:r>
      <w:r>
        <w:t>om new companies as a result of the unanticipated political consequences, which left the future of such companies in doubt.</w:t>
      </w:r>
    </w:p>
    <w:p w14:paraId="56B51F90" w14:textId="77777777" w:rsidR="008B0BBF" w:rsidRDefault="004645E0">
      <w:pPr>
        <w:spacing w:line="360" w:lineRule="auto"/>
        <w:jc w:val="center"/>
      </w:pPr>
      <w:r>
        <w:rPr>
          <w:b/>
        </w:rPr>
        <w:t>Political</w:t>
      </w:r>
      <w:r>
        <w:t>: Variables affecting the company's profitability or long-term viability include political factors. Unpredictable changes i</w:t>
      </w:r>
      <w:r>
        <w:t>n political systems, public unrest, and major policy decisions are all examples of political dangers (John and Lawton, 2018). Political factors that occur/affect not just the host country, but also all countries with commercial operations or who may engage</w:t>
      </w:r>
      <w:r>
        <w:t xml:space="preserve"> in trade with the host country, may be added to the mix when considering prospective multinational corporations (MNC). The political ties between the UK and China have an impact on Cheese Bar's development plans in China.</w:t>
      </w:r>
    </w:p>
    <w:p w14:paraId="7D88C4DB" w14:textId="77777777" w:rsidR="008B0BBF" w:rsidRDefault="004645E0">
      <w:pPr>
        <w:spacing w:line="360" w:lineRule="auto"/>
        <w:jc w:val="center"/>
      </w:pPr>
      <w:r>
        <w:rPr>
          <w:b/>
        </w:rPr>
        <w:t>Environmental</w:t>
      </w:r>
      <w:r>
        <w:t>: protection regulations are not consistently followed by all sectors in the economy at the same time. So that companies aren't singled out by environmental pressure groups and boycotts, this guideline outlines the bare minimum that they should aim for (Ha</w:t>
      </w:r>
      <w:r>
        <w:t xml:space="preserve">ack and Rasche, 2021). The environmental impact of a textile firm, as opposed to an oil company, is far lower. The new consumer wants to conduct business with companies that they see as being more ethical, particularly in light of global warming, now that </w:t>
      </w:r>
      <w:r>
        <w:t>they are interested and informed.</w:t>
      </w:r>
    </w:p>
    <w:p w14:paraId="02F4F4D5" w14:textId="77777777" w:rsidR="008B0BBF" w:rsidRDefault="004645E0">
      <w:pPr>
        <w:spacing w:line="360" w:lineRule="auto"/>
        <w:jc w:val="center"/>
      </w:pPr>
      <w:r>
        <w:rPr>
          <w:b/>
        </w:rPr>
        <w:t>Social</w:t>
      </w:r>
      <w:r>
        <w:t>: Societal influences include cultural, beliefs, attitudes, and values held by the majority of a community's people. These influence how a product performs. Social variables affect the organization's operations, as w</w:t>
      </w:r>
      <w:r>
        <w:t>ell as its marketing efforts. This is critical (John and Lawton, 2018). When a company has a solid grasp on its target audience—their lifestyles, levels of education, and societal beliefs—it can better develop goods and deliver marketing messages that will</w:t>
      </w:r>
      <w:r>
        <w:t xml:space="preserve"> lead to success.</w:t>
      </w:r>
    </w:p>
    <w:p w14:paraId="0A6138D1" w14:textId="77777777" w:rsidR="008B0BBF" w:rsidRDefault="004645E0">
      <w:pPr>
        <w:spacing w:line="360" w:lineRule="auto"/>
        <w:jc w:val="center"/>
      </w:pPr>
      <w:bookmarkStart w:id="5" w:name="_17dp8vu" w:colFirst="0" w:colLast="0"/>
      <w:bookmarkEnd w:id="5"/>
      <w:r>
        <w:rPr>
          <w:b/>
        </w:rPr>
        <w:lastRenderedPageBreak/>
        <w:t>Technological</w:t>
      </w:r>
      <w:r>
        <w:t>: Pricing and competitive environments in industries may become unstable in a short period as a result of technological change (Ittoo and Petit, 2017). Innovativeness must be maintained shortly to prevent becoming obsolete. P</w:t>
      </w:r>
      <w:r>
        <w:t>rofits are increased, and a company's reputation is enhanced. While Uber and Lyft have transformed the taxi cab industry, smartphone technology has rendered many other phones useless for the general public.</w:t>
      </w:r>
    </w:p>
    <w:p w14:paraId="4ECD6E90" w14:textId="77777777" w:rsidR="008B0BBF" w:rsidRDefault="004645E0">
      <w:pPr>
        <w:spacing w:line="360" w:lineRule="auto"/>
        <w:jc w:val="center"/>
      </w:pPr>
      <w:r>
        <w:rPr>
          <w:b/>
        </w:rPr>
        <w:t>Legal:</w:t>
      </w:r>
      <w:r>
        <w:t xml:space="preserve"> PESTEL studies should take into account th</w:t>
      </w:r>
      <w:r>
        <w:t>e legal aspects of government institutions and frameworks as well as the political aspects of the government bodies in which they are found. Policies alone are sometimes not adequate to properly protect the company and its workers, resulting in the appeara</w:t>
      </w:r>
      <w:r>
        <w:t>nce of an unattractive environment that may discourage competent and intelligent individuals.</w:t>
      </w:r>
    </w:p>
    <w:p w14:paraId="3A176378" w14:textId="77777777" w:rsidR="008B0BBF" w:rsidRDefault="004645E0">
      <w:pPr>
        <w:spacing w:line="360" w:lineRule="auto"/>
        <w:jc w:val="center"/>
      </w:pPr>
      <w:r>
        <w:rPr>
          <w:b/>
        </w:rPr>
        <w:t>Economic:</w:t>
      </w:r>
      <w:r>
        <w:t xml:space="preserve"> Various economic components make up the economy of a nation, including inflation, the foreign exchange rate, the interest rate, and the current stage of</w:t>
      </w:r>
      <w:r>
        <w:t xml:space="preserve"> the economic cycle (Siregar, 2019). Variables like as: The profitability or loss of a firm may be influenced by a variety of factors, such as aggregate demand, aggregate investment, and the general business climate. The PESTEL analysis's macroeconomic fac</w:t>
      </w:r>
      <w:r>
        <w:t>tors</w:t>
      </w:r>
    </w:p>
    <w:p w14:paraId="2E4FC2FE" w14:textId="77777777" w:rsidR="008B0BBF" w:rsidRDefault="004645E0">
      <w:pPr>
        <w:pStyle w:val="Heading2"/>
        <w:pBdr>
          <w:bottom w:val="single" w:sz="4" w:space="1" w:color="000000"/>
        </w:pBdr>
        <w:spacing w:line="360" w:lineRule="auto"/>
        <w:jc w:val="center"/>
        <w:rPr>
          <w:b/>
        </w:rPr>
      </w:pPr>
      <w:bookmarkStart w:id="6" w:name="_tyjcwt" w:colFirst="0" w:colLast="0"/>
      <w:bookmarkEnd w:id="6"/>
      <w:r>
        <w:rPr>
          <w:b/>
        </w:rPr>
        <w:t>Porter's Diamond model</w:t>
      </w:r>
    </w:p>
    <w:p w14:paraId="44F8604B" w14:textId="77777777" w:rsidR="008B0BBF" w:rsidRDefault="004645E0">
      <w:pPr>
        <w:keepNext/>
        <w:spacing w:line="360" w:lineRule="auto"/>
        <w:jc w:val="center"/>
      </w:pPr>
      <w:r>
        <w:t xml:space="preserve">Economic models like the Porter-Diamond attempt to explain why some countries are more successful than others at something. An industry's regional competitive advantage depends on the presence of four key and two minor factors, </w:t>
      </w:r>
      <w:r>
        <w:t>according to the model.</w:t>
      </w:r>
    </w:p>
    <w:p w14:paraId="0792E4CE" w14:textId="77777777" w:rsidR="008B0BBF" w:rsidRDefault="004645E0">
      <w:pPr>
        <w:keepNext/>
        <w:spacing w:line="360" w:lineRule="auto"/>
        <w:jc w:val="center"/>
      </w:pPr>
      <w:r>
        <w:rPr>
          <w:noProof/>
        </w:rPr>
        <w:drawing>
          <wp:inline distT="0" distB="0" distL="0" distR="0" wp14:anchorId="3D5ED92B" wp14:editId="7ABE2C85">
            <wp:extent cx="4288215" cy="2360260"/>
            <wp:effectExtent l="0" t="0" r="0" b="0"/>
            <wp:docPr id="4" name="image4.png" descr="Impact Sourcing Initiatives in Malaysia: An Insight Through Porter's  Diamond Framework | SpringerLink"/>
            <wp:cNvGraphicFramePr/>
            <a:graphic xmlns:a="http://schemas.openxmlformats.org/drawingml/2006/main">
              <a:graphicData uri="http://schemas.openxmlformats.org/drawingml/2006/picture">
                <pic:pic xmlns:pic="http://schemas.openxmlformats.org/drawingml/2006/picture">
                  <pic:nvPicPr>
                    <pic:cNvPr id="0" name="image4.png" descr="Impact Sourcing Initiatives in Malaysia: An Insight Through Porter's  Diamond Framework | SpringerLink"/>
                    <pic:cNvPicPr preferRelativeResize="0"/>
                  </pic:nvPicPr>
                  <pic:blipFill>
                    <a:blip r:embed="rId8"/>
                    <a:srcRect/>
                    <a:stretch>
                      <a:fillRect/>
                    </a:stretch>
                  </pic:blipFill>
                  <pic:spPr>
                    <a:xfrm>
                      <a:off x="0" y="0"/>
                      <a:ext cx="4288215" cy="2360260"/>
                    </a:xfrm>
                    <a:prstGeom prst="rect">
                      <a:avLst/>
                    </a:prstGeom>
                    <a:ln/>
                  </pic:spPr>
                </pic:pic>
              </a:graphicData>
            </a:graphic>
          </wp:inline>
        </w:drawing>
      </w:r>
    </w:p>
    <w:p w14:paraId="29607839" w14:textId="77777777" w:rsidR="008B0BBF" w:rsidRDefault="004645E0">
      <w:pPr>
        <w:pBdr>
          <w:top w:val="nil"/>
          <w:left w:val="nil"/>
          <w:bottom w:val="nil"/>
          <w:right w:val="nil"/>
          <w:between w:val="nil"/>
        </w:pBdr>
        <w:spacing w:after="200" w:line="360" w:lineRule="auto"/>
        <w:jc w:val="center"/>
        <w:rPr>
          <w:i/>
          <w:color w:val="44546A"/>
        </w:rPr>
      </w:pPr>
      <w:r>
        <w:rPr>
          <w:i/>
          <w:color w:val="44546A"/>
          <w:sz w:val="18"/>
          <w:szCs w:val="18"/>
        </w:rPr>
        <w:t>Figure 2Porter's Diamond Model</w:t>
      </w:r>
      <w:r>
        <w:rPr>
          <w:i/>
          <w:color w:val="44546A"/>
        </w:rPr>
        <w:t>; Source:</w:t>
      </w:r>
      <w:r>
        <w:rPr>
          <w:i/>
          <w:color w:val="44546A"/>
          <w:sz w:val="18"/>
          <w:szCs w:val="18"/>
        </w:rPr>
        <w:t xml:space="preserve"> </w:t>
      </w:r>
      <w:r>
        <w:rPr>
          <w:i/>
          <w:color w:val="44546A"/>
        </w:rPr>
        <w:t>(John and Lawton, 2018)</w:t>
      </w:r>
    </w:p>
    <w:p w14:paraId="74F0DDD3" w14:textId="77777777" w:rsidR="008B0BBF" w:rsidRDefault="004645E0">
      <w:pPr>
        <w:spacing w:line="360" w:lineRule="auto"/>
        <w:jc w:val="center"/>
      </w:pPr>
      <w:r>
        <w:rPr>
          <w:b/>
        </w:rPr>
        <w:lastRenderedPageBreak/>
        <w:t>Factor conditions:</w:t>
      </w:r>
    </w:p>
    <w:p w14:paraId="577ACD8E" w14:textId="77777777" w:rsidR="008B0BBF" w:rsidRDefault="004645E0">
      <w:pPr>
        <w:numPr>
          <w:ilvl w:val="0"/>
          <w:numId w:val="2"/>
        </w:numPr>
        <w:pBdr>
          <w:top w:val="nil"/>
          <w:left w:val="nil"/>
          <w:bottom w:val="nil"/>
          <w:right w:val="nil"/>
          <w:between w:val="nil"/>
        </w:pBdr>
        <w:spacing w:after="0" w:line="360" w:lineRule="auto"/>
        <w:jc w:val="center"/>
        <w:rPr>
          <w:color w:val="000000"/>
        </w:rPr>
      </w:pPr>
      <w:r>
        <w:rPr>
          <w:color w:val="000000"/>
        </w:rPr>
        <w:t>Circumstances affecting factors: relate to the many forms of capital that are or are not available within one's country (Fang et al., 2018). Among the resources available are people, money, natural resources, science and technology, and information resourc</w:t>
      </w:r>
      <w:r>
        <w:rPr>
          <w:color w:val="000000"/>
        </w:rPr>
        <w:t>es, to name just a few examples.</w:t>
      </w:r>
    </w:p>
    <w:p w14:paraId="1D2C9BA0" w14:textId="77777777" w:rsidR="008B0BBF" w:rsidRDefault="004645E0">
      <w:pPr>
        <w:numPr>
          <w:ilvl w:val="0"/>
          <w:numId w:val="2"/>
        </w:numPr>
        <w:pBdr>
          <w:top w:val="nil"/>
          <w:left w:val="nil"/>
          <w:bottom w:val="nil"/>
          <w:right w:val="nil"/>
          <w:between w:val="nil"/>
        </w:pBdr>
        <w:spacing w:line="360" w:lineRule="auto"/>
        <w:jc w:val="center"/>
        <w:rPr>
          <w:color w:val="000000"/>
        </w:rPr>
      </w:pPr>
      <w:r>
        <w:rPr>
          <w:color w:val="000000"/>
        </w:rPr>
        <w:t>Factors may be divided into two categories: fundamental and advanced. Advanced factors such as skilled personnel, advanced technology, specialized knowledge, and so on assist to obtain a competitive advantage. China possesses the trained workforce, technic</w:t>
      </w:r>
      <w:r>
        <w:rPr>
          <w:color w:val="000000"/>
        </w:rPr>
        <w:t>al progress, and specialized expertise to gain a competitive advantage in product development and the fast-food industry.</w:t>
      </w:r>
    </w:p>
    <w:p w14:paraId="535B1733" w14:textId="77777777" w:rsidR="008B0BBF" w:rsidRDefault="004645E0">
      <w:pPr>
        <w:spacing w:line="360" w:lineRule="auto"/>
        <w:jc w:val="center"/>
      </w:pPr>
      <w:r>
        <w:rPr>
          <w:b/>
        </w:rPr>
        <w:t>Demand condition:</w:t>
      </w:r>
      <w:r>
        <w:t xml:space="preserve"> Domestic consumer demand is the most important factor affecting demand conditions. A product or service must have a </w:t>
      </w:r>
      <w:r>
        <w:t>high domestic market demand before it can provide the industry with a competitive edge. Companies face increasing pressure to expand and improve as a result of increased competition from consumers in their home markets (</w:t>
      </w:r>
      <w:proofErr w:type="spellStart"/>
      <w:r>
        <w:t>Sukardi</w:t>
      </w:r>
      <w:proofErr w:type="spellEnd"/>
      <w:r>
        <w:t xml:space="preserve"> et al., 2019). These supply-</w:t>
      </w:r>
      <w:r>
        <w:t>side conditions provide the country with a long-term advantage. In China, the demand for The Cheese Bar is favorable because of the enormous potential of the fast-food industry. The existence of globally viable manufacturers inside a country may assist bus</w:t>
      </w:r>
      <w:r>
        <w:t>inesses.</w:t>
      </w:r>
    </w:p>
    <w:p w14:paraId="6895E3B4" w14:textId="77777777" w:rsidR="008B0BBF" w:rsidRDefault="004645E0">
      <w:pPr>
        <w:numPr>
          <w:ilvl w:val="0"/>
          <w:numId w:val="3"/>
        </w:numPr>
        <w:pBdr>
          <w:top w:val="nil"/>
          <w:left w:val="nil"/>
          <w:bottom w:val="nil"/>
          <w:right w:val="nil"/>
          <w:between w:val="nil"/>
        </w:pBdr>
        <w:spacing w:after="0" w:line="360" w:lineRule="auto"/>
        <w:jc w:val="center"/>
        <w:rPr>
          <w:color w:val="000000"/>
        </w:rPr>
      </w:pPr>
      <w:r>
        <w:rPr>
          <w:b/>
          <w:color w:val="000000"/>
        </w:rPr>
        <w:t>Related and supporting industries:</w:t>
      </w:r>
      <w:r>
        <w:rPr>
          <w:color w:val="000000"/>
        </w:rPr>
        <w:t xml:space="preserve"> By making inputs more affordable while also allowing users to take advantage of new technologies and share information earlier. In China, the fast-food business has already taken off. To begin operations in China</w:t>
      </w:r>
      <w:r>
        <w:rPr>
          <w:color w:val="000000"/>
        </w:rPr>
        <w:t>, The Cheese Bar may team up with a nearby fast-food company.</w:t>
      </w:r>
    </w:p>
    <w:p w14:paraId="594D6AF9" w14:textId="77777777" w:rsidR="008B0BBF" w:rsidRDefault="004645E0">
      <w:pPr>
        <w:numPr>
          <w:ilvl w:val="0"/>
          <w:numId w:val="3"/>
        </w:numPr>
        <w:pBdr>
          <w:top w:val="nil"/>
          <w:left w:val="nil"/>
          <w:bottom w:val="nil"/>
          <w:right w:val="nil"/>
          <w:between w:val="nil"/>
        </w:pBdr>
        <w:spacing w:line="360" w:lineRule="auto"/>
        <w:jc w:val="center"/>
        <w:rPr>
          <w:color w:val="000000"/>
        </w:rPr>
      </w:pPr>
      <w:r>
        <w:rPr>
          <w:b/>
          <w:color w:val="000000"/>
        </w:rPr>
        <w:t>Strategy, organization, and competition inside a company:</w:t>
      </w:r>
      <w:r>
        <w:rPr>
          <w:color w:val="000000"/>
        </w:rPr>
        <w:t xml:space="preserve"> The output of a nation is influenced by how companies set their objectives and arrange themselves. Competitiveness is often influenced b</w:t>
      </w:r>
      <w:r>
        <w:rPr>
          <w:color w:val="000000"/>
        </w:rPr>
        <w:t>y the level of rivalry among market participants in a certain industry. The strong competition encourages new technology development by inventors to stay ahead of the competition (</w:t>
      </w:r>
      <w:proofErr w:type="spellStart"/>
      <w:r>
        <w:rPr>
          <w:color w:val="000000"/>
        </w:rPr>
        <w:t>Kuncoro</w:t>
      </w:r>
      <w:proofErr w:type="spellEnd"/>
      <w:r>
        <w:rPr>
          <w:color w:val="000000"/>
        </w:rPr>
        <w:t xml:space="preserve"> and Suriani, 2018). Consumers are becoming more aware of health and </w:t>
      </w:r>
      <w:r>
        <w:rPr>
          <w:color w:val="000000"/>
        </w:rPr>
        <w:t>hygiene concerns because of the covid-19 epidemic, according to demand. Customer preference is thus to pay a higher price for superior quality. The Cheese Bar caters to the upper-middle class with its premium goods.</w:t>
      </w:r>
    </w:p>
    <w:p w14:paraId="0A0DB298" w14:textId="77777777" w:rsidR="008B0BBF" w:rsidRDefault="004645E0">
      <w:pPr>
        <w:spacing w:line="360" w:lineRule="auto"/>
        <w:jc w:val="center"/>
      </w:pPr>
      <w:r>
        <w:lastRenderedPageBreak/>
        <w:t>The Chinese government promotes new inve</w:t>
      </w:r>
      <w:r>
        <w:t>stment and eases restrictions on technology development by lowering entrance requirements. So, the government will make it easier for businesses to enter the market by lowering the barrier to entry and tax rates.</w:t>
      </w:r>
    </w:p>
    <w:p w14:paraId="4A89266B" w14:textId="77777777" w:rsidR="008B0BBF" w:rsidRDefault="004645E0">
      <w:pPr>
        <w:pStyle w:val="Heading1"/>
        <w:spacing w:line="360" w:lineRule="auto"/>
        <w:jc w:val="center"/>
        <w:rPr>
          <w:b/>
          <w:u w:val="single"/>
        </w:rPr>
      </w:pPr>
      <w:bookmarkStart w:id="7" w:name="_3dy6vkm" w:colFirst="0" w:colLast="0"/>
      <w:bookmarkEnd w:id="7"/>
      <w:r>
        <w:rPr>
          <w:b/>
          <w:u w:val="single"/>
        </w:rPr>
        <w:t>The reasons for internationalization:</w:t>
      </w:r>
    </w:p>
    <w:p w14:paraId="0A93AF5D" w14:textId="77777777" w:rsidR="008B0BBF" w:rsidRDefault="004645E0">
      <w:pPr>
        <w:numPr>
          <w:ilvl w:val="0"/>
          <w:numId w:val="1"/>
        </w:numPr>
        <w:pBdr>
          <w:top w:val="single" w:sz="4" w:space="1" w:color="000000"/>
          <w:left w:val="single" w:sz="4" w:space="4" w:color="000000"/>
          <w:bottom w:val="single" w:sz="4" w:space="1" w:color="000000"/>
          <w:right w:val="single" w:sz="4" w:space="4" w:color="000000"/>
          <w:between w:val="single" w:sz="4" w:space="1" w:color="000000"/>
        </w:pBdr>
        <w:spacing w:after="0" w:line="360" w:lineRule="auto"/>
        <w:jc w:val="center"/>
        <w:rPr>
          <w:color w:val="000000"/>
        </w:rPr>
      </w:pPr>
      <w:r>
        <w:rPr>
          <w:b/>
          <w:color w:val="000000"/>
        </w:rPr>
        <w:t>International Brand Extension:</w:t>
      </w:r>
      <w:r>
        <w:rPr>
          <w:color w:val="000000"/>
        </w:rPr>
        <w:t xml:space="preserve"> International sourcing enables enterprises to do business in a worldwide context (Hollensen, 2011). As a consequence, many customers got acquainted with the goods, which eventually led to their adoption on a global scale. The</w:t>
      </w:r>
      <w:r>
        <w:rPr>
          <w:color w:val="000000"/>
        </w:rPr>
        <w:t xml:space="preserve"> Cheese Bar offers premium products in the UK and is commonly known as championing British Cheese. They want to spread product knowledge beyond the UK and planning to expand their business in China which has a huge potential market for the fast-food indust</w:t>
      </w:r>
      <w:r>
        <w:rPr>
          <w:color w:val="000000"/>
        </w:rPr>
        <w:t>ry.</w:t>
      </w:r>
    </w:p>
    <w:p w14:paraId="5EBB4A1E" w14:textId="77777777" w:rsidR="008B0BBF" w:rsidRDefault="004645E0">
      <w:pPr>
        <w:numPr>
          <w:ilvl w:val="0"/>
          <w:numId w:val="1"/>
        </w:numPr>
        <w:pBdr>
          <w:top w:val="single" w:sz="4" w:space="1" w:color="000000"/>
          <w:left w:val="single" w:sz="4" w:space="4" w:color="000000"/>
          <w:bottom w:val="single" w:sz="4" w:space="1" w:color="000000"/>
          <w:right w:val="single" w:sz="4" w:space="4" w:color="000000"/>
          <w:between w:val="single" w:sz="4" w:space="1" w:color="000000"/>
        </w:pBdr>
        <w:spacing w:after="0" w:line="360" w:lineRule="auto"/>
        <w:jc w:val="center"/>
        <w:rPr>
          <w:color w:val="000000"/>
        </w:rPr>
      </w:pPr>
      <w:r>
        <w:rPr>
          <w:b/>
          <w:color w:val="000000"/>
        </w:rPr>
        <w:t>Establishing a new relationship:</w:t>
      </w:r>
      <w:r>
        <w:rPr>
          <w:color w:val="000000"/>
        </w:rPr>
        <w:t xml:space="preserve"> Businesses will extend their activities outside their local market by engaging in international trade (Mayrhofer, 2012). As a consequence, companies engage with a wide range of customers and try to meet and exceed their</w:t>
      </w:r>
      <w:r>
        <w:rPr>
          <w:color w:val="000000"/>
        </w:rPr>
        <w:t xml:space="preserve"> expectations. In the end, it results in a long-term relationship with a major customer.</w:t>
      </w:r>
    </w:p>
    <w:p w14:paraId="521737BD" w14:textId="77777777" w:rsidR="008B0BBF" w:rsidRDefault="004645E0">
      <w:pPr>
        <w:numPr>
          <w:ilvl w:val="0"/>
          <w:numId w:val="1"/>
        </w:numPr>
        <w:pBdr>
          <w:top w:val="single" w:sz="4" w:space="1" w:color="000000"/>
          <w:left w:val="single" w:sz="4" w:space="4" w:color="000000"/>
          <w:bottom w:val="single" w:sz="4" w:space="1" w:color="000000"/>
          <w:right w:val="single" w:sz="4" w:space="4" w:color="000000"/>
          <w:between w:val="single" w:sz="4" w:space="1" w:color="000000"/>
        </w:pBdr>
        <w:spacing w:line="360" w:lineRule="auto"/>
        <w:jc w:val="center"/>
        <w:rPr>
          <w:color w:val="000000"/>
        </w:rPr>
      </w:pPr>
      <w:r>
        <w:rPr>
          <w:b/>
          <w:color w:val="000000"/>
        </w:rPr>
        <w:t>New Opportunities:</w:t>
      </w:r>
      <w:r>
        <w:rPr>
          <w:color w:val="000000"/>
        </w:rPr>
        <w:t xml:space="preserve"> Through international business, companies will be able to offer innovative and customized products to a new and diverse set of customers.  Increased</w:t>
      </w:r>
      <w:r>
        <w:rPr>
          <w:color w:val="000000"/>
        </w:rPr>
        <w:t xml:space="preserve"> Profitability If the customer base is satisfied, they may be used for branding and long-term marketing efforts (Manzella, 2020). This will open the door to new business opportunities. The Cheese Bar may explore a new product line by analyzing customers’ d</w:t>
      </w:r>
      <w:r>
        <w:rPr>
          <w:color w:val="000000"/>
        </w:rPr>
        <w:t>emand.</w:t>
      </w:r>
    </w:p>
    <w:p w14:paraId="5FC23B81" w14:textId="77777777" w:rsidR="008B0BBF" w:rsidRDefault="004645E0">
      <w:pPr>
        <w:jc w:val="center"/>
        <w:rPr>
          <w:b/>
          <w:color w:val="1F3864"/>
          <w:sz w:val="32"/>
          <w:szCs w:val="32"/>
          <w:u w:val="single"/>
        </w:rPr>
      </w:pPr>
      <w:r>
        <w:br w:type="page"/>
      </w:r>
    </w:p>
    <w:p w14:paraId="3971A8A4" w14:textId="77777777" w:rsidR="008B0BBF" w:rsidRDefault="004645E0">
      <w:pPr>
        <w:pStyle w:val="Heading1"/>
        <w:spacing w:line="360" w:lineRule="auto"/>
        <w:jc w:val="center"/>
        <w:rPr>
          <w:b/>
          <w:u w:val="single"/>
        </w:rPr>
      </w:pPr>
      <w:bookmarkStart w:id="8" w:name="_1t3h5sf" w:colFirst="0" w:colLast="0"/>
      <w:bookmarkEnd w:id="8"/>
      <w:r>
        <w:rPr>
          <w:b/>
          <w:u w:val="single"/>
        </w:rPr>
        <w:lastRenderedPageBreak/>
        <w:t>Market structure and changes in strategy</w:t>
      </w:r>
    </w:p>
    <w:p w14:paraId="585F812E" w14:textId="77777777" w:rsidR="008B0BBF" w:rsidRDefault="004645E0">
      <w:pPr>
        <w:spacing w:line="360" w:lineRule="auto"/>
        <w:jc w:val="center"/>
      </w:pPr>
      <w:r>
        <w:t>Market structures serve as a foundation for analyzing business settings. The ability to evaluate industry and market news, policy changes, and legislation correctly, as well as how the economy influences ke</w:t>
      </w:r>
      <w:r>
        <w:t>y choices, comes from a knowledge of how businesses and markets operate. China’s fast-food industry offers a large number of businesses that compete with each other in a free market.</w:t>
      </w:r>
    </w:p>
    <w:p w14:paraId="62EBA73D" w14:textId="77777777" w:rsidR="008B0BBF" w:rsidRDefault="004645E0">
      <w:pPr>
        <w:spacing w:line="360" w:lineRule="auto"/>
        <w:jc w:val="center"/>
      </w:pPr>
      <w:r>
        <w:t xml:space="preserve">The market structure in China is pure competition because no one company </w:t>
      </w:r>
      <w:r>
        <w:t>has substantial marketing power, the sector as a whole produces at its optimum level because companies can't influence market pricing in a meaningful way (</w:t>
      </w:r>
      <w:proofErr w:type="spellStart"/>
      <w:r>
        <w:t>Farboodi</w:t>
      </w:r>
      <w:proofErr w:type="spellEnd"/>
      <w:r>
        <w:t xml:space="preserve"> et al., 2017). The number of products and services produced and the market pricing establish</w:t>
      </w:r>
      <w:r>
        <w:t>ed by businesses in the market is determined by supply and demand. Due to product similarity, no major obstacles exist for new players to join or leave the market.</w:t>
      </w:r>
    </w:p>
    <w:p w14:paraId="057BADB9" w14:textId="77777777" w:rsidR="008B0BBF" w:rsidRDefault="004645E0">
      <w:pPr>
        <w:spacing w:line="360" w:lineRule="auto"/>
        <w:jc w:val="center"/>
      </w:pPr>
      <w:r>
        <w:t>The Cheese Bar make several changes in their business strategy due to the pandemic and the c</w:t>
      </w:r>
      <w:r>
        <w:t>hanging customer's preferences. They initiate contactless food serving and delivery initiatives. Take noticeable changes to capture customers' trust as a safe and hygienic food store. Product development and new product line are introduced in China through</w:t>
      </w:r>
      <w:r>
        <w:t xml:space="preserve"> market research before entering there.</w:t>
      </w:r>
    </w:p>
    <w:p w14:paraId="74C44E85" w14:textId="77777777" w:rsidR="008B0BBF" w:rsidRDefault="004645E0">
      <w:pPr>
        <w:jc w:val="center"/>
        <w:rPr>
          <w:b/>
          <w:color w:val="1F3864"/>
          <w:sz w:val="32"/>
          <w:szCs w:val="32"/>
          <w:u w:val="single"/>
        </w:rPr>
      </w:pPr>
      <w:r>
        <w:br w:type="page"/>
      </w:r>
    </w:p>
    <w:p w14:paraId="2A054CFD" w14:textId="77777777" w:rsidR="008B0BBF" w:rsidRDefault="004645E0">
      <w:pPr>
        <w:pStyle w:val="Heading1"/>
        <w:spacing w:line="360" w:lineRule="auto"/>
        <w:jc w:val="center"/>
        <w:rPr>
          <w:b/>
          <w:u w:val="single"/>
        </w:rPr>
      </w:pPr>
      <w:bookmarkStart w:id="9" w:name="_4d34og8" w:colFirst="0" w:colLast="0"/>
      <w:bookmarkEnd w:id="9"/>
      <w:r>
        <w:rPr>
          <w:b/>
          <w:u w:val="single"/>
        </w:rPr>
        <w:lastRenderedPageBreak/>
        <w:t>Conclusion</w:t>
      </w:r>
    </w:p>
    <w:p w14:paraId="28674560" w14:textId="77777777" w:rsidR="008B0BBF" w:rsidRDefault="004645E0">
      <w:pPr>
        <w:spacing w:line="360" w:lineRule="auto"/>
        <w:jc w:val="center"/>
      </w:pPr>
      <w:r>
        <w:t xml:space="preserve">A global company must be competitive in a variety of ways, including the use of modern technology, quicker transportation, and, most crucially, maintaining efficient global communication. When operating </w:t>
      </w:r>
      <w:r>
        <w:t>on a global scale, companies must make many decisions based on time zones, cultural factors such as customs, and distinct laws and regulations of the foreign market. Proactive choices are made when a company is active rather than passive in the marketplace</w:t>
      </w:r>
      <w:r>
        <w:t>, or when an organization takes the initiative to act on events rather than react to them. Working in an international market necessitates the inclusion of certain new factors into the job process.</w:t>
      </w:r>
    </w:p>
    <w:p w14:paraId="1CDD47F2" w14:textId="77777777" w:rsidR="008B0BBF" w:rsidRDefault="004645E0">
      <w:pPr>
        <w:jc w:val="center"/>
        <w:rPr>
          <w:color w:val="1F3864"/>
          <w:sz w:val="32"/>
          <w:szCs w:val="32"/>
        </w:rPr>
      </w:pPr>
      <w:r>
        <w:br w:type="page"/>
      </w:r>
    </w:p>
    <w:p w14:paraId="701DE11C" w14:textId="77777777" w:rsidR="008B0BBF" w:rsidRDefault="004645E0">
      <w:pPr>
        <w:pStyle w:val="Heading1"/>
        <w:spacing w:line="360" w:lineRule="auto"/>
        <w:jc w:val="center"/>
        <w:rPr>
          <w:b/>
          <w:u w:val="single"/>
        </w:rPr>
      </w:pPr>
      <w:bookmarkStart w:id="10" w:name="_2s8eyo1" w:colFirst="0" w:colLast="0"/>
      <w:bookmarkEnd w:id="10"/>
      <w:r>
        <w:rPr>
          <w:b/>
          <w:u w:val="single"/>
        </w:rPr>
        <w:lastRenderedPageBreak/>
        <w:t>Reference</w:t>
      </w:r>
    </w:p>
    <w:p w14:paraId="4551D2FA" w14:textId="77777777" w:rsidR="008B0BBF" w:rsidRDefault="004645E0">
      <w:pPr>
        <w:spacing w:line="360" w:lineRule="auto"/>
        <w:ind w:left="720" w:hanging="720"/>
        <w:jc w:val="center"/>
      </w:pPr>
      <w:r>
        <w:t>Company A Fortune. [online] Available at: &lt;/http://manzellareport.com/index.php/strategies-section/311-assessing-foreign-markets; [Accessed 11 June 2020].</w:t>
      </w:r>
    </w:p>
    <w:p w14:paraId="6F17988F" w14:textId="77777777" w:rsidR="008B0BBF" w:rsidRDefault="004645E0">
      <w:pPr>
        <w:spacing w:line="360" w:lineRule="auto"/>
        <w:ind w:left="720" w:hanging="720"/>
        <w:jc w:val="center"/>
      </w:pPr>
      <w:r>
        <w:t>Fang, K., Zhou, Y., Wang, S., Ye, R. and Guo, S., 2018. Assessing national renewable energy competiti</w:t>
      </w:r>
      <w:r>
        <w:t xml:space="preserve">veness of the G20: A revised Porter's Diamond Model. </w:t>
      </w:r>
      <w:r>
        <w:rPr>
          <w:i/>
        </w:rPr>
        <w:t>Renewable and Sustainable Energy Reviews</w:t>
      </w:r>
      <w:r>
        <w:t xml:space="preserve">, </w:t>
      </w:r>
      <w:r>
        <w:rPr>
          <w:i/>
        </w:rPr>
        <w:t>93</w:t>
      </w:r>
      <w:r>
        <w:t>, pp.719-731.</w:t>
      </w:r>
    </w:p>
    <w:p w14:paraId="77449AAF" w14:textId="77777777" w:rsidR="008B0BBF" w:rsidRDefault="004645E0">
      <w:pPr>
        <w:spacing w:line="360" w:lineRule="auto"/>
        <w:ind w:left="720" w:hanging="720"/>
        <w:jc w:val="center"/>
      </w:pPr>
      <w:proofErr w:type="spellStart"/>
      <w:r>
        <w:t>Farboodi</w:t>
      </w:r>
      <w:proofErr w:type="spellEnd"/>
      <w:r>
        <w:t xml:space="preserve">, M., Jarosch, G. and Shimer, R., 2017. </w:t>
      </w:r>
      <w:r>
        <w:rPr>
          <w:i/>
        </w:rPr>
        <w:t>The emergence of market structure</w:t>
      </w:r>
      <w:r>
        <w:t xml:space="preserve"> (No. w23234). National Bureau of Economic Research.</w:t>
      </w:r>
    </w:p>
    <w:p w14:paraId="1DEF2BC7" w14:textId="77777777" w:rsidR="008B0BBF" w:rsidRDefault="004645E0">
      <w:pPr>
        <w:spacing w:line="360" w:lineRule="auto"/>
        <w:ind w:left="720" w:hanging="720"/>
        <w:jc w:val="center"/>
      </w:pPr>
      <w:r>
        <w:t xml:space="preserve">Faria, I., 2021. The market, the regulator, and the government: Making a blockchain ecosystem in the Netherlands. </w:t>
      </w:r>
      <w:r>
        <w:rPr>
          <w:i/>
        </w:rPr>
        <w:t>Finance and Society</w:t>
      </w:r>
      <w:r>
        <w:t xml:space="preserve">, </w:t>
      </w:r>
      <w:r>
        <w:rPr>
          <w:i/>
        </w:rPr>
        <w:t>7</w:t>
      </w:r>
      <w:r>
        <w:t>(1), pp.40-56.</w:t>
      </w:r>
    </w:p>
    <w:p w14:paraId="7B6F4309" w14:textId="77777777" w:rsidR="008B0BBF" w:rsidRDefault="004645E0">
      <w:pPr>
        <w:spacing w:line="360" w:lineRule="auto"/>
        <w:ind w:left="720" w:hanging="720"/>
        <w:jc w:val="center"/>
      </w:pPr>
      <w:r>
        <w:t>Haack, P. and Rasche, A., 2021. The Legitimacy of Su</w:t>
      </w:r>
      <w:r>
        <w:t xml:space="preserve">stainability Standards: A Paradox Perspective. </w:t>
      </w:r>
      <w:r>
        <w:rPr>
          <w:i/>
        </w:rPr>
        <w:t>Organization Theory</w:t>
      </w:r>
      <w:r>
        <w:t xml:space="preserve">, </w:t>
      </w:r>
      <w:r>
        <w:rPr>
          <w:i/>
        </w:rPr>
        <w:t>2</w:t>
      </w:r>
      <w:r>
        <w:t>(4), p.26317877211049493.</w:t>
      </w:r>
    </w:p>
    <w:p w14:paraId="766BB6FD" w14:textId="77777777" w:rsidR="008B0BBF" w:rsidRDefault="004645E0">
      <w:pPr>
        <w:spacing w:line="360" w:lineRule="auto"/>
        <w:ind w:left="720" w:hanging="720"/>
        <w:jc w:val="center"/>
      </w:pPr>
      <w:r>
        <w:t>Hollensen, S., 2011. Marketing Management. Harlow, United Kingdom: Pearson Education Limited.</w:t>
      </w:r>
    </w:p>
    <w:p w14:paraId="1D57F888" w14:textId="77777777" w:rsidR="008B0BBF" w:rsidRDefault="004645E0">
      <w:pPr>
        <w:spacing w:line="360" w:lineRule="auto"/>
        <w:ind w:left="720" w:hanging="720"/>
        <w:jc w:val="center"/>
      </w:pPr>
      <w:r>
        <w:t xml:space="preserve">Islam, F.R. and Mamun, K.A., 2017. Possibilities and challenges of </w:t>
      </w:r>
      <w:r>
        <w:t xml:space="preserve">implementing renewable energy in the light of PESTLE &amp; SWOT analyses for island countries. In </w:t>
      </w:r>
      <w:r>
        <w:rPr>
          <w:i/>
        </w:rPr>
        <w:t>Smart Energy Grid Design for Island Countries</w:t>
      </w:r>
      <w:r>
        <w:t xml:space="preserve"> (pp. 1-19). Springer, Cham.</w:t>
      </w:r>
    </w:p>
    <w:p w14:paraId="52E62D2E" w14:textId="77777777" w:rsidR="008B0BBF" w:rsidRDefault="004645E0">
      <w:pPr>
        <w:spacing w:line="360" w:lineRule="auto"/>
        <w:ind w:left="720" w:hanging="720"/>
        <w:jc w:val="center"/>
      </w:pPr>
      <w:r>
        <w:t xml:space="preserve">John, A. and Lawton, T.C., 2018. International political risk management: Perspectives, </w:t>
      </w:r>
      <w:r>
        <w:t xml:space="preserve">approaches and emerging agendas. </w:t>
      </w:r>
      <w:r>
        <w:rPr>
          <w:i/>
        </w:rPr>
        <w:t>International Journal of Management Reviews</w:t>
      </w:r>
      <w:r>
        <w:t xml:space="preserve">, </w:t>
      </w:r>
      <w:r>
        <w:rPr>
          <w:i/>
        </w:rPr>
        <w:t>20</w:t>
      </w:r>
      <w:r>
        <w:t>(4), pp.847-879.</w:t>
      </w:r>
    </w:p>
    <w:p w14:paraId="63602B41" w14:textId="77777777" w:rsidR="008B0BBF" w:rsidRDefault="004645E0">
      <w:pPr>
        <w:spacing w:line="360" w:lineRule="auto"/>
        <w:ind w:left="720" w:hanging="720"/>
        <w:jc w:val="center"/>
      </w:pPr>
      <w:proofErr w:type="spellStart"/>
      <w:r>
        <w:t>Kuncoro</w:t>
      </w:r>
      <w:proofErr w:type="spellEnd"/>
      <w:r>
        <w:t xml:space="preserve">, W. and Suriani, W.O., 2018. Achieving sustainable competitive advantage through product innovation and market driving. </w:t>
      </w:r>
      <w:r>
        <w:rPr>
          <w:i/>
        </w:rPr>
        <w:t>Asia pacific management review</w:t>
      </w:r>
      <w:r>
        <w:t>,</w:t>
      </w:r>
      <w:r>
        <w:t xml:space="preserve"> </w:t>
      </w:r>
      <w:r>
        <w:rPr>
          <w:i/>
        </w:rPr>
        <w:t>23</w:t>
      </w:r>
      <w:r>
        <w:t>(3), pp.186-192.</w:t>
      </w:r>
    </w:p>
    <w:p w14:paraId="7B684BE1" w14:textId="77777777" w:rsidR="008B0BBF" w:rsidRDefault="004645E0">
      <w:pPr>
        <w:spacing w:line="360" w:lineRule="auto"/>
        <w:ind w:left="720" w:hanging="720"/>
        <w:jc w:val="center"/>
      </w:pPr>
      <w:r>
        <w:t>Manzella, J., 2020. Assessing Foreign Markets: Selecting The Right Markets Can Make Your</w:t>
      </w:r>
    </w:p>
    <w:p w14:paraId="6B33ECD3" w14:textId="77777777" w:rsidR="008B0BBF" w:rsidRDefault="004645E0">
      <w:pPr>
        <w:spacing w:line="360" w:lineRule="auto"/>
        <w:ind w:left="720" w:hanging="720"/>
        <w:jc w:val="center"/>
      </w:pPr>
      <w:r>
        <w:t xml:space="preserve">Meyer, K.E., 2017. International business in an era of anti-globalization. </w:t>
      </w:r>
      <w:r>
        <w:rPr>
          <w:i/>
        </w:rPr>
        <w:t>Multinational Business Review</w:t>
      </w:r>
      <w:r>
        <w:t>.</w:t>
      </w:r>
    </w:p>
    <w:p w14:paraId="42113EAF" w14:textId="77777777" w:rsidR="008B0BBF" w:rsidRDefault="004645E0">
      <w:pPr>
        <w:spacing w:line="360" w:lineRule="auto"/>
        <w:ind w:left="720" w:hanging="720"/>
        <w:jc w:val="center"/>
      </w:pPr>
      <w:r>
        <w:lastRenderedPageBreak/>
        <w:t>Shyamsundar, P., Sauls, L.A., Cheek, J.Z.</w:t>
      </w:r>
      <w:r>
        <w:t xml:space="preserve">, Sullivan-Wiley, K., Erbaugh, J.T. and Krishnapriya, P.P., 2021. Global forces of change: Implications for forest-poverty dynamics. </w:t>
      </w:r>
      <w:r>
        <w:rPr>
          <w:i/>
        </w:rPr>
        <w:t>Forest Policy and Economics</w:t>
      </w:r>
      <w:r>
        <w:t xml:space="preserve">, </w:t>
      </w:r>
      <w:r>
        <w:rPr>
          <w:i/>
        </w:rPr>
        <w:t>133</w:t>
      </w:r>
      <w:r>
        <w:t>, p.102607.</w:t>
      </w:r>
    </w:p>
    <w:p w14:paraId="2A9E85EF" w14:textId="77777777" w:rsidR="008B0BBF" w:rsidRDefault="004645E0">
      <w:pPr>
        <w:spacing w:line="360" w:lineRule="auto"/>
        <w:ind w:left="720" w:hanging="720"/>
        <w:jc w:val="center"/>
      </w:pPr>
      <w:r>
        <w:t xml:space="preserve">Siregar, E.I., 2019. The Impact of Political Risk and Macro Economics on Stock </w:t>
      </w:r>
      <w:r>
        <w:t xml:space="preserve">Return at Indonesia Stock Exchange (An Approach of </w:t>
      </w:r>
      <w:proofErr w:type="spellStart"/>
      <w:r>
        <w:t>Arbritage</w:t>
      </w:r>
      <w:proofErr w:type="spellEnd"/>
      <w:r>
        <w:t xml:space="preserve"> Pricing Theory (APT)). </w:t>
      </w:r>
      <w:r>
        <w:rPr>
          <w:i/>
        </w:rPr>
        <w:t>KnE Social Sciences</w:t>
      </w:r>
      <w:r>
        <w:t>, pp.744-772.</w:t>
      </w:r>
    </w:p>
    <w:p w14:paraId="1E84EACF" w14:textId="77777777" w:rsidR="008B0BBF" w:rsidRDefault="004645E0">
      <w:pPr>
        <w:spacing w:line="360" w:lineRule="auto"/>
        <w:ind w:left="720" w:hanging="720"/>
        <w:jc w:val="center"/>
      </w:pPr>
      <w:proofErr w:type="spellStart"/>
      <w:r>
        <w:t>Sukardi</w:t>
      </w:r>
      <w:proofErr w:type="spellEnd"/>
      <w:r>
        <w:t xml:space="preserve">, S., </w:t>
      </w:r>
      <w:proofErr w:type="spellStart"/>
      <w:r>
        <w:t>Rusdiawan</w:t>
      </w:r>
      <w:proofErr w:type="spellEnd"/>
      <w:r>
        <w:t xml:space="preserve">, R. and Wardana, L., 2019. The Competitiveness of Master of Education Graduates: Porter’s Diamond Analysis. </w:t>
      </w:r>
      <w:r>
        <w:rPr>
          <w:i/>
        </w:rPr>
        <w:t>Internat</w:t>
      </w:r>
      <w:r>
        <w:rPr>
          <w:i/>
        </w:rPr>
        <w:t>ional Journal of Emerging Technologies in Learning (</w:t>
      </w:r>
      <w:proofErr w:type="spellStart"/>
      <w:r>
        <w:rPr>
          <w:i/>
        </w:rPr>
        <w:t>iJET</w:t>
      </w:r>
      <w:proofErr w:type="spellEnd"/>
      <w:r>
        <w:rPr>
          <w:i/>
        </w:rPr>
        <w:t>)</w:t>
      </w:r>
      <w:r>
        <w:t xml:space="preserve">, </w:t>
      </w:r>
      <w:r>
        <w:rPr>
          <w:i/>
        </w:rPr>
        <w:t>14</w:t>
      </w:r>
      <w:r>
        <w:t>(19), pp.179-187.</w:t>
      </w:r>
    </w:p>
    <w:p w14:paraId="6C30B787" w14:textId="77777777" w:rsidR="008B0BBF" w:rsidRDefault="004645E0">
      <w:pPr>
        <w:spacing w:line="360" w:lineRule="auto"/>
        <w:ind w:left="720" w:hanging="720"/>
        <w:jc w:val="center"/>
      </w:pPr>
      <w:r>
        <w:t xml:space="preserve">Tallman, S., Luo, Y. and Buckley, P.J., 2018. Business models in global competition. </w:t>
      </w:r>
      <w:r>
        <w:rPr>
          <w:i/>
        </w:rPr>
        <w:t>Global Strategy Journal</w:t>
      </w:r>
      <w:r>
        <w:t xml:space="preserve">, </w:t>
      </w:r>
      <w:r>
        <w:rPr>
          <w:i/>
        </w:rPr>
        <w:t>8</w:t>
      </w:r>
      <w:r>
        <w:t>(4), pp.517-535.</w:t>
      </w:r>
    </w:p>
    <w:p w14:paraId="23FD95F4" w14:textId="77777777" w:rsidR="008B0BBF" w:rsidRDefault="004645E0">
      <w:pPr>
        <w:spacing w:line="360" w:lineRule="auto"/>
        <w:ind w:left="720" w:hanging="720"/>
        <w:jc w:val="center"/>
      </w:pPr>
      <w:r>
        <w:rPr>
          <w:color w:val="000000"/>
        </w:rPr>
        <w:t xml:space="preserve">The Cheese Bar. 2021. </w:t>
      </w:r>
      <w:r>
        <w:rPr>
          <w:i/>
          <w:color w:val="000000"/>
        </w:rPr>
        <w:t>The Cheese Bar - Championin</w:t>
      </w:r>
      <w:r>
        <w:rPr>
          <w:i/>
          <w:color w:val="000000"/>
        </w:rPr>
        <w:t>g British Cheese</w:t>
      </w:r>
      <w:r>
        <w:rPr>
          <w:color w:val="000000"/>
        </w:rPr>
        <w:t>. [online] Available at: &lt;https://www.thecheesebar.com/&gt; [Accessed 19 October 2021].</w:t>
      </w:r>
    </w:p>
    <w:p w14:paraId="526E784C" w14:textId="77777777" w:rsidR="008B0BBF" w:rsidRDefault="008B0BBF">
      <w:pPr>
        <w:spacing w:line="360" w:lineRule="auto"/>
        <w:jc w:val="center"/>
      </w:pPr>
    </w:p>
    <w:sectPr w:rsidR="008B0BBF">
      <w:footerReference w:type="defaul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0F5B77" w14:textId="77777777" w:rsidR="004645E0" w:rsidRDefault="004645E0">
      <w:pPr>
        <w:spacing w:after="0" w:line="240" w:lineRule="auto"/>
      </w:pPr>
      <w:r>
        <w:separator/>
      </w:r>
    </w:p>
  </w:endnote>
  <w:endnote w:type="continuationSeparator" w:id="0">
    <w:p w14:paraId="3F790EC1" w14:textId="77777777" w:rsidR="004645E0" w:rsidRDefault="004645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9286D2" w14:textId="77777777" w:rsidR="008B0BBF" w:rsidRDefault="004645E0">
    <w:pPr>
      <w:pBdr>
        <w:top w:val="nil"/>
        <w:left w:val="nil"/>
        <w:bottom w:val="nil"/>
        <w:right w:val="nil"/>
        <w:between w:val="nil"/>
      </w:pBdr>
      <w:tabs>
        <w:tab w:val="center" w:pos="4680"/>
        <w:tab w:val="right" w:pos="9360"/>
      </w:tabs>
      <w:spacing w:after="0" w:line="240" w:lineRule="auto"/>
      <w:rPr>
        <w:color w:val="000000"/>
      </w:rPr>
    </w:pPr>
    <w:r>
      <w:rPr>
        <w:noProof/>
      </w:rPr>
      <mc:AlternateContent>
        <mc:Choice Requires="wps">
          <w:drawing>
            <wp:anchor distT="0" distB="0" distL="114300" distR="114300" simplePos="0" relativeHeight="251658240" behindDoc="0" locked="0" layoutInCell="1" hidden="0" allowOverlap="1" wp14:anchorId="339167EE" wp14:editId="6C4CE8B4">
              <wp:simplePos x="0" y="0"/>
              <wp:positionH relativeFrom="column">
                <wp:posOffset>212725</wp:posOffset>
              </wp:positionH>
              <wp:positionV relativeFrom="paragraph">
                <wp:posOffset>0</wp:posOffset>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wps:spPr>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212725</wp:posOffset>
              </wp:positionH>
              <wp:positionV relativeFrom="paragraph">
                <wp:posOffset>0</wp:posOffset>
              </wp:positionV>
              <wp:extent cx="5534025" cy="19050"/>
              <wp:effectExtent b="0" l="0" r="0" t="0"/>
              <wp:wrapNone/>
              <wp:docPr id="1" name="image2.png"/>
              <a:graphic>
                <a:graphicData uri="http://schemas.openxmlformats.org/drawingml/2006/picture">
                  <pic:pic>
                    <pic:nvPicPr>
                      <pic:cNvPr id="0" name="image2.png"/>
                      <pic:cNvPicPr preferRelativeResize="0"/>
                    </pic:nvPicPr>
                    <pic:blipFill>
                      <a:blip r:embed="rId1"/>
                      <a:srcRect b="0" l="0" r="0" t="0"/>
                      <a:stretch>
                        <a:fillRect/>
                      </a:stretch>
                    </pic:blipFill>
                    <pic:spPr>
                      <a:xfrm>
                        <a:off x="0" y="0"/>
                        <a:ext cx="5534025" cy="19050"/>
                      </a:xfrm>
                      <a:prstGeom prst="rect"/>
                      <a:ln/>
                    </pic:spPr>
                  </pic:pic>
                </a:graphicData>
              </a:graphic>
            </wp:anchor>
          </w:drawing>
        </mc:Fallback>
      </mc:AlternateContent>
    </w:r>
    <w:r>
      <w:rPr>
        <w:noProof/>
      </w:rPr>
      <mc:AlternateContent>
        <mc:Choice Requires="wps">
          <w:drawing>
            <wp:anchor distT="0" distB="0" distL="114300" distR="114300" simplePos="0" relativeHeight="251659264" behindDoc="0" locked="0" layoutInCell="1" hidden="0" allowOverlap="1" wp14:anchorId="5D883A06" wp14:editId="4E26E31A">
              <wp:simplePos x="0" y="0"/>
              <wp:positionH relativeFrom="column">
                <wp:posOffset>2695892</wp:posOffset>
              </wp:positionH>
              <wp:positionV relativeFrom="paragraph">
                <wp:posOffset>0</wp:posOffset>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44E33E01" w14:textId="77777777" w:rsidR="002663CB" w:rsidRDefault="004645E0">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anchor>
          </w:drawing>
        </mc:Choice>
        <mc:Fallback xmlns:dgm="http://schemas.openxmlformats.org/drawingml/2006/diagram" xmlns:lc="http://schemas.openxmlformats.org/drawingml/2006/lockedCanvas" xmlns:c="http://schemas.openxmlformats.org/drawingml/2006/chart" xmlns:pic="http://schemas.openxmlformats.org/drawingml/2006/picture" xmlns:a="http://schemas.openxmlformats.org/drawingml/2006/main" xmlns:sl="http://schemas.openxmlformats.org/schemaLibrary/2006/main">
          <w:drawing>
            <wp:anchor allowOverlap="1" behindDoc="0" distB="0" distT="0" distL="114300" distR="114300" hidden="0" layoutInCell="1" locked="0" relativeHeight="0" simplePos="0">
              <wp:simplePos x="0" y="0"/>
              <wp:positionH relativeFrom="column">
                <wp:posOffset>2695892</wp:posOffset>
              </wp:positionH>
              <wp:positionV relativeFrom="paragraph">
                <wp:posOffset>0</wp:posOffset>
              </wp:positionV>
              <wp:extent cx="590550" cy="276225"/>
              <wp:effectExtent b="0" l="0" r="0" t="0"/>
              <wp:wrapNone/>
              <wp:docPr id="2" name="image3.png"/>
              <a:graphic>
                <a:graphicData uri="http://schemas.openxmlformats.org/drawingml/2006/picture">
                  <pic:pic>
                    <pic:nvPicPr>
                      <pic:cNvPr id="0" name="image3.png"/>
                      <pic:cNvPicPr preferRelativeResize="0"/>
                    </pic:nvPicPr>
                    <pic:blipFill>
                      <a:blip r:embed="rId2"/>
                      <a:srcRect b="0" l="0" r="0" t="0"/>
                      <a:stretch>
                        <a:fillRect/>
                      </a:stretch>
                    </pic:blipFill>
                    <pic:spPr>
                      <a:xfrm>
                        <a:off x="0" y="0"/>
                        <a:ext cx="590550" cy="276225"/>
                      </a:xfrm>
                      <a:prstGeom prst="rect"/>
                      <a:ln/>
                    </pic:spPr>
                  </pic:pic>
                </a:graphicData>
              </a:graphic>
            </wp:anchor>
          </w:drawing>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4B94E" w14:textId="77777777" w:rsidR="004645E0" w:rsidRDefault="004645E0">
      <w:pPr>
        <w:spacing w:after="0" w:line="240" w:lineRule="auto"/>
      </w:pPr>
      <w:r>
        <w:separator/>
      </w:r>
    </w:p>
  </w:footnote>
  <w:footnote w:type="continuationSeparator" w:id="0">
    <w:p w14:paraId="59C0A12C" w14:textId="77777777" w:rsidR="004645E0" w:rsidRDefault="004645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B1EDC"/>
    <w:multiLevelType w:val="multilevel"/>
    <w:tmpl w:val="1132F6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85F5DA3"/>
    <w:multiLevelType w:val="multilevel"/>
    <w:tmpl w:val="EB62B69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C251870"/>
    <w:multiLevelType w:val="multilevel"/>
    <w:tmpl w:val="7EA863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0BBF"/>
    <w:rsid w:val="003E1FAC"/>
    <w:rsid w:val="004645E0"/>
    <w:rsid w:val="007A70AA"/>
    <w:rsid w:val="008B0B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01A661"/>
  <w15:docId w15:val="{450D65D3-D0D1-4537-B639-7188CE501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CA"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1F3864"/>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8"/>
      <w:szCs w:val="28"/>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foot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2756</Words>
  <Characters>15711</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Cristina Solomon</dc:creator>
  <cp:lastModifiedBy>Cristina Solomon</cp:lastModifiedBy>
  <cp:revision>2</cp:revision>
  <dcterms:created xsi:type="dcterms:W3CDTF">2021-10-20T08:48:00Z</dcterms:created>
  <dcterms:modified xsi:type="dcterms:W3CDTF">2021-10-20T08:48:00Z</dcterms:modified>
</cp:coreProperties>
</file>