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1B74F" w14:textId="25EDBE53" w:rsidR="00CA54B0" w:rsidRDefault="00CA54B0" w:rsidP="00CA54B0">
      <w:pPr>
        <w:jc w:val="both"/>
      </w:pPr>
      <w:r>
        <w:t>MA Historical Studies: Fact and Fiction Assignment 1 – Critical Appreciation.</w:t>
      </w:r>
    </w:p>
    <w:p w14:paraId="6D2231D4" w14:textId="77777777" w:rsidR="00CA54B0" w:rsidRDefault="00CA54B0" w:rsidP="00CA54B0">
      <w:pPr>
        <w:pBdr>
          <w:bottom w:val="single" w:sz="6" w:space="1" w:color="auto"/>
        </w:pBdr>
        <w:jc w:val="both"/>
      </w:pPr>
      <w:r>
        <w:t>M. Youde November 2025.</w:t>
      </w:r>
    </w:p>
    <w:p w14:paraId="7A8B4E24" w14:textId="77777777" w:rsidR="00CA54B0" w:rsidRDefault="00CA54B0" w:rsidP="00DD1CBB">
      <w:pPr>
        <w:jc w:val="both"/>
      </w:pPr>
    </w:p>
    <w:p w14:paraId="3A1A9236" w14:textId="422758ED" w:rsidR="00BC5191" w:rsidRDefault="00BC5191" w:rsidP="00DD1CBB">
      <w:pPr>
        <w:jc w:val="both"/>
      </w:pPr>
      <w:r>
        <w:t xml:space="preserve">This essay shall deliver a critical appreciation of William Shakespear’s </w:t>
      </w:r>
      <w:r w:rsidRPr="00144AB5">
        <w:rPr>
          <w:i/>
          <w:iCs/>
        </w:rPr>
        <w:t>The Tempest</w:t>
      </w:r>
      <w:r>
        <w:t>, focusing on its historical context and scholarship around this, particularly its relationship to Utopian writings connected with the ‘Age of Discovery’ and colonialism in the New World. It will pay close attention to the literary techniques used, thematic, stylistic and linguistic.</w:t>
      </w:r>
    </w:p>
    <w:p w14:paraId="773A446B" w14:textId="664E4FD3" w:rsidR="00BC6D0D" w:rsidRDefault="007E79FF" w:rsidP="00DD1CBB">
      <w:pPr>
        <w:jc w:val="both"/>
      </w:pPr>
      <w:r w:rsidRPr="00144AB5">
        <w:rPr>
          <w:i/>
          <w:iCs/>
        </w:rPr>
        <w:t>The Tempest</w:t>
      </w:r>
      <w:r>
        <w:t xml:space="preserve"> </w:t>
      </w:r>
      <w:r w:rsidR="00961E48">
        <w:t>is the story of Prospero, the deposed Duke of Milan, and his daughter Miranda, who have lived for years on an island – ostensibly in the Mediterranean – in exile away from civilisation. The island is uninhabited apart from various spirits and an anthropomorphic creature called Caliban, who claims rightful lordship to the Isle as its sole indigenous being, but is instead bent to the will of Caliban, along with the spirits, b</w:t>
      </w:r>
      <w:r w:rsidR="00BC6D0D">
        <w:t>y</w:t>
      </w:r>
      <w:r w:rsidR="00961E48">
        <w:t xml:space="preserve"> Caliban’s sorcery.</w:t>
      </w:r>
      <w:r w:rsidR="00BC6D0D">
        <w:t xml:space="preserve"> This sorcery is turned towards creating a tempest which shipwrecks Caliban’s enemies at his shore.</w:t>
      </w:r>
      <w:r w:rsidR="00961E48">
        <w:t xml:space="preserve"> </w:t>
      </w:r>
      <w:r w:rsidR="00BC6D0D">
        <w:t>This essay shall analyse Act 2, scene 1, where we meet these shipwrecked characters and begin to see Caliban’s designs at work on them.</w:t>
      </w:r>
    </w:p>
    <w:p w14:paraId="0577461B" w14:textId="3A8F2651" w:rsidR="007E79FF" w:rsidRPr="00961E48" w:rsidRDefault="00BC6D0D" w:rsidP="00DD1CBB">
      <w:pPr>
        <w:jc w:val="both"/>
      </w:pPr>
      <w:r>
        <w:rPr>
          <w:i/>
          <w:iCs/>
        </w:rPr>
        <w:t>The Tempest</w:t>
      </w:r>
      <w:r w:rsidR="00961E48">
        <w:t xml:space="preserve"> </w:t>
      </w:r>
      <w:r w:rsidR="007E79FF">
        <w:t xml:space="preserve">is one of Shakespeare’s final </w:t>
      </w:r>
      <w:r w:rsidR="0019553D">
        <w:t>plays and</w:t>
      </w:r>
      <w:r w:rsidR="007E79FF">
        <w:t xml:space="preserve"> much has been made about how this reflects on the themes and sensibilities of the text. It was written under a new Monarch, James I, and during the so-called Age of Discovery and the colonisation of the Americas. Humanist writers were propagating ideas about how society could be reformed to benefit the common </w:t>
      </w:r>
      <w:r w:rsidR="0019553D">
        <w:t>people and</w:t>
      </w:r>
      <w:r w:rsidR="007E79FF">
        <w:t xml:space="preserve"> even questioning the absolute power of Kings.</w:t>
      </w:r>
      <w:r w:rsidR="0019553D">
        <w:t xml:space="preserve"> </w:t>
      </w:r>
      <w:r w:rsidR="00961E48">
        <w:t xml:space="preserve">Shakespeare had relocated to his Stratford-upon-Avon home, and attempts have been made to view this as a period of relative solitude and reflection away from the intrigues of London and the royal court, even as elements of Masque – a format of play designed for the court – can be seen in </w:t>
      </w:r>
      <w:r w:rsidR="00961E48">
        <w:rPr>
          <w:i/>
          <w:iCs/>
        </w:rPr>
        <w:t xml:space="preserve">The Tempest. </w:t>
      </w:r>
      <w:r w:rsidR="00961E48">
        <w:t xml:space="preserve">Some have viewed the play as an early critique of </w:t>
      </w:r>
      <w:r w:rsidR="0070137B">
        <w:t>colonialism or including humanist or reformist streaks sympathising with a republican or anarchist commonwealth. This essay shall consider these arguments as it analyses the text.</w:t>
      </w:r>
    </w:p>
    <w:p w14:paraId="2C654E30" w14:textId="5051D77D" w:rsidR="003B7668" w:rsidRPr="003B7668" w:rsidRDefault="003B7668" w:rsidP="00DD1CBB">
      <w:pPr>
        <w:jc w:val="both"/>
        <w:rPr>
          <w:b/>
          <w:bCs/>
        </w:rPr>
      </w:pPr>
      <w:r w:rsidRPr="003B7668">
        <w:rPr>
          <w:b/>
          <w:bCs/>
        </w:rPr>
        <w:t>Themes</w:t>
      </w:r>
      <w:r w:rsidR="00714FE0">
        <w:rPr>
          <w:b/>
          <w:bCs/>
        </w:rPr>
        <w:t xml:space="preserve">, </w:t>
      </w:r>
      <w:r w:rsidRPr="003B7668">
        <w:rPr>
          <w:b/>
          <w:bCs/>
        </w:rPr>
        <w:t>motifs and techniques</w:t>
      </w:r>
    </w:p>
    <w:p w14:paraId="6392794D" w14:textId="52F970DE" w:rsidR="003B7668" w:rsidRDefault="007247A6" w:rsidP="003B7668">
      <w:pPr>
        <w:jc w:val="both"/>
      </w:pPr>
      <w:r>
        <w:t xml:space="preserve">Watts argues that the Tempest is - as are the other two of Shakespeare’s later plays known as the Three Romances - </w:t>
      </w:r>
      <w:r w:rsidR="00DB6768">
        <w:t>overall</w:t>
      </w:r>
      <w:r>
        <w:t xml:space="preserve"> more </w:t>
      </w:r>
      <w:r w:rsidR="003B7668" w:rsidRPr="00DB7642">
        <w:t>‘far-fetched, strange, peculiar and exotic’</w:t>
      </w:r>
      <w:r>
        <w:t xml:space="preserve"> than his others. </w:t>
      </w:r>
      <w:r w:rsidR="003B7668" w:rsidRPr="00DB7642">
        <w:rPr>
          <w:rStyle w:val="FootnoteReference"/>
        </w:rPr>
        <w:footnoteReference w:id="1"/>
      </w:r>
      <w:r>
        <w:t xml:space="preserve"> They</w:t>
      </w:r>
      <w:r w:rsidR="003B7668" w:rsidRPr="00DB7642">
        <w:t xml:space="preserve"> ‘often invoke the supernatural</w:t>
      </w:r>
      <w:r>
        <w:t>.</w:t>
      </w:r>
      <w:r w:rsidR="003B7668" w:rsidRPr="00DB7642">
        <w:t>’</w:t>
      </w:r>
      <w:r>
        <w:t xml:space="preserve"> </w:t>
      </w:r>
      <w:r w:rsidR="003B7668" w:rsidRPr="00DB7642">
        <w:rPr>
          <w:rStyle w:val="FootnoteReference"/>
        </w:rPr>
        <w:footnoteReference w:id="2"/>
      </w:r>
      <w:r>
        <w:t xml:space="preserve"> Of course, this could be said of plenty of earlier plays, from the witchcraft of </w:t>
      </w:r>
      <w:r w:rsidRPr="00193E06">
        <w:rPr>
          <w:i/>
          <w:iCs/>
        </w:rPr>
        <w:t>Macbeth</w:t>
      </w:r>
      <w:r>
        <w:t xml:space="preserve"> to the exoticism of </w:t>
      </w:r>
      <w:r w:rsidRPr="00193E06">
        <w:rPr>
          <w:i/>
          <w:iCs/>
        </w:rPr>
        <w:t>A Midsummer Night’s Dream</w:t>
      </w:r>
      <w:r>
        <w:t xml:space="preserve">. </w:t>
      </w:r>
      <w:r w:rsidR="00193E06">
        <w:rPr>
          <w:i/>
          <w:iCs/>
        </w:rPr>
        <w:t xml:space="preserve">The Tempest </w:t>
      </w:r>
      <w:r w:rsidR="00193E06">
        <w:t xml:space="preserve">is certainly unusual in that its setting is not a real place, but far more of a fantasy realm. </w:t>
      </w:r>
    </w:p>
    <w:p w14:paraId="2B13BC03" w14:textId="3AA5151B" w:rsidR="00BC77BF" w:rsidRDefault="00BC77BF" w:rsidP="00BC77BF">
      <w:pPr>
        <w:jc w:val="both"/>
      </w:pPr>
      <w:r>
        <w:t>In this scene we</w:t>
      </w:r>
      <w:r w:rsidRPr="00DB7642">
        <w:t xml:space="preserve"> see the first display of </w:t>
      </w:r>
      <w:r>
        <w:t xml:space="preserve">the sprite </w:t>
      </w:r>
      <w:r w:rsidRPr="00DB7642">
        <w:t>Ariel’s magic</w:t>
      </w:r>
      <w:r>
        <w:t xml:space="preserve">, placing the shipwrecked characters into a deep sleep, all save Sebastian and Antonio, who usurped Prospero in the first place and who seize on the chance to plot further still against their companions. </w:t>
      </w:r>
      <w:r w:rsidRPr="00DB7642">
        <w:rPr>
          <w:rStyle w:val="FootnoteReference"/>
        </w:rPr>
        <w:footnoteReference w:id="3"/>
      </w:r>
      <w:r w:rsidRPr="00DB7642">
        <w:t xml:space="preserve"> </w:t>
      </w:r>
      <w:r>
        <w:t>The p</w:t>
      </w:r>
      <w:r w:rsidRPr="00DB7642">
        <w:t xml:space="preserve">urpose </w:t>
      </w:r>
      <w:r>
        <w:t xml:space="preserve">of the magic here </w:t>
      </w:r>
      <w:r w:rsidRPr="00DB7642">
        <w:t>is mischief, but the reactions of Sebastian and Antoni</w:t>
      </w:r>
      <w:r>
        <w:t>o</w:t>
      </w:r>
      <w:r w:rsidRPr="00DB7642">
        <w:t xml:space="preserve"> are their own and</w:t>
      </w:r>
      <w:r>
        <w:t xml:space="preserve"> demonstrates</w:t>
      </w:r>
      <w:r w:rsidRPr="00DB7642">
        <w:t xml:space="preserve"> their capacity for sin and deceit. </w:t>
      </w:r>
      <w:r>
        <w:t xml:space="preserve">Shakespeare here </w:t>
      </w:r>
      <w:r w:rsidRPr="00DB7642">
        <w:t xml:space="preserve">shows us the sort of treachery that robbed Prospero of his title. At the same time, </w:t>
      </w:r>
      <w:r>
        <w:t xml:space="preserve">he </w:t>
      </w:r>
      <w:r w:rsidRPr="00DB7642">
        <w:t>shows us the complexity of the</w:t>
      </w:r>
      <w:r>
        <w:t>se</w:t>
      </w:r>
      <w:r w:rsidRPr="00DB7642">
        <w:t xml:space="preserve"> characters, having previously established the jovial relationships between them</w:t>
      </w:r>
      <w:r>
        <w:t>, as we shall see presently</w:t>
      </w:r>
      <w:r w:rsidRPr="00DB7642">
        <w:t>.</w:t>
      </w:r>
    </w:p>
    <w:p w14:paraId="34921805" w14:textId="0AA00851" w:rsidR="00B42DCC" w:rsidRPr="00B42DCC" w:rsidRDefault="006F3BC0" w:rsidP="00BC77BF">
      <w:pPr>
        <w:jc w:val="both"/>
      </w:pPr>
      <w:r w:rsidRPr="00B42DCC">
        <w:lastRenderedPageBreak/>
        <w:t>Every element of the supernatural or unusual could be argued as serving a purpose in the play, being used to drive at its other themes. Prospero is driven by a desire for revenge and it is to this purpose that he directs both his magic and his minions</w:t>
      </w:r>
      <w:r w:rsidR="00B42DCC" w:rsidRPr="00B42DCC">
        <w:t xml:space="preserve">. </w:t>
      </w:r>
      <w:r w:rsidRPr="00B42DCC">
        <w:t xml:space="preserve">Here also we see something of the renaissance in Prospero; he is not necessarily a magic wielder like the witches of </w:t>
      </w:r>
      <w:r w:rsidRPr="00B42DCC">
        <w:rPr>
          <w:i/>
          <w:iCs/>
        </w:rPr>
        <w:t>Macbeth</w:t>
      </w:r>
      <w:r w:rsidRPr="00B42DCC">
        <w:t xml:space="preserve">, nor is he capricious and playful with it like Puck in </w:t>
      </w:r>
      <w:r w:rsidRPr="00B42DCC">
        <w:rPr>
          <w:i/>
          <w:iCs/>
        </w:rPr>
        <w:t xml:space="preserve">Midsummer. </w:t>
      </w:r>
      <w:r w:rsidRPr="00B42DCC">
        <w:t>His power is based in learning (it is implied he derives it from his books) and he is arguably a caricature of the humanist scientists and artists of the era (this will be explored more presently).</w:t>
      </w:r>
      <w:r w:rsidR="00B42DCC">
        <w:t xml:space="preserve"> </w:t>
      </w:r>
    </w:p>
    <w:p w14:paraId="10DCB108" w14:textId="687112D4" w:rsidR="00BC77BF" w:rsidRDefault="00CC7684" w:rsidP="00BC77BF">
      <w:pPr>
        <w:jc w:val="both"/>
      </w:pPr>
      <w:r>
        <w:t>The otherworldliness of the island also serves to contrast various characters. The shipwrecked characters here a</w:t>
      </w:r>
      <w:r w:rsidR="00BC77BF" w:rsidRPr="00DB7642">
        <w:t xml:space="preserve"> ‘hollow burst of bellowing’, bulls, lions, </w:t>
      </w:r>
      <w:r>
        <w:t xml:space="preserve">strange humming and </w:t>
      </w:r>
      <w:r w:rsidR="00BC77BF" w:rsidRPr="00DB7642">
        <w:t>an earthquak</w:t>
      </w:r>
      <w:r>
        <w:t xml:space="preserve">e, all, </w:t>
      </w:r>
      <w:r w:rsidR="00BC77BF" w:rsidRPr="00DB7642">
        <w:t>‘a din to fright a monster’s ea</w:t>
      </w:r>
      <w:r>
        <w:t>r</w:t>
      </w:r>
      <w:r w:rsidR="00BC77BF" w:rsidRPr="00DB7642">
        <w:t>.</w:t>
      </w:r>
      <w:r>
        <w:t xml:space="preserve">’ </w:t>
      </w:r>
      <w:r w:rsidR="00BC77BF" w:rsidRPr="00DB7642">
        <w:rPr>
          <w:rStyle w:val="FootnoteReference"/>
        </w:rPr>
        <w:footnoteReference w:id="4"/>
      </w:r>
      <w:r w:rsidR="00BC77BF" w:rsidRPr="00DB7642">
        <w:t xml:space="preserve"> </w:t>
      </w:r>
      <w:r>
        <w:t>We can c</w:t>
      </w:r>
      <w:r w:rsidR="00BC77BF" w:rsidRPr="00DB7642">
        <w:t>ontrast</w:t>
      </w:r>
      <w:r>
        <w:t xml:space="preserve"> this</w:t>
      </w:r>
      <w:r w:rsidR="00BC77BF" w:rsidRPr="00DB7642">
        <w:t xml:space="preserve"> with Caliban’s</w:t>
      </w:r>
      <w:r>
        <w:t xml:space="preserve"> later</w:t>
      </w:r>
      <w:r w:rsidR="00BC77BF" w:rsidRPr="00DB7642">
        <w:t xml:space="preserve"> monologue</w:t>
      </w:r>
      <w:r>
        <w:t xml:space="preserve"> (‘The isle is full of noises / Sounds and sweet airs, that give delight, and hurt not’) </w:t>
      </w:r>
      <w:r w:rsidR="00BC77BF" w:rsidRPr="00DB7642">
        <w:t>and the fact that these sounds do not fright his ear, who is called a monster by the other characters.</w:t>
      </w:r>
      <w:r w:rsidR="006A057D">
        <w:t xml:space="preserve"> </w:t>
      </w:r>
      <w:r w:rsidR="006A057D">
        <w:rPr>
          <w:rStyle w:val="FootnoteReference"/>
        </w:rPr>
        <w:footnoteReference w:id="5"/>
      </w:r>
      <w:r w:rsidR="00BC77BF" w:rsidRPr="00DB7642">
        <w:t xml:space="preserve"> Of course, </w:t>
      </w:r>
      <w:r w:rsidR="00177E31">
        <w:t xml:space="preserve">apart from Ariel’s singing putting most of the characters to sleep, the fearful noises are </w:t>
      </w:r>
      <w:r w:rsidR="00BC77BF" w:rsidRPr="00DB7642">
        <w:t>mostly lies by Antonio and Sebastian to cover for their treachery; Caliban’s sweet noises are not.</w:t>
      </w:r>
      <w:r w:rsidR="00177E31">
        <w:t xml:space="preserve"> Caliban, the wretched and deformed man or creature, is more honest and truthful than most of the ‘civilised’ characters, and this ties into themes of colonialism that shall be explored shortly.</w:t>
      </w:r>
    </w:p>
    <w:p w14:paraId="520BA910" w14:textId="0AF25FF4" w:rsidR="00B42DCC" w:rsidRPr="00DB7642" w:rsidRDefault="00B83D0B" w:rsidP="00BC77BF">
      <w:pPr>
        <w:jc w:val="both"/>
      </w:pPr>
      <w:r>
        <w:t xml:space="preserve">Hazlit argues that </w:t>
      </w:r>
      <w:r w:rsidR="00A90D17">
        <w:t>it is perhaps the property of the island to be perceived differently by different characters, and that this reveals something of their nature to us; and even if those characters are exaggerating or lying, this is still revealing</w:t>
      </w:r>
      <w:r w:rsidR="002F1301">
        <w:t>. Gonzalo, who is a loyal and wise advisor to his king (but also potentially something of a foolish dreamer) sees a paradise ‘</w:t>
      </w:r>
      <w:r w:rsidR="002F1301" w:rsidRPr="00106199">
        <w:t>where clothes miraculously dry shortly after immersion, while for Antonio and Sebastian</w:t>
      </w:r>
      <w:r w:rsidR="002F1301">
        <w:t xml:space="preserve"> [who are treacherous]</w:t>
      </w:r>
      <w:r w:rsidR="002F1301" w:rsidRPr="00106199">
        <w:t xml:space="preserve"> it’s a marshy desert and their clothes remain soaked and salt-encrusted.</w:t>
      </w:r>
      <w:r w:rsidR="002F1301">
        <w:t xml:space="preserve">’ </w:t>
      </w:r>
      <w:r w:rsidR="00B42DCC">
        <w:rPr>
          <w:rStyle w:val="FootnoteReference"/>
        </w:rPr>
        <w:footnoteReference w:id="6"/>
      </w:r>
      <w:r w:rsidR="002F1301">
        <w:t xml:space="preserve"> Hazlit phrases it well, that the island is, in fact, a ‘</w:t>
      </w:r>
      <w:r w:rsidR="002F1301" w:rsidRPr="00106199">
        <w:t>contested imaginative location from the very beginning</w:t>
      </w:r>
      <w:r w:rsidR="002F1301">
        <w:t xml:space="preserve">.’ </w:t>
      </w:r>
      <w:r w:rsidR="002F1301">
        <w:rPr>
          <w:rStyle w:val="FootnoteReference"/>
        </w:rPr>
        <w:footnoteReference w:id="7"/>
      </w:r>
    </w:p>
    <w:p w14:paraId="194C9C45" w14:textId="7984A9EB" w:rsidR="00BC77BF" w:rsidRPr="00193E06" w:rsidRDefault="0044447C" w:rsidP="003B7668">
      <w:pPr>
        <w:jc w:val="both"/>
      </w:pPr>
      <w:r>
        <w:t>------</w:t>
      </w:r>
    </w:p>
    <w:p w14:paraId="121615DF" w14:textId="024E40B4" w:rsidR="007B2BC7" w:rsidRDefault="007B2BC7" w:rsidP="007B2BC7">
      <w:pPr>
        <w:jc w:val="both"/>
      </w:pPr>
      <w:r>
        <w:t xml:space="preserve">The play opens in an unconventional way. We are thrown into the action, and Prospero and Miranda have been stranded on the island for years already. Shakespeare perhaps uses the shipwrecked characters’ arrival on the island as a stand-in for this lack of neat beginning; there is some symmetry with this arrival and the imagined advent of Prospero and Miranda before the play catches up with them. </w:t>
      </w:r>
      <w:r w:rsidRPr="00DB7642">
        <w:t>As Prospero</w:t>
      </w:r>
      <w:r>
        <w:t xml:space="preserve"> laid claim to it when he arrived</w:t>
      </w:r>
      <w:r w:rsidRPr="00DB7642">
        <w:t xml:space="preserve">, so </w:t>
      </w:r>
      <w:r>
        <w:t>do various of the new arrivals</w:t>
      </w:r>
      <w:r w:rsidRPr="00DB7642">
        <w:t xml:space="preserve"> imagine mastery over the island</w:t>
      </w:r>
      <w:r>
        <w:t xml:space="preserve">. As </w:t>
      </w:r>
      <w:r w:rsidR="00A153EC">
        <w:t>Watts notes,</w:t>
      </w:r>
      <w:r w:rsidRPr="00DB7642">
        <w:t xml:space="preserve"> </w:t>
      </w:r>
      <w:r w:rsidR="00A153EC">
        <w:t>i</w:t>
      </w:r>
      <w:r w:rsidRPr="00DB7642">
        <w:t>t ‘rhymes</w:t>
      </w:r>
      <w:r>
        <w:t>.</w:t>
      </w:r>
      <w:r w:rsidRPr="00DB7642">
        <w:t>’</w:t>
      </w:r>
      <w:r w:rsidR="00D62036">
        <w:t xml:space="preserve"> </w:t>
      </w:r>
      <w:r w:rsidRPr="00DB7642">
        <w:rPr>
          <w:rStyle w:val="FootnoteReference"/>
        </w:rPr>
        <w:footnoteReference w:id="8"/>
      </w:r>
      <w:r w:rsidRPr="00DB7642">
        <w:t xml:space="preserve"> </w:t>
      </w:r>
    </w:p>
    <w:p w14:paraId="7CB7ED5C" w14:textId="49AAE1E6" w:rsidR="003B7668" w:rsidRDefault="006B2772" w:rsidP="003B7668">
      <w:pPr>
        <w:jc w:val="both"/>
      </w:pPr>
      <w:r>
        <w:t xml:space="preserve">It is arguably quite satisfying that this rhyming, this symmetry, also </w:t>
      </w:r>
      <w:r w:rsidR="00516D99">
        <w:t>sees ‘</w:t>
      </w:r>
      <w:r w:rsidR="007B2BC7">
        <w:t>T</w:t>
      </w:r>
      <w:r w:rsidR="007B2BC7" w:rsidRPr="0048561B">
        <w:t xml:space="preserve">he men who banished </w:t>
      </w:r>
      <w:r>
        <w:t>[Prospero]</w:t>
      </w:r>
      <w:r w:rsidR="007B2BC7" w:rsidRPr="0048561B">
        <w:t xml:space="preserve"> arriv</w:t>
      </w:r>
      <w:r>
        <w:t>[ing]</w:t>
      </w:r>
      <w:r w:rsidR="007B2BC7" w:rsidRPr="0048561B">
        <w:t xml:space="preserve"> there twelve years later.</w:t>
      </w:r>
      <w:r w:rsidR="007B2BC7">
        <w:t>’</w:t>
      </w:r>
      <w:r>
        <w:t xml:space="preserve"> </w:t>
      </w:r>
      <w:r w:rsidR="007B2BC7">
        <w:rPr>
          <w:rStyle w:val="FootnoteReference"/>
        </w:rPr>
        <w:footnoteReference w:id="9"/>
      </w:r>
      <w:r>
        <w:t xml:space="preserve"> Not only are we given this echo of the opening act we do not see, but this also delivers the opportunity for Prospero to have his vengeance (or so he thinks).</w:t>
      </w:r>
      <w:r w:rsidR="00587DDA">
        <w:t xml:space="preserve"> This opportunity was unexpected, the outside world was as good as dead to Prospero, and he and Miranda as good as dead to those who now land on the island. This is a theme also seen in the playfulness with which Shakespeare sinks the ship in the first Act only to reveal that everyone survived the tempest and made it safely to the island. Watt notes that this bait and </w:t>
      </w:r>
      <w:r w:rsidR="00587DDA">
        <w:lastRenderedPageBreak/>
        <w:t xml:space="preserve">switch is characteristic of Shakespeare in his later works: </w:t>
      </w:r>
      <w:r w:rsidR="003B7668" w:rsidRPr="00DB7642">
        <w:t>‘the supposedly dead…are found to be alive after all</w:t>
      </w:r>
      <w:r w:rsidR="00DC69D1">
        <w:t>.</w:t>
      </w:r>
      <w:r w:rsidR="003B7668" w:rsidRPr="00DB7642">
        <w:t xml:space="preserve">’ </w:t>
      </w:r>
      <w:r w:rsidR="003B7668" w:rsidRPr="00DB7642">
        <w:rPr>
          <w:rStyle w:val="FootnoteReference"/>
        </w:rPr>
        <w:footnoteReference w:id="10"/>
      </w:r>
    </w:p>
    <w:p w14:paraId="640E678F" w14:textId="6C1CE3F4" w:rsidR="00C7760A" w:rsidRPr="00DB7642" w:rsidRDefault="00C7760A" w:rsidP="003B7668">
      <w:pPr>
        <w:jc w:val="both"/>
      </w:pPr>
      <w:r>
        <w:t>------</w:t>
      </w:r>
    </w:p>
    <w:p w14:paraId="5EEC706C" w14:textId="77777777" w:rsidR="00F20A6C" w:rsidRDefault="00F20A6C" w:rsidP="003B7668">
      <w:pPr>
        <w:jc w:val="both"/>
      </w:pPr>
      <w:r>
        <w:t>Humour and word p</w:t>
      </w:r>
      <w:r w:rsidR="003B7668" w:rsidRPr="00DB7642">
        <w:t>uns</w:t>
      </w:r>
      <w:r>
        <w:t>, always a significant tool in Shakespeare’s arsenal, are well represented here. As well as being part and parcel of the entertainment factor of his plays,</w:t>
      </w:r>
      <w:r w:rsidR="003B7668" w:rsidRPr="00DB7642">
        <w:t xml:space="preserve"> </w:t>
      </w:r>
      <w:r>
        <w:t>they also often provide clever links to wider themes.</w:t>
      </w:r>
      <w:r w:rsidR="003B7668" w:rsidRPr="00DB7642">
        <w:t xml:space="preserve"> </w:t>
      </w:r>
    </w:p>
    <w:p w14:paraId="325265A4" w14:textId="5D7930BC" w:rsidR="003B7668" w:rsidRPr="00DB7642" w:rsidRDefault="00F20A6C" w:rsidP="003B7668">
      <w:pPr>
        <w:jc w:val="both"/>
      </w:pPr>
      <w:r>
        <w:t xml:space="preserve">The Act begins with a rapid exchange of humorous sparring. Alonsa calls for peace and Sebastian </w:t>
      </w:r>
      <w:r w:rsidR="00DE185D">
        <w:t>jests that he takes comfort like cold porridge</w:t>
      </w:r>
      <w:r>
        <w:t xml:space="preserve"> </w:t>
      </w:r>
      <w:r w:rsidR="00DE185D">
        <w:t>(or ‘</w:t>
      </w:r>
      <w:r w:rsidR="003B7668" w:rsidRPr="00DB7642">
        <w:t>pease</w:t>
      </w:r>
      <w:r w:rsidR="00DE185D">
        <w:t>’) and a further joke is made that a</w:t>
      </w:r>
      <w:r w:rsidR="00DE185D" w:rsidRPr="00BB2F6B">
        <w:rPr>
          <w:i/>
          <w:iCs/>
        </w:rPr>
        <w:t xml:space="preserve"> </w:t>
      </w:r>
      <w:r w:rsidR="003B7668" w:rsidRPr="00BB2F6B">
        <w:rPr>
          <w:i/>
          <w:iCs/>
        </w:rPr>
        <w:t>dollar</w:t>
      </w:r>
      <w:r w:rsidR="00DE185D">
        <w:t xml:space="preserve"> may be paid for entertainment, since </w:t>
      </w:r>
      <w:r w:rsidR="00DA257A">
        <w:t>Alonso</w:t>
      </w:r>
      <w:r w:rsidR="00DE185D">
        <w:t xml:space="preserve"> is in a </w:t>
      </w:r>
      <w:r w:rsidR="00BB2F6B" w:rsidRPr="00BB2F6B">
        <w:rPr>
          <w:i/>
          <w:iCs/>
        </w:rPr>
        <w:t>dolo</w:t>
      </w:r>
      <w:r w:rsidR="00DD1244">
        <w:rPr>
          <w:i/>
          <w:iCs/>
        </w:rPr>
        <w:t>u</w:t>
      </w:r>
      <w:r w:rsidR="00BB2F6B" w:rsidRPr="00BB2F6B">
        <w:rPr>
          <w:i/>
          <w:iCs/>
        </w:rPr>
        <w:t>ro</w:t>
      </w:r>
      <w:r w:rsidR="00BB2F6B">
        <w:t>us</w:t>
      </w:r>
      <w:r w:rsidR="00DE185D">
        <w:t xml:space="preserve"> </w:t>
      </w:r>
      <w:r w:rsidR="00DD1244">
        <w:t xml:space="preserve">[dolorous] </w:t>
      </w:r>
      <w:r w:rsidR="00DE185D">
        <w:t xml:space="preserve">state. </w:t>
      </w:r>
      <w:r w:rsidR="003B7668" w:rsidRPr="00DB7642">
        <w:rPr>
          <w:rStyle w:val="FootnoteReference"/>
        </w:rPr>
        <w:footnoteReference w:id="11"/>
      </w:r>
      <w:r w:rsidR="00DE185D">
        <w:t xml:space="preserve"> </w:t>
      </w:r>
    </w:p>
    <w:p w14:paraId="118097DF" w14:textId="11CB59FF" w:rsidR="00BE7D18" w:rsidRPr="00DB7642" w:rsidRDefault="00A1036B" w:rsidP="00BE7D18">
      <w:pPr>
        <w:jc w:val="both"/>
      </w:pPr>
      <w:r>
        <w:t>The purpose of this j</w:t>
      </w:r>
      <w:r w:rsidR="00BE7D18" w:rsidRPr="00DB7642">
        <w:t>oking back and forth</w:t>
      </w:r>
      <w:r>
        <w:t xml:space="preserve"> is</w:t>
      </w:r>
      <w:r w:rsidR="00BE7D18" w:rsidRPr="00DB7642">
        <w:t xml:space="preserve"> obviously to amuse</w:t>
      </w:r>
      <w:r>
        <w:t xml:space="preserve"> and</w:t>
      </w:r>
      <w:r w:rsidR="00BE7D18" w:rsidRPr="00DB7642">
        <w:t xml:space="preserve"> entertain</w:t>
      </w:r>
      <w:r>
        <w:t xml:space="preserve"> in the first instance</w:t>
      </w:r>
      <w:r w:rsidR="00BE7D18" w:rsidRPr="00DB7642">
        <w:t xml:space="preserve"> (although</w:t>
      </w:r>
      <w:r>
        <w:t xml:space="preserve"> some of the puns arguably assume good knowledge and comedic literacy by the audience</w:t>
      </w:r>
      <w:r w:rsidR="00BE7D18" w:rsidRPr="00DB7642">
        <w:t>), but it also establish</w:t>
      </w:r>
      <w:r>
        <w:t>es</w:t>
      </w:r>
      <w:r w:rsidR="00BE7D18" w:rsidRPr="00DB7642">
        <w:t xml:space="preserve"> the relationships between the characters</w:t>
      </w:r>
      <w:r>
        <w:t xml:space="preserve">, </w:t>
      </w:r>
      <w:r w:rsidR="00BE7D18" w:rsidRPr="00DB7642">
        <w:t>the tensions</w:t>
      </w:r>
      <w:r>
        <w:t xml:space="preserve"> and</w:t>
      </w:r>
      <w:r w:rsidR="00BE7D18" w:rsidRPr="00DB7642">
        <w:t xml:space="preserve"> friendships. It humanises them (essential for our appreciation of their complexity</w:t>
      </w:r>
      <w:r>
        <w:t>,</w:t>
      </w:r>
      <w:r w:rsidR="00BE7D18" w:rsidRPr="00DB7642">
        <w:t xml:space="preserve"> since we already know their party is an extension of that which wronged Prospero and Mirand</w:t>
      </w:r>
      <w:r>
        <w:t>a</w:t>
      </w:r>
      <w:r w:rsidR="00BE7D18" w:rsidRPr="00DB7642">
        <w:t>)</w:t>
      </w:r>
      <w:r>
        <w:t xml:space="preserve"> and </w:t>
      </w:r>
      <w:r w:rsidR="00BE7D18" w:rsidRPr="00DB7642">
        <w:t xml:space="preserve">invests us in their survival and </w:t>
      </w:r>
      <w:r>
        <w:t xml:space="preserve">ultimate </w:t>
      </w:r>
      <w:r w:rsidR="00BE7D18" w:rsidRPr="00DB7642">
        <w:t xml:space="preserve">redemption. It also makes the ready betrayal by </w:t>
      </w:r>
      <w:r>
        <w:t>Antonio</w:t>
      </w:r>
      <w:r w:rsidR="00BE7D18" w:rsidRPr="00DB7642">
        <w:t xml:space="preserve"> and </w:t>
      </w:r>
      <w:r>
        <w:t>Sebastian</w:t>
      </w:r>
      <w:r w:rsidR="00BE7D18" w:rsidRPr="00DB7642">
        <w:t xml:space="preserve"> once Alonso is asleep </w:t>
      </w:r>
      <w:r w:rsidR="006E4DC9" w:rsidRPr="00DB7642">
        <w:t>even more</w:t>
      </w:r>
      <w:r w:rsidR="00BE7D18" w:rsidRPr="00DB7642">
        <w:t xml:space="preserve"> dramatic, having established this jovial camaraderie.</w:t>
      </w:r>
    </w:p>
    <w:p w14:paraId="0D4F0FF8" w14:textId="5B91E3A4" w:rsidR="00BE7D18" w:rsidRDefault="00007CB6" w:rsidP="00BE7D18">
      <w:pPr>
        <w:jc w:val="both"/>
      </w:pPr>
      <w:r>
        <w:t xml:space="preserve">The humour also gives an insight into how the text requires performance to convey its meaning, and actors to interpret the lines. </w:t>
      </w:r>
      <w:r w:rsidR="00881575">
        <w:t>Having earlier teased Gonzalo as an old cock, Sebastian makes subtle pun is made about the state of the weather being ‘fowl.’</w:t>
      </w:r>
      <w:r w:rsidR="00BE7D18" w:rsidRPr="00DB7642">
        <w:rPr>
          <w:rStyle w:val="FootnoteReference"/>
        </w:rPr>
        <w:footnoteReference w:id="12"/>
      </w:r>
      <w:r w:rsidR="00BE7D18" w:rsidRPr="00DB7642">
        <w:t xml:space="preserve"> Written, the pun is obvious, but in speaking, </w:t>
      </w:r>
      <w:r w:rsidR="00881575">
        <w:t>not so much</w:t>
      </w:r>
      <w:r w:rsidR="00BE7D18" w:rsidRPr="00DB7642">
        <w:t xml:space="preserve">. It therefore requires the actor to convey the </w:t>
      </w:r>
      <w:r>
        <w:t>joke themselves (t</w:t>
      </w:r>
      <w:r w:rsidRPr="00DB7642">
        <w:t>here are no stage directions</w:t>
      </w:r>
      <w:r>
        <w:t>), perhaps by flapping their arms as they deliver the line.</w:t>
      </w:r>
    </w:p>
    <w:p w14:paraId="78A5F3A2" w14:textId="5934ABB7" w:rsidR="00BE7D18" w:rsidRPr="00DB7642" w:rsidRDefault="00F20A6C" w:rsidP="003B7668">
      <w:pPr>
        <w:jc w:val="both"/>
      </w:pPr>
      <w:r>
        <w:t>----</w:t>
      </w:r>
    </w:p>
    <w:p w14:paraId="30E9A47C" w14:textId="7651742E" w:rsidR="002066E6" w:rsidRPr="00DB7642" w:rsidRDefault="00630464" w:rsidP="006231F9">
      <w:pPr>
        <w:jc w:val="both"/>
      </w:pPr>
      <w:r>
        <w:t xml:space="preserve">The text makes frequent classical references: </w:t>
      </w:r>
      <w:r w:rsidR="00BE7D18" w:rsidRPr="00DB7642">
        <w:t>Aeneas’ Aeneid</w:t>
      </w:r>
      <w:r>
        <w:t xml:space="preserve">, </w:t>
      </w:r>
      <w:r w:rsidR="00BE7D18" w:rsidRPr="00DB7642">
        <w:t>Virgil</w:t>
      </w:r>
      <w:r>
        <w:t>, even invoking</w:t>
      </w:r>
      <w:r w:rsidR="00BE7D18" w:rsidRPr="00DB7642">
        <w:t xml:space="preserve"> </w:t>
      </w:r>
      <w:r>
        <w:t>ancient</w:t>
      </w:r>
      <w:r w:rsidR="00BE7D18" w:rsidRPr="00DB7642">
        <w:t xml:space="preserve"> Carthage </w:t>
      </w:r>
      <w:r>
        <w:t>when discussing Tunis, where they have just been (this is also delivered in a humorous way)</w:t>
      </w:r>
      <w:r w:rsidR="00BE7D18" w:rsidRPr="00DB7642">
        <w:t xml:space="preserve">. </w:t>
      </w:r>
      <w:r>
        <w:t>These references are often delivered with some subtlety or are otherwise name-dropped without much explanation.</w:t>
      </w:r>
      <w:r w:rsidR="003B7668" w:rsidRPr="00DB7642">
        <w:t xml:space="preserve"> </w:t>
      </w:r>
      <w:r>
        <w:t>D</w:t>
      </w:r>
      <w:r w:rsidR="003B7668" w:rsidRPr="00DB7642">
        <w:t xml:space="preserve">oes this suggest the average audience member might </w:t>
      </w:r>
      <w:r>
        <w:t xml:space="preserve">have </w:t>
      </w:r>
      <w:r w:rsidR="003B7668" w:rsidRPr="00DB7642">
        <w:t>be</w:t>
      </w:r>
      <w:r>
        <w:t>en</w:t>
      </w:r>
      <w:r w:rsidR="003B7668" w:rsidRPr="00DB7642">
        <w:t xml:space="preserve"> familiar with such references? Or was this written for a more educated audience (for example, to be played at court?) </w:t>
      </w:r>
      <w:r>
        <w:t>Later in the play, a plethora of classical deities, repurposed here as masked sprites under Prospero’s command, regale the characters with a Masque performance. Masque was a type of play specifically written for and performed in high society and the royal court, so perhaps this does suggest an educated audience here, though on the other hand</w:t>
      </w:r>
      <w:r w:rsidR="003B7668" w:rsidRPr="00DB7642">
        <w:t xml:space="preserve"> the use of classical deities as </w:t>
      </w:r>
      <w:r>
        <w:t>almost pantomime figures</w:t>
      </w:r>
      <w:r w:rsidR="003B7668" w:rsidRPr="00DB7642">
        <w:t xml:space="preserve"> </w:t>
      </w:r>
      <w:r>
        <w:t>dancing around</w:t>
      </w:r>
      <w:r w:rsidR="003B7668" w:rsidRPr="00DB7642">
        <w:t xml:space="preserve"> the stage is easier to imagine an</w:t>
      </w:r>
      <w:r>
        <w:t xml:space="preserve"> </w:t>
      </w:r>
      <w:r w:rsidR="003B7668" w:rsidRPr="00DB7642">
        <w:t>audience understanding than literary in-jokes.</w:t>
      </w:r>
    </w:p>
    <w:p w14:paraId="57F59FEE" w14:textId="73930BC8" w:rsidR="006231F9" w:rsidRPr="00DB7642" w:rsidRDefault="006231F9" w:rsidP="006231F9">
      <w:pPr>
        <w:jc w:val="both"/>
      </w:pPr>
      <w:r w:rsidRPr="00DB7642">
        <w:t>Invoking</w:t>
      </w:r>
      <w:r w:rsidR="00F065D7">
        <w:t xml:space="preserve"> classical writers like</w:t>
      </w:r>
      <w:r w:rsidRPr="00DB7642">
        <w:t xml:space="preserve"> Ulysses, Virgi</w:t>
      </w:r>
      <w:r w:rsidR="00F065D7">
        <w:t>l</w:t>
      </w:r>
      <w:r w:rsidRPr="00DB7642">
        <w:t xml:space="preserve"> (via Maecenas), Horace</w:t>
      </w:r>
      <w:r w:rsidR="00F065D7">
        <w:t xml:space="preserve"> and so on</w:t>
      </w:r>
      <w:r w:rsidRPr="00DB7642">
        <w:t xml:space="preserve"> </w:t>
      </w:r>
      <w:r w:rsidR="00F065D7">
        <w:t>also strengthens the connection between the play and the wider Humanist tradition of the time, as we shall see presently.</w:t>
      </w:r>
      <w:r w:rsidRPr="00DB7642">
        <w:t xml:space="preserve"> </w:t>
      </w:r>
    </w:p>
    <w:p w14:paraId="59D6CB27" w14:textId="77777777" w:rsidR="007A1A70" w:rsidRDefault="007A1A70" w:rsidP="00991CB0">
      <w:pPr>
        <w:jc w:val="both"/>
        <w:rPr>
          <w:b/>
          <w:bCs/>
        </w:rPr>
      </w:pPr>
    </w:p>
    <w:p w14:paraId="4B439A54" w14:textId="77777777" w:rsidR="007A1A70" w:rsidRDefault="007A1A70" w:rsidP="00991CB0">
      <w:pPr>
        <w:jc w:val="both"/>
        <w:rPr>
          <w:b/>
          <w:bCs/>
        </w:rPr>
      </w:pPr>
    </w:p>
    <w:p w14:paraId="70387E99" w14:textId="203C7AE6" w:rsidR="00991CB0" w:rsidRDefault="00991CB0" w:rsidP="00991CB0">
      <w:pPr>
        <w:jc w:val="both"/>
        <w:rPr>
          <w:b/>
          <w:bCs/>
        </w:rPr>
      </w:pPr>
      <w:r w:rsidRPr="003B7668">
        <w:rPr>
          <w:b/>
          <w:bCs/>
        </w:rPr>
        <w:lastRenderedPageBreak/>
        <w:t>Colonialism</w:t>
      </w:r>
    </w:p>
    <w:p w14:paraId="425D9690" w14:textId="77777777" w:rsidR="00991CB0" w:rsidRDefault="00991CB0" w:rsidP="00991CB0">
      <w:pPr>
        <w:jc w:val="both"/>
      </w:pPr>
      <w:r>
        <w:t xml:space="preserve">It is often suggested that </w:t>
      </w:r>
      <w:r>
        <w:rPr>
          <w:i/>
          <w:iCs/>
        </w:rPr>
        <w:t xml:space="preserve">The Tempest </w:t>
      </w:r>
      <w:r>
        <w:t xml:space="preserve">is a critique of colonialism. That claim shall be briefly considered, but to do so, we must first examine the ways in which the play is more generally informed by the age of colonisation in which it was written. </w:t>
      </w:r>
    </w:p>
    <w:p w14:paraId="1B65EA35" w14:textId="77777777" w:rsidR="00991CB0" w:rsidRDefault="00991CB0" w:rsidP="00991CB0">
      <w:pPr>
        <w:jc w:val="both"/>
      </w:pPr>
      <w:r>
        <w:t xml:space="preserve">Gonzalo’s manifesto (the more political implications of which will be discussed next), which begins with </w:t>
      </w:r>
      <w:r w:rsidRPr="00DB7642">
        <w:t>‘had I plantatio</w:t>
      </w:r>
      <w:r>
        <w:t>n of this isle</w:t>
      </w:r>
      <w:r w:rsidRPr="00DB7642">
        <w:t>’</w:t>
      </w:r>
      <w:r>
        <w:t xml:space="preserve"> is perhaps an obvious sign of the influence of colonialism.</w:t>
      </w:r>
      <w:r w:rsidRPr="00DB7642">
        <w:rPr>
          <w:rStyle w:val="FootnoteReference"/>
        </w:rPr>
        <w:footnoteReference w:id="13"/>
      </w:r>
      <w:r w:rsidRPr="00DB7642">
        <w:t xml:space="preserve"> </w:t>
      </w:r>
      <w:r>
        <w:t>This could be inspired by the settlement of the Americas, or perhaps even the P</w:t>
      </w:r>
      <w:r w:rsidRPr="00DB7642">
        <w:t>lantation of Ulster</w:t>
      </w:r>
      <w:r>
        <w:t>, which had begun in</w:t>
      </w:r>
      <w:r w:rsidRPr="00DB7642">
        <w:t xml:space="preserve"> 1609</w:t>
      </w:r>
      <w:r>
        <w:t>; that may be</w:t>
      </w:r>
      <w:r w:rsidRPr="00DB7642">
        <w:t xml:space="preserve"> too late to directly influence</w:t>
      </w:r>
      <w:r>
        <w:t xml:space="preserve"> this play significantly, but on the other hand, the Plantation of Virginia began in 1613, so it is arguably as likely that English colonisation of Ireland influenced Shakespeare as that of the ‘New World.’ This would have interesting implications for how we might interpret the characters of the play, but that requires its own study.</w:t>
      </w:r>
    </w:p>
    <w:p w14:paraId="2FD6A934" w14:textId="77777777" w:rsidR="00991CB0" w:rsidRDefault="00991CB0" w:rsidP="00991CB0">
      <w:pPr>
        <w:jc w:val="both"/>
      </w:pPr>
      <w:r>
        <w:t>Colonial-era racism is perhaps to be found in the characters’ attitudes to other peoples, as they lament losing Alonso’s daughter Claribel to the ruler of Tunis, who they call ‘</w:t>
      </w:r>
      <w:r w:rsidRPr="00DB7642">
        <w:t>an African</w:t>
      </w:r>
      <w:r>
        <w:t>.</w:t>
      </w:r>
      <w:r w:rsidRPr="00DB7642">
        <w:t>'</w:t>
      </w:r>
      <w:r>
        <w:t xml:space="preserve"> </w:t>
      </w:r>
      <w:r w:rsidRPr="00DB7642">
        <w:rPr>
          <w:rStyle w:val="FootnoteReference"/>
        </w:rPr>
        <w:footnoteReference w:id="14"/>
      </w:r>
      <w:r w:rsidRPr="00DB7642">
        <w:t xml:space="preserve"> </w:t>
      </w:r>
      <w:r>
        <w:t>This was</w:t>
      </w:r>
      <w:r w:rsidRPr="00DB7642">
        <w:t xml:space="preserve"> most likely a Moor rather than a sub-Saharan African, </w:t>
      </w:r>
      <w:r>
        <w:t xml:space="preserve">and perhaps this tells us something about attitudes at the time; in any case, the description is not complimentary. The treatment of Caliban, which is arguably not wholeheartedly condemned in the text, is also perhaps testament to the superior attitude of Europeans to native peoples at that time. However, there are some important distinctions between the setting of the play and the characterisation of Caliban, and New World tropes of contemporary writers during the Age of Discovery. </w:t>
      </w:r>
    </w:p>
    <w:p w14:paraId="59260156" w14:textId="77777777" w:rsidR="00991CB0" w:rsidRPr="00DE5F21" w:rsidRDefault="00991CB0" w:rsidP="00991CB0">
      <w:pPr>
        <w:jc w:val="both"/>
      </w:pPr>
      <w:r>
        <w:t xml:space="preserve">Michel de la Montaigne’s </w:t>
      </w:r>
      <w:r>
        <w:rPr>
          <w:i/>
          <w:iCs/>
        </w:rPr>
        <w:t>On the Cannibals</w:t>
      </w:r>
      <w:r>
        <w:t xml:space="preserve"> describes a New World ‘</w:t>
      </w:r>
      <w:r w:rsidRPr="00DB7642">
        <w:t>abounded with countless inhabitants</w:t>
      </w:r>
      <w:r>
        <w:t>’ and ‘</w:t>
      </w:r>
      <w:r w:rsidRPr="00DB7642">
        <w:t>a country very pleasant and temperate</w:t>
      </w:r>
      <w:r>
        <w:t>.</w:t>
      </w:r>
      <w:r w:rsidRPr="00DB7642">
        <w:t>’</w:t>
      </w:r>
      <w:r>
        <w:t xml:space="preserve"> </w:t>
      </w:r>
      <w:r>
        <w:rPr>
          <w:rStyle w:val="FootnoteReference"/>
        </w:rPr>
        <w:footnoteReference w:id="15"/>
      </w:r>
      <w:r>
        <w:t xml:space="preserve"> The Isle clearly contrasts with this in two ways; first, it is unpopulated save Caliban and then later Prospero and Miranda (the colonial trope of an empty land was arguably a later one), and second, only some of the characters experience it as pleasant and its climate agreeable. Similarly, Vespucci reports of </w:t>
      </w:r>
      <w:r w:rsidRPr="00DB7642">
        <w:t>‘a gentle people who will be easily led to God</w:t>
      </w:r>
      <w:r>
        <w:t>.</w:t>
      </w:r>
      <w:r w:rsidRPr="00DB7642">
        <w:t>’</w:t>
      </w:r>
      <w:r>
        <w:t xml:space="preserve"> </w:t>
      </w:r>
      <w:r>
        <w:rPr>
          <w:rStyle w:val="FootnoteReference"/>
        </w:rPr>
        <w:footnoteReference w:id="16"/>
      </w:r>
      <w:r w:rsidRPr="00DB7642">
        <w:t xml:space="preserve"> </w:t>
      </w:r>
      <w:r>
        <w:t>Whether Shakespeare intends for</w:t>
      </w:r>
      <w:r w:rsidRPr="00DB7642">
        <w:t xml:space="preserve"> Caliban </w:t>
      </w:r>
      <w:r>
        <w:t>to be a sympathetic character or not,</w:t>
      </w:r>
      <w:r w:rsidRPr="00DB7642">
        <w:t xml:space="preserve"> it is uncertain whether he is </w:t>
      </w:r>
      <w:r>
        <w:t>‘</w:t>
      </w:r>
      <w:r w:rsidRPr="00DB7642">
        <w:t>redeemed</w:t>
      </w:r>
      <w:r>
        <w:t>’ or led to God</w:t>
      </w:r>
      <w:r w:rsidRPr="00DB7642">
        <w:t xml:space="preserve"> by the end of the play</w:t>
      </w:r>
      <w:r>
        <w:t xml:space="preserve">; arguably </w:t>
      </w:r>
      <w:r w:rsidRPr="00DB7642">
        <w:t xml:space="preserve">the implication is </w:t>
      </w:r>
      <w:r>
        <w:t xml:space="preserve">that he is </w:t>
      </w:r>
      <w:r w:rsidRPr="00DB7642">
        <w:t>not.</w:t>
      </w:r>
    </w:p>
    <w:p w14:paraId="220E2B18" w14:textId="77777777" w:rsidR="00991CB0" w:rsidRPr="00DB7642" w:rsidRDefault="00991CB0" w:rsidP="00991CB0">
      <w:pPr>
        <w:jc w:val="both"/>
      </w:pPr>
      <w:r>
        <w:t>The trope of the cannibal is also no-where to be found in the play. It is suggested that Caliban is an anagram of cannibal, and this may be so, but Shakespeare’s character</w:t>
      </w:r>
      <w:r w:rsidRPr="00DB7642">
        <w:t xml:space="preserve"> has orthodox ideas of food. </w:t>
      </w:r>
      <w:r>
        <w:t>Watts c</w:t>
      </w:r>
      <w:r w:rsidRPr="00DB7642">
        <w:t xml:space="preserve">onsiders </w:t>
      </w:r>
      <w:r>
        <w:t xml:space="preserve">several </w:t>
      </w:r>
      <w:r w:rsidRPr="00DB7642">
        <w:t>alternatives</w:t>
      </w:r>
      <w:r>
        <w:t xml:space="preserve"> for Caliban’s etymology</w:t>
      </w:r>
      <w:r w:rsidRPr="00DB7642">
        <w:t>; carib, cauliban (</w:t>
      </w:r>
      <w:r>
        <w:t>‘</w:t>
      </w:r>
      <w:r w:rsidRPr="00DB7642">
        <w:t>black</w:t>
      </w:r>
      <w:r>
        <w:t>’</w:t>
      </w:r>
      <w:r w:rsidRPr="00DB7642">
        <w:t xml:space="preserve"> in Romany), </w:t>
      </w:r>
      <w:r>
        <w:t xml:space="preserve">and </w:t>
      </w:r>
      <w:r w:rsidRPr="00DB7642">
        <w:t>finds all lacking.</w:t>
      </w:r>
      <w:r w:rsidRPr="00DB7642">
        <w:rPr>
          <w:rStyle w:val="FootnoteReference"/>
        </w:rPr>
        <w:footnoteReference w:id="17"/>
      </w:r>
      <w:r>
        <w:t xml:space="preserve"> At best, we may say Caliban is meant to invoke the trope of the cannibal to elicit a reaction from the audience and further enhance the new-world-ness of the setting. </w:t>
      </w:r>
      <w:r>
        <w:tab/>
      </w:r>
    </w:p>
    <w:p w14:paraId="76672148" w14:textId="77777777" w:rsidR="0050576A" w:rsidRPr="00DB7642" w:rsidRDefault="0050576A" w:rsidP="0050576A">
      <w:pPr>
        <w:jc w:val="both"/>
      </w:pPr>
      <w:r>
        <w:t xml:space="preserve">Gonzalo’s speech in favour of a </w:t>
      </w:r>
      <w:r w:rsidRPr="00DB7642">
        <w:t>‘commonwealth’</w:t>
      </w:r>
      <w:r>
        <w:t xml:space="preserve"> is arguably the strongest link to colonialist thought in the play.</w:t>
      </w:r>
      <w:r w:rsidRPr="00DB7642">
        <w:t xml:space="preserve"> </w:t>
      </w:r>
      <w:r w:rsidRPr="00DB7642">
        <w:rPr>
          <w:rStyle w:val="FootnoteReference"/>
        </w:rPr>
        <w:footnoteReference w:id="18"/>
      </w:r>
      <w:r>
        <w:t xml:space="preserve"> Even as they advocated the domination of other peoples and lands, writers of the day saw the settlement of the New World as an opportunity to inspire a greater common-</w:t>
      </w:r>
      <w:r>
        <w:lastRenderedPageBreak/>
        <w:t>wealth at home. They did this by emphasising the societies of the peoples native to colonised lands. Gonzalo’s</w:t>
      </w:r>
      <w:r w:rsidRPr="00DB7642">
        <w:t xml:space="preserve"> </w:t>
      </w:r>
      <w:r>
        <w:t>dream of a state with n</w:t>
      </w:r>
      <w:r w:rsidRPr="00DB7642">
        <w:t xml:space="preserve">o laws, riches or poverty, contracts, property, sovereignty, </w:t>
      </w:r>
      <w:r>
        <w:t>or</w:t>
      </w:r>
      <w:r w:rsidRPr="00DB7642">
        <w:t xml:space="preserve"> weapons</w:t>
      </w:r>
      <w:r>
        <w:t xml:space="preserve"> </w:t>
      </w:r>
      <w:r w:rsidRPr="00DB7642">
        <w:t>is a</w:t>
      </w:r>
      <w:r>
        <w:t>n almost</w:t>
      </w:r>
      <w:r w:rsidRPr="00DB7642">
        <w:t xml:space="preserve"> direct adaptation of Montaigne</w:t>
      </w:r>
      <w:r>
        <w:t>.</w:t>
      </w:r>
      <w:r w:rsidRPr="00DB7642">
        <w:rPr>
          <w:rStyle w:val="FootnoteReference"/>
        </w:rPr>
        <w:footnoteReference w:id="19"/>
      </w:r>
      <w:r>
        <w:t xml:space="preserve"> This is a characteristic of Utopian writing more broadly, where native societies are held up to promote discussion about a better society in the Old World</w:t>
      </w:r>
      <w:r w:rsidRPr="00F52E93">
        <w:t>.</w:t>
      </w:r>
      <w:r>
        <w:t xml:space="preserve">  However, as Watts notes, </w:t>
      </w:r>
      <w:r w:rsidRPr="00DB7642">
        <w:t>‘This comedy is no political tract but a work of entertainment</w:t>
      </w:r>
      <w:r>
        <w:t>.</w:t>
      </w:r>
      <w:r w:rsidRPr="00DB7642">
        <w:t xml:space="preserve">’ </w:t>
      </w:r>
      <w:r w:rsidRPr="00DB7642">
        <w:rPr>
          <w:rStyle w:val="FootnoteReference"/>
        </w:rPr>
        <w:footnoteReference w:id="20"/>
      </w:r>
      <w:r>
        <w:t xml:space="preserve"> This must be remembered and held central at all times. Even so, according to More,</w:t>
      </w:r>
      <w:r w:rsidRPr="00DB7642">
        <w:t xml:space="preserve"> ‘one purpose of fiction is, after all, to generate encounters with the ideal</w:t>
      </w:r>
      <w:r>
        <w:t>.</w:t>
      </w:r>
      <w:r w:rsidRPr="00DB7642">
        <w:t>’</w:t>
      </w:r>
      <w:r>
        <w:t xml:space="preserve"> </w:t>
      </w:r>
      <w:r w:rsidRPr="00DB7642">
        <w:rPr>
          <w:rStyle w:val="FootnoteReference"/>
        </w:rPr>
        <w:footnoteReference w:id="21"/>
      </w:r>
      <w:r>
        <w:t xml:space="preserve"> </w:t>
      </w:r>
    </w:p>
    <w:p w14:paraId="6F7C0C5F" w14:textId="77777777" w:rsidR="00626CCA" w:rsidRDefault="00626CCA" w:rsidP="00626CCA">
      <w:pPr>
        <w:jc w:val="both"/>
        <w:rPr>
          <w:b/>
          <w:bCs/>
        </w:rPr>
      </w:pPr>
      <w:r>
        <w:rPr>
          <w:b/>
          <w:bCs/>
        </w:rPr>
        <w:t>Utopia/Commonwealth</w:t>
      </w:r>
    </w:p>
    <w:p w14:paraId="04F382B0" w14:textId="77777777" w:rsidR="00626CCA" w:rsidRPr="008C40AB" w:rsidRDefault="00626CCA" w:rsidP="00626CCA">
      <w:pPr>
        <w:jc w:val="both"/>
      </w:pPr>
      <w:r>
        <w:t xml:space="preserve">To explore further the relationship between </w:t>
      </w:r>
      <w:r>
        <w:rPr>
          <w:i/>
          <w:iCs/>
        </w:rPr>
        <w:t xml:space="preserve">The Tempest </w:t>
      </w:r>
      <w:r w:rsidRPr="008F6C2B">
        <w:t>a</w:t>
      </w:r>
      <w:r>
        <w:t xml:space="preserve">nd Utopian writing more broadly, we shall briefly compare it with Thomas More’s </w:t>
      </w:r>
      <w:r>
        <w:rPr>
          <w:i/>
          <w:iCs/>
        </w:rPr>
        <w:t xml:space="preserve">Utopia. </w:t>
      </w:r>
    </w:p>
    <w:p w14:paraId="0CE95C41" w14:textId="77777777" w:rsidR="00626CCA" w:rsidRDefault="00626CCA" w:rsidP="00626CCA">
      <w:pPr>
        <w:jc w:val="both"/>
      </w:pPr>
      <w:r>
        <w:t xml:space="preserve">More alludes to a mythical figure called Utopus, who in antiquity created the Utopian society of the title. The quatrain at the start of More’s book reads, </w:t>
      </w:r>
      <w:r w:rsidRPr="00DB7642">
        <w:t>‘The Leader Utopus turned me from a non-island into an island…’</w:t>
      </w:r>
      <w:r>
        <w:t xml:space="preserve"> </w:t>
      </w:r>
      <w:r w:rsidRPr="00DB7642">
        <w:rPr>
          <w:rStyle w:val="FootnoteReference"/>
        </w:rPr>
        <w:footnoteReference w:id="22"/>
      </w:r>
      <w:r>
        <w:t xml:space="preserve"> This mastery over nature, of making the insignificant significant, could arguably be seen in Prospero too. However, Prospero appears to stand for conventional European ideals of rights to property and title by birth, whereas Utopus raises a society in which property rights do not exist (suggesting More held them as problematic too). </w:t>
      </w:r>
      <w:r w:rsidRPr="00DB7642">
        <w:rPr>
          <w:rStyle w:val="FootnoteReference"/>
        </w:rPr>
        <w:footnoteReference w:id="23"/>
      </w:r>
      <w:r w:rsidRPr="00DB7642">
        <w:t xml:space="preserve"> </w:t>
      </w:r>
      <w:r>
        <w:t xml:space="preserve">Nonetheless, Gonzalo’s ideas of a commonwealth are far more in keeping with this ideal society. </w:t>
      </w:r>
    </w:p>
    <w:p w14:paraId="6F84D392" w14:textId="77777777" w:rsidR="00626CCA" w:rsidRPr="00DB7642" w:rsidRDefault="00626CCA" w:rsidP="00626CCA">
      <w:pPr>
        <w:jc w:val="both"/>
      </w:pPr>
      <w:r>
        <w:t>More</w:t>
      </w:r>
      <w:r w:rsidRPr="00DB7642">
        <w:t xml:space="preserve"> also begins his account with </w:t>
      </w:r>
      <w:r>
        <w:t xml:space="preserve">reference to </w:t>
      </w:r>
      <w:r w:rsidRPr="00DB7642">
        <w:t>Atlantis, an</w:t>
      </w:r>
      <w:r>
        <w:t>other</w:t>
      </w:r>
      <w:r w:rsidRPr="00DB7642">
        <w:t xml:space="preserve"> island </w:t>
      </w:r>
      <w:r>
        <w:t>associated with</w:t>
      </w:r>
      <w:r w:rsidRPr="00DB7642">
        <w:t xml:space="preserve"> a </w:t>
      </w:r>
      <w:r>
        <w:t>storm</w:t>
      </w:r>
      <w:r w:rsidRPr="00DB7642">
        <w:t xml:space="preserve">. </w:t>
      </w:r>
      <w:r>
        <w:t>He m</w:t>
      </w:r>
      <w:r w:rsidRPr="00DB7642">
        <w:t xml:space="preserve">uses on the possibility of the </w:t>
      </w:r>
      <w:r>
        <w:t>N</w:t>
      </w:r>
      <w:r w:rsidRPr="00DB7642">
        <w:t xml:space="preserve">ew </w:t>
      </w:r>
      <w:r>
        <w:t>W</w:t>
      </w:r>
      <w:r w:rsidRPr="00DB7642">
        <w:t>orld being a result of this flood</w:t>
      </w:r>
      <w:r>
        <w:t>, citing</w:t>
      </w:r>
      <w:r w:rsidRPr="00DB7642">
        <w:t xml:space="preserve"> ‘testimony from antiquity, to which some would apply this discovery of the New World.’</w:t>
      </w:r>
      <w:r>
        <w:t xml:space="preserve"> </w:t>
      </w:r>
      <w:r>
        <w:rPr>
          <w:rStyle w:val="FootnoteReference"/>
        </w:rPr>
        <w:footnoteReference w:id="24"/>
      </w:r>
      <w:r w:rsidRPr="00DB7642">
        <w:t xml:space="preserve">  </w:t>
      </w:r>
      <w:r>
        <w:t>This</w:t>
      </w:r>
      <w:r w:rsidRPr="00DB7642">
        <w:t xml:space="preserve"> connect</w:t>
      </w:r>
      <w:r>
        <w:t>ion between</w:t>
      </w:r>
      <w:r w:rsidRPr="00DB7642">
        <w:t xml:space="preserve"> the cataclysm of Atlantis, ostensibly in or at the gates of the Mediterranean, with the American landmass</w:t>
      </w:r>
      <w:r>
        <w:t xml:space="preserve">, creates </w:t>
      </w:r>
      <w:r w:rsidRPr="00DB7642">
        <w:t>a link in the imagination between these two places.</w:t>
      </w:r>
      <w:r>
        <w:t xml:space="preserve"> It is therefore interesting that for all its potential inspiration from the New World, the island of </w:t>
      </w:r>
      <w:r>
        <w:rPr>
          <w:i/>
          <w:iCs/>
        </w:rPr>
        <w:t xml:space="preserve">The Tempest </w:t>
      </w:r>
      <w:r>
        <w:t xml:space="preserve">is indeed in the Mediterranean. </w:t>
      </w:r>
    </w:p>
    <w:p w14:paraId="55B57D73" w14:textId="77777777" w:rsidR="00626CCA" w:rsidRDefault="00626CCA" w:rsidP="00626CCA">
      <w:pPr>
        <w:jc w:val="both"/>
      </w:pPr>
      <w:r>
        <w:t>Even as</w:t>
      </w:r>
      <w:r w:rsidRPr="00DB7642">
        <w:t xml:space="preserve"> More</w:t>
      </w:r>
      <w:r>
        <w:t xml:space="preserve"> extols the virtues of Utopian society, his descriptions of other New World peoples are far less complimentary, and </w:t>
      </w:r>
      <w:r w:rsidRPr="00DB7642">
        <w:t xml:space="preserve">we </w:t>
      </w:r>
      <w:r>
        <w:t>perhaps s</w:t>
      </w:r>
      <w:r w:rsidRPr="00DB7642">
        <w:t xml:space="preserve">ee </w:t>
      </w:r>
      <w:r>
        <w:t>similar attitudes as those which arguably colour</w:t>
      </w:r>
      <w:r w:rsidRPr="00DB7642">
        <w:t xml:space="preserve"> Caliban</w:t>
      </w:r>
      <w:r>
        <w:t>,</w:t>
      </w:r>
      <w:r w:rsidRPr="00DB7642">
        <w:t xml:space="preserve"> ‘wild as the beast</w:t>
      </w:r>
      <w:r>
        <w:t>s</w:t>
      </w:r>
      <w:r w:rsidRPr="00DB7642">
        <w:t xml:space="preserve"> themselves and no less dangerous</w:t>
      </w:r>
      <w:r>
        <w:t>.</w:t>
      </w:r>
      <w:r w:rsidRPr="00DB7642">
        <w:t>’</w:t>
      </w:r>
      <w:r>
        <w:t xml:space="preserve"> </w:t>
      </w:r>
      <w:r w:rsidRPr="00DB7642">
        <w:rPr>
          <w:rStyle w:val="FootnoteReference"/>
        </w:rPr>
        <w:footnoteReference w:id="25"/>
      </w:r>
      <w:r>
        <w:t xml:space="preserve"> Nonetheless, More rationalises even these descriptions, pointing out that no society is perfect: </w:t>
      </w:r>
      <w:r w:rsidRPr="00DB7642">
        <w:t>‘…as if other nations never did anything absurd</w:t>
      </w:r>
      <w:r>
        <w:t>.</w:t>
      </w:r>
      <w:r w:rsidRPr="00DB7642">
        <w:t>’</w:t>
      </w:r>
      <w:r>
        <w:t xml:space="preserve"> </w:t>
      </w:r>
      <w:r w:rsidRPr="00DB7642">
        <w:rPr>
          <w:rStyle w:val="FootnoteReference"/>
        </w:rPr>
        <w:footnoteReference w:id="26"/>
      </w:r>
      <w:r>
        <w:t xml:space="preserve"> He also suggests that these different societies can learn from each other: </w:t>
      </w:r>
      <w:r w:rsidRPr="00DB7642">
        <w:t>‘</w:t>
      </w:r>
      <w:r>
        <w:t xml:space="preserve">[there are] </w:t>
      </w:r>
      <w:r w:rsidRPr="00DB7642">
        <w:t>errors found both among us and in the new world…and… wiser measures adopted by both sides’.</w:t>
      </w:r>
      <w:r w:rsidRPr="00DB7642">
        <w:rPr>
          <w:rStyle w:val="FootnoteReference"/>
        </w:rPr>
        <w:footnoteReference w:id="27"/>
      </w:r>
    </w:p>
    <w:p w14:paraId="2E9A96E5" w14:textId="77777777" w:rsidR="00626CCA" w:rsidRDefault="00626CCA" w:rsidP="00626CCA">
      <w:pPr>
        <w:jc w:val="both"/>
      </w:pPr>
      <w:r>
        <w:t xml:space="preserve">This reveals the purpose of More’s Utopian fiction – and arguably all such writing. His imaginary civilisation is meant to be a gentle challenge to the rulers of society to imagine reforms they might make to benefit everybody, including or especially common people. He sees the role of Humanists as advising princes on such reforms. It is notable that in </w:t>
      </w:r>
      <w:r>
        <w:rPr>
          <w:i/>
          <w:iCs/>
        </w:rPr>
        <w:t>The Tempest</w:t>
      </w:r>
      <w:r>
        <w:t xml:space="preserve"> Gonzalo gives his utopian manifesto in front of the rulers of both Milan and Naples. This is largely portrayed as safe because he is teased by his peers as an old dreamer, but the vision is shared nonetheless. </w:t>
      </w:r>
      <w:r>
        <w:lastRenderedPageBreak/>
        <w:t>Is this Shakespeare holding up the utopia, as More did, to trigger conversation on how to move society towards a more ideal state through reforms, inspired by this vision of a commonwealth?  Maslen suggests that ‘</w:t>
      </w:r>
      <w:r w:rsidRPr="00646557">
        <w:t>Gonzalo’s lighthearted act of treason enables a utopian alternative island to form temporarily in the mind’s eye of the audience</w:t>
      </w:r>
      <w:r>
        <w:t xml:space="preserve">’ and so perhaps this is Shakespeare’s purpose, to present his own Utopia briefly to his audience, which may have in fact been the royal court. </w:t>
      </w:r>
      <w:r>
        <w:rPr>
          <w:rStyle w:val="FootnoteReference"/>
        </w:rPr>
        <w:footnoteReference w:id="28"/>
      </w:r>
      <w:r>
        <w:t xml:space="preserve"> </w:t>
      </w:r>
    </w:p>
    <w:p w14:paraId="6CBC41BD" w14:textId="61701C93" w:rsidR="008F30FB" w:rsidRDefault="00626CCA" w:rsidP="00DD1CBB">
      <w:pPr>
        <w:jc w:val="both"/>
      </w:pPr>
      <w:r>
        <w:t>We can perhaps situate Gonzalo’s musings in a wider theme of social norms being upended. As Maslen notes, these political and social musings form part of a chain of instances where ‘</w:t>
      </w:r>
      <w:r w:rsidRPr="00E842D8">
        <w:t>Sailors dismiss the commands of their royal passengers, servants become kings, slaves liberate themselves, political and poetic thoughts keep surfacing at awkward moments, sometimes articulated by commoners in blank verse, sometimes expressed by slaves in song or story</w:t>
      </w:r>
      <w:r>
        <w:t xml:space="preserve">.’ </w:t>
      </w:r>
      <w:r>
        <w:rPr>
          <w:rStyle w:val="FootnoteReference"/>
        </w:rPr>
        <w:footnoteReference w:id="29"/>
      </w:r>
      <w:r>
        <w:t xml:space="preserve"> As Morton notes in his introduction to a translation of Campanella’s </w:t>
      </w:r>
      <w:r>
        <w:rPr>
          <w:i/>
          <w:iCs/>
        </w:rPr>
        <w:t>City of the Sun</w:t>
      </w:r>
      <w:r>
        <w:t xml:space="preserve">, the sixteenth and seventeenth centuries saw dramatic changes in society, even as its epistemological foundations were shaken by the discovery of the New World: ‘It was a time when the relatively static condition of feudal society was ending…[and]…bourgeois relations were growing, creating increasing tensions. </w:t>
      </w:r>
      <w:r>
        <w:rPr>
          <w:rStyle w:val="FootnoteReference"/>
        </w:rPr>
        <w:footnoteReference w:id="30"/>
      </w:r>
    </w:p>
    <w:p w14:paraId="51AB2939" w14:textId="77777777" w:rsidR="00626CCA" w:rsidRPr="00626CCA" w:rsidRDefault="00626CCA" w:rsidP="00DD1CBB">
      <w:pPr>
        <w:jc w:val="both"/>
      </w:pPr>
    </w:p>
    <w:p w14:paraId="1F900BEB" w14:textId="608BAFD5" w:rsidR="006231F9" w:rsidRPr="006231F9" w:rsidRDefault="00361F00" w:rsidP="00DD1CBB">
      <w:pPr>
        <w:jc w:val="both"/>
        <w:rPr>
          <w:b/>
          <w:bCs/>
        </w:rPr>
      </w:pPr>
      <w:r>
        <w:rPr>
          <w:b/>
          <w:bCs/>
        </w:rPr>
        <w:t>Concluding comments</w:t>
      </w:r>
    </w:p>
    <w:p w14:paraId="6FEF7BDE" w14:textId="7B88F31A" w:rsidR="004B3AA8" w:rsidRDefault="00AB6061" w:rsidP="00DD1CBB">
      <w:pPr>
        <w:jc w:val="both"/>
      </w:pPr>
      <w:r w:rsidRPr="00DB7642">
        <w:t xml:space="preserve">In later life </w:t>
      </w:r>
      <w:r w:rsidR="008F30FB">
        <w:t>Shakespeare</w:t>
      </w:r>
      <w:r w:rsidRPr="00DB7642">
        <w:t xml:space="preserve"> left the city for the </w:t>
      </w:r>
      <w:r w:rsidR="008F30FB" w:rsidRPr="00DB7642">
        <w:t>countr</w:t>
      </w:r>
      <w:r w:rsidR="008F30FB">
        <w:t>y, and it is tempting to</w:t>
      </w:r>
      <w:r w:rsidRPr="00DB7642">
        <w:t xml:space="preserve"> see </w:t>
      </w:r>
      <w:r w:rsidR="008F30FB">
        <w:t>this reflected in</w:t>
      </w:r>
      <w:r w:rsidRPr="00DB7642">
        <w:t xml:space="preserve"> Prospero retreating to his island cell with his books</w:t>
      </w:r>
      <w:r w:rsidR="008F30FB">
        <w:t xml:space="preserve">. This tension between the call to city and court and the desire to remain safe and at leisure to work on one’s own projects is a reflection, perhaps, on </w:t>
      </w:r>
      <w:r w:rsidR="004B3AA8" w:rsidRPr="00DB7642">
        <w:t xml:space="preserve">More’s internal conflict </w:t>
      </w:r>
      <w:r w:rsidR="008F30FB">
        <w:t>between the</w:t>
      </w:r>
      <w:r w:rsidR="004B3AA8" w:rsidRPr="00DB7642">
        <w:t xml:space="preserve"> security </w:t>
      </w:r>
      <w:r w:rsidR="008F30FB">
        <w:t>of</w:t>
      </w:r>
      <w:r w:rsidR="004B3AA8" w:rsidRPr="00DB7642">
        <w:t xml:space="preserve"> his role as a lawyer who can debate ideas in polite company unconstrained by court intrigue </w:t>
      </w:r>
      <w:r w:rsidR="008F30FB">
        <w:t>and</w:t>
      </w:r>
      <w:r w:rsidR="004B3AA8" w:rsidRPr="00DB7642">
        <w:t xml:space="preserve"> the responsibility and danger of advising a King</w:t>
      </w:r>
      <w:r w:rsidR="008F30FB">
        <w:t xml:space="preserve">. </w:t>
      </w:r>
      <w:r w:rsidR="004B3AA8" w:rsidRPr="00DB7642">
        <w:rPr>
          <w:rStyle w:val="FootnoteReference"/>
        </w:rPr>
        <w:footnoteReference w:id="31"/>
      </w:r>
    </w:p>
    <w:p w14:paraId="43C4D30B" w14:textId="77777777" w:rsidR="00565CB8" w:rsidRDefault="00565CB8" w:rsidP="00DD1CBB">
      <w:pPr>
        <w:jc w:val="both"/>
      </w:pPr>
      <w:r>
        <w:t>T</w:t>
      </w:r>
      <w:r w:rsidR="006231F9" w:rsidRPr="00DB7642">
        <w:t>he three romances</w:t>
      </w:r>
      <w:r>
        <w:t>, according to Watt,</w:t>
      </w:r>
      <w:r w:rsidR="006231F9" w:rsidRPr="006231F9">
        <w:t xml:space="preserve"> take on</w:t>
      </w:r>
      <w:r>
        <w:t xml:space="preserve"> a</w:t>
      </w:r>
      <w:r w:rsidR="006231F9" w:rsidRPr="006231F9">
        <w:t xml:space="preserve"> ‘poignancy and profundity’ </w:t>
      </w:r>
      <w:r>
        <w:t>that arguably comes with age, reflection, perhaps regret. Shakespeare may be seeking to secure his legacy and make account of his life and all he has learned.</w:t>
      </w:r>
      <w:r w:rsidR="006231F9" w:rsidRPr="006231F9">
        <w:t xml:space="preserve"> </w:t>
      </w:r>
      <w:r w:rsidRPr="006231F9">
        <w:rPr>
          <w:rStyle w:val="FootnoteReference"/>
        </w:rPr>
        <w:footnoteReference w:id="32"/>
      </w:r>
      <w:r>
        <w:t xml:space="preserve"> We perhaps see him most present in his text in both Gonzalo’s idealistic (and foolish, according to his peers) speech about his commonwealth and Prospero’s epilogue, tinged with sadness and signalling a real ending to a great life (Watts calls all three romances ‘</w:t>
      </w:r>
      <w:r w:rsidR="006231F9" w:rsidRPr="00DB7642">
        <w:t>a post-tragic coda to his career’</w:t>
      </w:r>
      <w:r>
        <w:t xml:space="preserve">). </w:t>
      </w:r>
      <w:r w:rsidR="006231F9" w:rsidRPr="00DB7642">
        <w:rPr>
          <w:rStyle w:val="FootnoteReference"/>
        </w:rPr>
        <w:footnoteReference w:id="33"/>
      </w:r>
      <w:r w:rsidR="006231F9" w:rsidRPr="00DB7642">
        <w:t xml:space="preserve"> </w:t>
      </w:r>
      <w:r>
        <w:t xml:space="preserve"> Once again, Shakespeare finds rhyme in More, who also laments his inability to please everybody and expresses his hope that he will be appreciated at least by some: </w:t>
      </w:r>
    </w:p>
    <w:p w14:paraId="105DF426" w14:textId="18B1F4C3" w:rsidR="00A7348A" w:rsidRPr="00DB7642" w:rsidRDefault="00565CB8" w:rsidP="00565CB8">
      <w:pPr>
        <w:ind w:left="426"/>
        <w:jc w:val="both"/>
      </w:pPr>
      <w:r>
        <w:t>…p</w:t>
      </w:r>
      <w:r w:rsidR="00A7348A" w:rsidRPr="00DB7642">
        <w:t>eople’s tastes vary so widel</w:t>
      </w:r>
      <w:r>
        <w:t>y</w:t>
      </w:r>
      <w:r w:rsidR="0070013F" w:rsidRPr="00DB7642">
        <w:t>…</w:t>
      </w:r>
      <w:r w:rsidR="00A11220" w:rsidRPr="00DB7642">
        <w:t xml:space="preserve">off you go now, and prepare </w:t>
      </w:r>
      <w:r w:rsidR="00F54C46" w:rsidRPr="00DB7642">
        <w:t xml:space="preserve">at </w:t>
      </w:r>
      <w:r w:rsidR="00A11220" w:rsidRPr="00DB7642">
        <w:t>your ow</w:t>
      </w:r>
      <w:r w:rsidR="00F54C46" w:rsidRPr="00DB7642">
        <w:t xml:space="preserve">n cost a feast for those with such pampered palates and disparate tastes, who moreover are so full of </w:t>
      </w:r>
      <w:r w:rsidR="0070013F" w:rsidRPr="00DB7642">
        <w:t>gratitude and thanks!</w:t>
      </w:r>
      <w:r>
        <w:t xml:space="preserve"> </w:t>
      </w:r>
      <w:r w:rsidR="0070013F" w:rsidRPr="00DB7642">
        <w:rPr>
          <w:rStyle w:val="FootnoteReference"/>
        </w:rPr>
        <w:footnoteReference w:id="34"/>
      </w:r>
    </w:p>
    <w:p w14:paraId="225D516B" w14:textId="77777777" w:rsidR="009E2947" w:rsidRDefault="009E2947" w:rsidP="00DD1CBB">
      <w:pPr>
        <w:jc w:val="both"/>
      </w:pPr>
    </w:p>
    <w:p w14:paraId="72A6D08E" w14:textId="6F0E4A92" w:rsidR="00E75428" w:rsidRPr="009532BF" w:rsidRDefault="00E75428" w:rsidP="00DD1CBB">
      <w:pPr>
        <w:jc w:val="both"/>
        <w:rPr>
          <w:b/>
          <w:bCs/>
        </w:rPr>
      </w:pPr>
      <w:r w:rsidRPr="009532BF">
        <w:rPr>
          <w:b/>
          <w:bCs/>
        </w:rPr>
        <w:lastRenderedPageBreak/>
        <w:t>Bibliography</w:t>
      </w:r>
    </w:p>
    <w:p w14:paraId="18FDFB55" w14:textId="77777777" w:rsidR="00D77A18" w:rsidRPr="00DB7642" w:rsidRDefault="00D77A18" w:rsidP="001D75F5">
      <w:pPr>
        <w:ind w:left="284" w:hanging="284"/>
      </w:pPr>
      <w:r>
        <w:t xml:space="preserve">Elliot, A.M. and Millner, R. (Trans. Eds.), with Morton, A.L. (Introduction), </w:t>
      </w:r>
      <w:r>
        <w:rPr>
          <w:i/>
          <w:iCs/>
        </w:rPr>
        <w:t xml:space="preserve">The City of the Sun, by Brother Thomas Campanella, </w:t>
      </w:r>
      <w:r>
        <w:t>(London, Journeyman Press, 1981).</w:t>
      </w:r>
    </w:p>
    <w:p w14:paraId="04FF6427" w14:textId="77777777" w:rsidR="00E75428" w:rsidRDefault="00E75428" w:rsidP="001D75F5">
      <w:pPr>
        <w:ind w:left="284" w:hanging="284"/>
      </w:pPr>
      <w:r w:rsidRPr="00F83435">
        <w:t>Go, K.</w:t>
      </w:r>
      <w:r>
        <w:t>,</w:t>
      </w:r>
      <w:r w:rsidRPr="00F83435">
        <w:t xml:space="preserve"> “Montaigne’s ‘Cannibals’ and ‘The Tempest’ Revisited.” </w:t>
      </w:r>
      <w:r w:rsidRPr="00F83435">
        <w:rPr>
          <w:i/>
          <w:iCs/>
        </w:rPr>
        <w:t>Studies in Philology</w:t>
      </w:r>
      <w:r w:rsidRPr="00F83435">
        <w:t xml:space="preserve">, vol. 109, no. 4, </w:t>
      </w:r>
      <w:r>
        <w:t>(</w:t>
      </w:r>
      <w:r w:rsidRPr="00485DB1">
        <w:t>University of North Carolina Press</w:t>
      </w:r>
      <w:r>
        <w:t xml:space="preserve">, </w:t>
      </w:r>
      <w:r w:rsidRPr="00F83435">
        <w:t>2012</w:t>
      </w:r>
      <w:r>
        <w:t>)</w:t>
      </w:r>
      <w:r w:rsidRPr="00F83435">
        <w:t>, pp. 455–73.</w:t>
      </w:r>
      <w:r>
        <w:t xml:space="preserve"> &lt;</w:t>
      </w:r>
      <w:r w:rsidRPr="00F83435">
        <w:t>http://www.jstor.org/stable/24392013</w:t>
      </w:r>
      <w:r>
        <w:t>&gt;</w:t>
      </w:r>
      <w:r w:rsidRPr="00F83435">
        <w:t xml:space="preserve"> </w:t>
      </w:r>
      <w:r>
        <w:t>[</w:t>
      </w:r>
      <w:r w:rsidRPr="00F83435">
        <w:t>Accessed 13 July 2025</w:t>
      </w:r>
      <w:r>
        <w:t>]</w:t>
      </w:r>
      <w:r w:rsidRPr="00F83435">
        <w:t>.</w:t>
      </w:r>
    </w:p>
    <w:p w14:paraId="20C824FD" w14:textId="77777777" w:rsidR="00D77A18" w:rsidRPr="00C4351B" w:rsidRDefault="00D77A18" w:rsidP="001D75F5">
      <w:pPr>
        <w:ind w:left="284" w:hanging="284"/>
        <w:jc w:val="both"/>
      </w:pPr>
      <w:bookmarkStart w:id="0" w:name="_Hlk204371019"/>
      <w:r>
        <w:t xml:space="preserve">Hazlitt, W. C. (ed), Cotton, C. (trans.), </w:t>
      </w:r>
      <w:r w:rsidRPr="00C4351B">
        <w:rPr>
          <w:i/>
          <w:iCs/>
        </w:rPr>
        <w:t>Essays of Michel de Montaigne — Complete</w:t>
      </w:r>
      <w:r>
        <w:t>,</w:t>
      </w:r>
      <w:r w:rsidRPr="00C4351B">
        <w:t xml:space="preserve"> Project Gutenberg</w:t>
      </w:r>
      <w:r>
        <w:t xml:space="preserve"> (</w:t>
      </w:r>
      <w:r w:rsidRPr="00C4351B">
        <w:t>2004</w:t>
      </w:r>
      <w:r>
        <w:t>, updated 2023). &lt;</w:t>
      </w:r>
      <w:r w:rsidRPr="00C4351B">
        <w:t>https://www.gutenberg.org/cache/epub/3600/pg3600-images.html</w:t>
      </w:r>
      <w:r>
        <w:t>&gt; [Accessed 10/06/25].</w:t>
      </w:r>
    </w:p>
    <w:p w14:paraId="0467926F" w14:textId="3F4D4186" w:rsidR="00D77A18" w:rsidRPr="00DB7642" w:rsidRDefault="00D77A18" w:rsidP="001D75F5">
      <w:pPr>
        <w:ind w:left="284" w:hanging="284"/>
        <w:jc w:val="both"/>
      </w:pPr>
      <w:r w:rsidRPr="00DB7642">
        <w:t xml:space="preserve">King, M.L., </w:t>
      </w:r>
      <w:r w:rsidRPr="00DB7642">
        <w:rPr>
          <w:i/>
          <w:iCs/>
        </w:rPr>
        <w:t xml:space="preserve">Renaissance </w:t>
      </w:r>
      <w:r w:rsidR="00983662" w:rsidRPr="00DB7642">
        <w:rPr>
          <w:i/>
          <w:iCs/>
        </w:rPr>
        <w:t>Humanism:</w:t>
      </w:r>
      <w:r w:rsidRPr="00DB7642">
        <w:rPr>
          <w:i/>
          <w:iCs/>
        </w:rPr>
        <w:t xml:space="preserve"> An Anthology of Sources</w:t>
      </w:r>
      <w:r w:rsidRPr="00DB7642">
        <w:t>, (Hackett Publishing Company, Incorporated: Indianapolis/Cambridge, 2014). Online edition at ProQuest Ebook Central: &lt;http://ebookcentral.proquest.com/lib/trinity/detail.action?docID=1731940&gt; [Accessed 6/7/25].</w:t>
      </w:r>
    </w:p>
    <w:bookmarkEnd w:id="0"/>
    <w:p w14:paraId="50CEA9DF" w14:textId="3B1CF756" w:rsidR="00880C82" w:rsidRDefault="00880C82" w:rsidP="001D75F5">
      <w:pPr>
        <w:ind w:left="284" w:hanging="284"/>
      </w:pPr>
      <w:r>
        <w:t xml:space="preserve">Maslen, R., </w:t>
      </w:r>
      <w:r w:rsidRPr="00880C82">
        <w:rPr>
          <w:i/>
          <w:iCs/>
        </w:rPr>
        <w:t>Aspects of the Early Modern Fantastic in Shakespeare’s The Tempest</w:t>
      </w:r>
      <w:r>
        <w:rPr>
          <w:i/>
          <w:iCs/>
        </w:rPr>
        <w:t xml:space="preserve">, </w:t>
      </w:r>
      <w:r>
        <w:t xml:space="preserve">Lecture given at the </w:t>
      </w:r>
      <w:r w:rsidRPr="00880C82">
        <w:t>University of St Andrews</w:t>
      </w:r>
      <w:r>
        <w:t xml:space="preserve"> (2018), text online at ‘The City of Lost Books (</w:t>
      </w:r>
      <w:r w:rsidRPr="00880C82">
        <w:t>Fantasy MLitt at Glasgow University</w:t>
      </w:r>
      <w:r>
        <w:t>): &lt;</w:t>
      </w:r>
      <w:r w:rsidRPr="00880C82">
        <w:t>https://thecityoflostbooks.glasgow.ac.uk/aspects-of-the-early-modern-fantastic-in-shakespeares-the-tempest-2/</w:t>
      </w:r>
      <w:r>
        <w:t>&gt; [Accessed 5</w:t>
      </w:r>
      <w:r w:rsidRPr="00880C82">
        <w:rPr>
          <w:vertAlign w:val="superscript"/>
        </w:rPr>
        <w:t>th</w:t>
      </w:r>
      <w:r>
        <w:t xml:space="preserve"> June 2025].</w:t>
      </w:r>
    </w:p>
    <w:p w14:paraId="5B87D482" w14:textId="619F1522" w:rsidR="00D77A18" w:rsidRPr="00D77A18" w:rsidRDefault="008F30FB" w:rsidP="001D75F5">
      <w:pPr>
        <w:ind w:left="284" w:hanging="284"/>
        <w:jc w:val="both"/>
      </w:pPr>
      <w:r>
        <w:t>More</w:t>
      </w:r>
      <w:r w:rsidR="00D77A18">
        <w:t xml:space="preserve">, T., and Baker-Smith, D. (trans., ed.), </w:t>
      </w:r>
      <w:r w:rsidR="00D77A18">
        <w:rPr>
          <w:i/>
          <w:iCs/>
        </w:rPr>
        <w:t xml:space="preserve">Utopia </w:t>
      </w:r>
      <w:r w:rsidR="00D77A18">
        <w:t>(Penguin Classics, 2012).</w:t>
      </w:r>
    </w:p>
    <w:p w14:paraId="1546B939" w14:textId="393FB176" w:rsidR="00C4351B" w:rsidRPr="001E0B2C" w:rsidRDefault="001E0B2C" w:rsidP="001D75F5">
      <w:pPr>
        <w:ind w:left="284" w:hanging="284"/>
        <w:jc w:val="both"/>
      </w:pPr>
      <w:r>
        <w:t xml:space="preserve">Shakespeare, W., Watts, C. (ed.), </w:t>
      </w:r>
      <w:r>
        <w:rPr>
          <w:i/>
          <w:iCs/>
        </w:rPr>
        <w:t xml:space="preserve">The Tempest </w:t>
      </w:r>
      <w:r>
        <w:t>(Wordsworth Classics, 2004).</w:t>
      </w:r>
    </w:p>
    <w:p w14:paraId="1761261A" w14:textId="77777777" w:rsidR="00E75428" w:rsidRDefault="00E75428" w:rsidP="00DD1CBB">
      <w:pPr>
        <w:jc w:val="both"/>
      </w:pPr>
    </w:p>
    <w:sectPr w:rsidR="00E754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EC873" w14:textId="77777777" w:rsidR="00FE6503" w:rsidRPr="00DB7642" w:rsidRDefault="00FE6503" w:rsidP="00DE37DD">
      <w:pPr>
        <w:spacing w:after="0" w:line="240" w:lineRule="auto"/>
      </w:pPr>
      <w:r w:rsidRPr="00DB7642">
        <w:separator/>
      </w:r>
    </w:p>
  </w:endnote>
  <w:endnote w:type="continuationSeparator" w:id="0">
    <w:p w14:paraId="5DE0D962" w14:textId="77777777" w:rsidR="00FE6503" w:rsidRPr="00DB7642" w:rsidRDefault="00FE6503" w:rsidP="00DE37DD">
      <w:pPr>
        <w:spacing w:after="0" w:line="240" w:lineRule="auto"/>
      </w:pPr>
      <w:r w:rsidRPr="00DB764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7B576" w14:textId="77777777" w:rsidR="00FE6503" w:rsidRPr="00DB7642" w:rsidRDefault="00FE6503" w:rsidP="00DE37DD">
      <w:pPr>
        <w:spacing w:after="0" w:line="240" w:lineRule="auto"/>
      </w:pPr>
      <w:r w:rsidRPr="00DB7642">
        <w:separator/>
      </w:r>
    </w:p>
  </w:footnote>
  <w:footnote w:type="continuationSeparator" w:id="0">
    <w:p w14:paraId="5168CECD" w14:textId="77777777" w:rsidR="00FE6503" w:rsidRPr="00DB7642" w:rsidRDefault="00FE6503" w:rsidP="00DE37DD">
      <w:pPr>
        <w:spacing w:after="0" w:line="240" w:lineRule="auto"/>
      </w:pPr>
      <w:r w:rsidRPr="00DB7642">
        <w:continuationSeparator/>
      </w:r>
    </w:p>
  </w:footnote>
  <w:footnote w:id="1">
    <w:p w14:paraId="05445C30" w14:textId="64DDCDAF" w:rsidR="003B7668" w:rsidRPr="006A057D" w:rsidRDefault="003B7668" w:rsidP="003B7668">
      <w:pPr>
        <w:pStyle w:val="FootnoteText"/>
        <w:rPr>
          <w:sz w:val="16"/>
          <w:szCs w:val="16"/>
        </w:rPr>
      </w:pPr>
      <w:r w:rsidRPr="006A057D">
        <w:rPr>
          <w:rStyle w:val="FootnoteReference"/>
          <w:sz w:val="16"/>
          <w:szCs w:val="16"/>
        </w:rPr>
        <w:footnoteRef/>
      </w:r>
      <w:r w:rsidRPr="006A057D">
        <w:rPr>
          <w:sz w:val="16"/>
          <w:szCs w:val="16"/>
        </w:rPr>
        <w:t xml:space="preserve"> </w:t>
      </w:r>
      <w:r w:rsidR="001E0B2C" w:rsidRPr="006A057D">
        <w:rPr>
          <w:sz w:val="16"/>
          <w:szCs w:val="16"/>
        </w:rPr>
        <w:t xml:space="preserve">Shakespeare, W., Watts, C. (ed.), </w:t>
      </w:r>
      <w:r w:rsidR="001E0B2C" w:rsidRPr="006A057D">
        <w:rPr>
          <w:i/>
          <w:iCs/>
          <w:sz w:val="16"/>
          <w:szCs w:val="16"/>
        </w:rPr>
        <w:t xml:space="preserve">The Tempest </w:t>
      </w:r>
      <w:r w:rsidR="001E0B2C" w:rsidRPr="006A057D">
        <w:rPr>
          <w:sz w:val="16"/>
          <w:szCs w:val="16"/>
        </w:rPr>
        <w:t xml:space="preserve">(Wordsworth Classics, 2004), </w:t>
      </w:r>
      <w:r w:rsidRPr="006A057D">
        <w:rPr>
          <w:sz w:val="16"/>
          <w:szCs w:val="16"/>
        </w:rPr>
        <w:t>p. 9.</w:t>
      </w:r>
    </w:p>
  </w:footnote>
  <w:footnote w:id="2">
    <w:p w14:paraId="2A914F6B" w14:textId="3F9C79F0" w:rsidR="003B7668" w:rsidRPr="006A057D" w:rsidRDefault="003B7668" w:rsidP="003B7668">
      <w:pPr>
        <w:pStyle w:val="FootnoteText"/>
        <w:rPr>
          <w:sz w:val="16"/>
          <w:szCs w:val="16"/>
        </w:rPr>
      </w:pPr>
      <w:r w:rsidRPr="006A057D">
        <w:rPr>
          <w:rStyle w:val="FootnoteReference"/>
          <w:sz w:val="16"/>
          <w:szCs w:val="16"/>
        </w:rPr>
        <w:footnoteRef/>
      </w:r>
      <w:r w:rsidRPr="006A057D">
        <w:rPr>
          <w:sz w:val="16"/>
          <w:szCs w:val="16"/>
        </w:rPr>
        <w:t xml:space="preserve"> </w:t>
      </w:r>
      <w:r w:rsidR="004936EE" w:rsidRPr="006A057D">
        <w:rPr>
          <w:sz w:val="16"/>
          <w:szCs w:val="16"/>
        </w:rPr>
        <w:t xml:space="preserve">Shakespeare, </w:t>
      </w:r>
      <w:r w:rsidRPr="006A057D">
        <w:rPr>
          <w:i/>
          <w:iCs/>
          <w:sz w:val="16"/>
          <w:szCs w:val="16"/>
        </w:rPr>
        <w:t>The Tempest</w:t>
      </w:r>
      <w:r w:rsidRPr="006A057D">
        <w:rPr>
          <w:sz w:val="16"/>
          <w:szCs w:val="16"/>
        </w:rPr>
        <w:t>, p. 9.</w:t>
      </w:r>
    </w:p>
  </w:footnote>
  <w:footnote w:id="3">
    <w:p w14:paraId="7D80431D" w14:textId="77777777" w:rsidR="00BC77BF" w:rsidRPr="006A057D" w:rsidRDefault="00BC77BF" w:rsidP="00BC77BF">
      <w:pPr>
        <w:pStyle w:val="FootnoteText"/>
        <w:rPr>
          <w:sz w:val="16"/>
          <w:szCs w:val="16"/>
        </w:rPr>
      </w:pPr>
      <w:r w:rsidRPr="006A057D">
        <w:rPr>
          <w:rStyle w:val="FootnoteReference"/>
          <w:sz w:val="16"/>
          <w:szCs w:val="16"/>
        </w:rPr>
        <w:footnoteRef/>
      </w:r>
      <w:r w:rsidRPr="006A057D">
        <w:rPr>
          <w:sz w:val="16"/>
          <w:szCs w:val="16"/>
        </w:rPr>
        <w:t xml:space="preserve"> Ibid., p. 55.</w:t>
      </w:r>
    </w:p>
  </w:footnote>
  <w:footnote w:id="4">
    <w:p w14:paraId="3B4D1BDC" w14:textId="77777777" w:rsidR="00BC77BF" w:rsidRPr="006A057D" w:rsidRDefault="00BC77BF" w:rsidP="00BC77BF">
      <w:pPr>
        <w:pStyle w:val="FootnoteText"/>
        <w:rPr>
          <w:sz w:val="16"/>
          <w:szCs w:val="16"/>
        </w:rPr>
      </w:pPr>
      <w:r w:rsidRPr="006A057D">
        <w:rPr>
          <w:rStyle w:val="FootnoteReference"/>
          <w:sz w:val="16"/>
          <w:szCs w:val="16"/>
        </w:rPr>
        <w:footnoteRef/>
      </w:r>
      <w:r w:rsidRPr="006A057D">
        <w:rPr>
          <w:sz w:val="16"/>
          <w:szCs w:val="16"/>
        </w:rPr>
        <w:t xml:space="preserve"> Shakespeare, </w:t>
      </w:r>
      <w:r w:rsidRPr="006A057D">
        <w:rPr>
          <w:i/>
          <w:iCs/>
          <w:sz w:val="16"/>
          <w:szCs w:val="16"/>
        </w:rPr>
        <w:t>The Tempest</w:t>
      </w:r>
      <w:r w:rsidRPr="006A057D">
        <w:rPr>
          <w:sz w:val="16"/>
          <w:szCs w:val="16"/>
        </w:rPr>
        <w:t>, p. 59.</w:t>
      </w:r>
    </w:p>
  </w:footnote>
  <w:footnote w:id="5">
    <w:p w14:paraId="07D2C981" w14:textId="2066052A" w:rsidR="006A057D" w:rsidRPr="006A057D" w:rsidRDefault="006A057D">
      <w:pPr>
        <w:pStyle w:val="FootnoteText"/>
        <w:rPr>
          <w:sz w:val="16"/>
          <w:szCs w:val="16"/>
        </w:rPr>
      </w:pPr>
      <w:r w:rsidRPr="006A057D">
        <w:rPr>
          <w:rStyle w:val="FootnoteReference"/>
          <w:sz w:val="16"/>
          <w:szCs w:val="16"/>
        </w:rPr>
        <w:footnoteRef/>
      </w:r>
      <w:r w:rsidRPr="006A057D">
        <w:rPr>
          <w:sz w:val="16"/>
          <w:szCs w:val="16"/>
        </w:rPr>
        <w:t xml:space="preserve"> Ibid., </w:t>
      </w:r>
      <w:r>
        <w:rPr>
          <w:sz w:val="16"/>
          <w:szCs w:val="16"/>
        </w:rPr>
        <w:t>pp. 71-72</w:t>
      </w:r>
      <w:r w:rsidRPr="006A057D">
        <w:rPr>
          <w:sz w:val="16"/>
          <w:szCs w:val="16"/>
        </w:rPr>
        <w:t>.</w:t>
      </w:r>
    </w:p>
  </w:footnote>
  <w:footnote w:id="6">
    <w:p w14:paraId="523B3DBA" w14:textId="46A42F4D" w:rsidR="00B42DCC" w:rsidRPr="006A057D" w:rsidRDefault="00B42DCC" w:rsidP="00B42DCC">
      <w:pPr>
        <w:pStyle w:val="FootnoteText"/>
        <w:rPr>
          <w:sz w:val="16"/>
          <w:szCs w:val="16"/>
        </w:rPr>
      </w:pPr>
      <w:r w:rsidRPr="006A057D">
        <w:rPr>
          <w:rStyle w:val="FootnoteReference"/>
          <w:sz w:val="16"/>
          <w:szCs w:val="16"/>
        </w:rPr>
        <w:footnoteRef/>
      </w:r>
      <w:r w:rsidRPr="006A057D">
        <w:rPr>
          <w:sz w:val="16"/>
          <w:szCs w:val="16"/>
        </w:rPr>
        <w:t xml:space="preserve"> </w:t>
      </w:r>
      <w:r w:rsidR="008917DC" w:rsidRPr="006A057D">
        <w:rPr>
          <w:sz w:val="16"/>
          <w:szCs w:val="16"/>
        </w:rPr>
        <w:t xml:space="preserve">Maslen, R., </w:t>
      </w:r>
      <w:r w:rsidR="008917DC" w:rsidRPr="006A057D">
        <w:rPr>
          <w:i/>
          <w:iCs/>
          <w:sz w:val="16"/>
          <w:szCs w:val="16"/>
        </w:rPr>
        <w:t xml:space="preserve">Aspects of the Early Modern Fantastic in Shakespeare’s The Tempest, </w:t>
      </w:r>
      <w:r w:rsidR="008917DC" w:rsidRPr="006A057D">
        <w:rPr>
          <w:sz w:val="16"/>
          <w:szCs w:val="16"/>
        </w:rPr>
        <w:t>Lecture given at the University of St Andrews (2018), text online at ‘The City of Lost Books (Fantasy MLitt at Glasgow University): &lt;https://thecityoflostbooks.glasgow.ac.uk/aspects-of-the-early-modern-fantastic-in-shakespeares-the-tempest-2/&gt; [Accessed 5</w:t>
      </w:r>
      <w:r w:rsidR="008917DC" w:rsidRPr="006A057D">
        <w:rPr>
          <w:sz w:val="16"/>
          <w:szCs w:val="16"/>
          <w:vertAlign w:val="superscript"/>
        </w:rPr>
        <w:t>th</w:t>
      </w:r>
      <w:r w:rsidR="008917DC" w:rsidRPr="006A057D">
        <w:rPr>
          <w:sz w:val="16"/>
          <w:szCs w:val="16"/>
        </w:rPr>
        <w:t xml:space="preserve"> June 2025].</w:t>
      </w:r>
    </w:p>
  </w:footnote>
  <w:footnote w:id="7">
    <w:p w14:paraId="606550BA" w14:textId="77777777" w:rsidR="002F1301" w:rsidRPr="006A057D" w:rsidRDefault="002F1301" w:rsidP="002F1301">
      <w:pPr>
        <w:pStyle w:val="FootnoteText"/>
        <w:rPr>
          <w:sz w:val="16"/>
          <w:szCs w:val="16"/>
        </w:rPr>
      </w:pPr>
      <w:r w:rsidRPr="006A057D">
        <w:rPr>
          <w:rStyle w:val="FootnoteReference"/>
          <w:sz w:val="16"/>
          <w:szCs w:val="16"/>
        </w:rPr>
        <w:footnoteRef/>
      </w:r>
      <w:r w:rsidRPr="006A057D">
        <w:rPr>
          <w:sz w:val="16"/>
          <w:szCs w:val="16"/>
        </w:rPr>
        <w:t xml:space="preserve"> Maslen, </w:t>
      </w:r>
      <w:r w:rsidRPr="006A057D">
        <w:rPr>
          <w:i/>
          <w:iCs/>
          <w:sz w:val="16"/>
          <w:szCs w:val="16"/>
        </w:rPr>
        <w:t>Aspects of the Early Modern Fantastic in Shakespeare’s The Tempest</w:t>
      </w:r>
    </w:p>
  </w:footnote>
  <w:footnote w:id="8">
    <w:p w14:paraId="7451CC26" w14:textId="77777777" w:rsidR="007B2BC7" w:rsidRPr="006A057D" w:rsidRDefault="007B2BC7" w:rsidP="007B2BC7">
      <w:pPr>
        <w:pStyle w:val="FootnoteText"/>
        <w:rPr>
          <w:sz w:val="16"/>
          <w:szCs w:val="16"/>
        </w:rPr>
      </w:pPr>
      <w:r w:rsidRPr="006A057D">
        <w:rPr>
          <w:rStyle w:val="FootnoteReference"/>
          <w:sz w:val="16"/>
          <w:szCs w:val="16"/>
        </w:rPr>
        <w:footnoteRef/>
      </w:r>
      <w:r w:rsidRPr="006A057D">
        <w:rPr>
          <w:sz w:val="16"/>
          <w:szCs w:val="16"/>
        </w:rPr>
        <w:t xml:space="preserve"> Shakespeare, </w:t>
      </w:r>
      <w:r w:rsidRPr="006A057D">
        <w:rPr>
          <w:i/>
          <w:iCs/>
          <w:sz w:val="16"/>
          <w:szCs w:val="16"/>
        </w:rPr>
        <w:t>The Tempest</w:t>
      </w:r>
      <w:r w:rsidRPr="006A057D">
        <w:rPr>
          <w:sz w:val="16"/>
          <w:szCs w:val="16"/>
        </w:rPr>
        <w:t>, pp.9-10.</w:t>
      </w:r>
    </w:p>
  </w:footnote>
  <w:footnote w:id="9">
    <w:p w14:paraId="12C99F36" w14:textId="4E66FA32" w:rsidR="007B2BC7" w:rsidRPr="006A057D" w:rsidRDefault="007B2BC7" w:rsidP="007B2BC7">
      <w:pPr>
        <w:pStyle w:val="FootnoteText"/>
        <w:rPr>
          <w:sz w:val="16"/>
          <w:szCs w:val="16"/>
        </w:rPr>
      </w:pPr>
      <w:r w:rsidRPr="006A057D">
        <w:rPr>
          <w:rStyle w:val="FootnoteReference"/>
          <w:sz w:val="16"/>
          <w:szCs w:val="16"/>
        </w:rPr>
        <w:footnoteRef/>
      </w:r>
      <w:r w:rsidRPr="006A057D">
        <w:rPr>
          <w:sz w:val="16"/>
          <w:szCs w:val="16"/>
        </w:rPr>
        <w:t xml:space="preserve"> </w:t>
      </w:r>
      <w:r w:rsidR="008917DC" w:rsidRPr="006A057D">
        <w:rPr>
          <w:sz w:val="16"/>
          <w:szCs w:val="16"/>
        </w:rPr>
        <w:t xml:space="preserve">Maslen, </w:t>
      </w:r>
      <w:r w:rsidR="008917DC" w:rsidRPr="006A057D">
        <w:rPr>
          <w:i/>
          <w:iCs/>
          <w:sz w:val="16"/>
          <w:szCs w:val="16"/>
        </w:rPr>
        <w:t>Aspects of the Early Modern Fantastic in Shakespeare’s The Tempest</w:t>
      </w:r>
    </w:p>
  </w:footnote>
  <w:footnote w:id="10">
    <w:p w14:paraId="3719E8EB" w14:textId="7C8FEB7E" w:rsidR="003B7668" w:rsidRPr="006A057D" w:rsidRDefault="003B7668" w:rsidP="003B7668">
      <w:pPr>
        <w:pStyle w:val="FootnoteText"/>
        <w:rPr>
          <w:sz w:val="16"/>
          <w:szCs w:val="16"/>
        </w:rPr>
      </w:pPr>
      <w:r w:rsidRPr="006A057D">
        <w:rPr>
          <w:rStyle w:val="FootnoteReference"/>
          <w:sz w:val="16"/>
          <w:szCs w:val="16"/>
        </w:rPr>
        <w:footnoteRef/>
      </w:r>
      <w:r w:rsidRPr="006A057D">
        <w:rPr>
          <w:sz w:val="16"/>
          <w:szCs w:val="16"/>
        </w:rPr>
        <w:t xml:space="preserve"> </w:t>
      </w:r>
      <w:r w:rsidR="00587DDA" w:rsidRPr="006A057D">
        <w:rPr>
          <w:sz w:val="16"/>
          <w:szCs w:val="16"/>
        </w:rPr>
        <w:t xml:space="preserve">Shakespeare, </w:t>
      </w:r>
      <w:r w:rsidR="00587DDA" w:rsidRPr="006A057D">
        <w:rPr>
          <w:i/>
          <w:iCs/>
          <w:sz w:val="16"/>
          <w:szCs w:val="16"/>
        </w:rPr>
        <w:t>The Tempest</w:t>
      </w:r>
      <w:r w:rsidRPr="006A057D">
        <w:rPr>
          <w:sz w:val="16"/>
          <w:szCs w:val="16"/>
        </w:rPr>
        <w:t>, p. 10.</w:t>
      </w:r>
    </w:p>
  </w:footnote>
  <w:footnote w:id="11">
    <w:p w14:paraId="3448ED08" w14:textId="6202FF77" w:rsidR="003B7668" w:rsidRPr="006A057D" w:rsidRDefault="003B7668" w:rsidP="003B7668">
      <w:pPr>
        <w:pStyle w:val="FootnoteText"/>
        <w:rPr>
          <w:sz w:val="16"/>
          <w:szCs w:val="16"/>
        </w:rPr>
      </w:pPr>
      <w:r w:rsidRPr="006A057D">
        <w:rPr>
          <w:rStyle w:val="FootnoteReference"/>
          <w:sz w:val="16"/>
          <w:szCs w:val="16"/>
        </w:rPr>
        <w:footnoteRef/>
      </w:r>
      <w:r w:rsidRPr="006A057D">
        <w:rPr>
          <w:sz w:val="16"/>
          <w:szCs w:val="16"/>
        </w:rPr>
        <w:t xml:space="preserve"> </w:t>
      </w:r>
      <w:r w:rsidR="004936EE" w:rsidRPr="006A057D">
        <w:rPr>
          <w:sz w:val="16"/>
          <w:szCs w:val="16"/>
        </w:rPr>
        <w:t>Ibid.</w:t>
      </w:r>
      <w:r w:rsidRPr="006A057D">
        <w:rPr>
          <w:sz w:val="16"/>
          <w:szCs w:val="16"/>
        </w:rPr>
        <w:t xml:space="preserve">, </w:t>
      </w:r>
      <w:r w:rsidR="004936EE" w:rsidRPr="006A057D">
        <w:rPr>
          <w:sz w:val="16"/>
          <w:szCs w:val="16"/>
        </w:rPr>
        <w:t xml:space="preserve">p. </w:t>
      </w:r>
      <w:r w:rsidRPr="006A057D">
        <w:rPr>
          <w:sz w:val="16"/>
          <w:szCs w:val="16"/>
        </w:rPr>
        <w:t>50</w:t>
      </w:r>
      <w:r w:rsidR="004936EE" w:rsidRPr="006A057D">
        <w:rPr>
          <w:sz w:val="16"/>
          <w:szCs w:val="16"/>
        </w:rPr>
        <w:t xml:space="preserve"> / </w:t>
      </w:r>
      <w:r w:rsidRPr="006A057D">
        <w:rPr>
          <w:sz w:val="16"/>
          <w:szCs w:val="16"/>
        </w:rPr>
        <w:t>notes</w:t>
      </w:r>
      <w:r w:rsidR="004936EE" w:rsidRPr="006A057D">
        <w:rPr>
          <w:sz w:val="16"/>
          <w:szCs w:val="16"/>
        </w:rPr>
        <w:t xml:space="preserve"> p. </w:t>
      </w:r>
      <w:r w:rsidRPr="006A057D">
        <w:rPr>
          <w:sz w:val="16"/>
          <w:szCs w:val="16"/>
        </w:rPr>
        <w:t>102</w:t>
      </w:r>
    </w:p>
  </w:footnote>
  <w:footnote w:id="12">
    <w:p w14:paraId="2D245B49" w14:textId="77777777" w:rsidR="00BE7D18" w:rsidRPr="006A057D" w:rsidRDefault="00BE7D18" w:rsidP="00BE7D18">
      <w:pPr>
        <w:pStyle w:val="FootnoteText"/>
        <w:rPr>
          <w:sz w:val="16"/>
          <w:szCs w:val="16"/>
        </w:rPr>
      </w:pPr>
      <w:r w:rsidRPr="006A057D">
        <w:rPr>
          <w:rStyle w:val="FootnoteReference"/>
          <w:sz w:val="16"/>
          <w:szCs w:val="16"/>
        </w:rPr>
        <w:footnoteRef/>
      </w:r>
      <w:r w:rsidRPr="006A057D">
        <w:rPr>
          <w:sz w:val="16"/>
          <w:szCs w:val="16"/>
        </w:rPr>
        <w:t xml:space="preserve"> Ibid., p. 53.</w:t>
      </w:r>
    </w:p>
  </w:footnote>
  <w:footnote w:id="13">
    <w:p w14:paraId="1497EBF2" w14:textId="77777777" w:rsidR="00991CB0" w:rsidRPr="006A057D" w:rsidRDefault="00991CB0" w:rsidP="00991CB0">
      <w:pPr>
        <w:pStyle w:val="FootnoteText"/>
        <w:rPr>
          <w:sz w:val="16"/>
          <w:szCs w:val="16"/>
        </w:rPr>
      </w:pPr>
      <w:r w:rsidRPr="006A057D">
        <w:rPr>
          <w:rStyle w:val="FootnoteReference"/>
          <w:sz w:val="16"/>
          <w:szCs w:val="16"/>
        </w:rPr>
        <w:footnoteRef/>
      </w:r>
      <w:r w:rsidRPr="006A057D">
        <w:rPr>
          <w:sz w:val="16"/>
          <w:szCs w:val="16"/>
        </w:rPr>
        <w:t xml:space="preserve"> Shakespeare, </w:t>
      </w:r>
      <w:r w:rsidRPr="006A057D">
        <w:rPr>
          <w:i/>
          <w:iCs/>
          <w:sz w:val="16"/>
          <w:szCs w:val="16"/>
        </w:rPr>
        <w:t>The Tempest</w:t>
      </w:r>
      <w:r w:rsidRPr="006A057D">
        <w:rPr>
          <w:sz w:val="16"/>
          <w:szCs w:val="16"/>
        </w:rPr>
        <w:t>, p. 53.</w:t>
      </w:r>
    </w:p>
  </w:footnote>
  <w:footnote w:id="14">
    <w:p w14:paraId="23436D8B" w14:textId="17F11020" w:rsidR="00991CB0" w:rsidRPr="006A057D" w:rsidRDefault="00991CB0" w:rsidP="00991CB0">
      <w:pPr>
        <w:pStyle w:val="FootnoteText"/>
        <w:rPr>
          <w:sz w:val="16"/>
          <w:szCs w:val="16"/>
        </w:rPr>
      </w:pPr>
      <w:r w:rsidRPr="006A057D">
        <w:rPr>
          <w:rStyle w:val="FootnoteReference"/>
          <w:sz w:val="16"/>
          <w:szCs w:val="16"/>
        </w:rPr>
        <w:footnoteRef/>
      </w:r>
      <w:r w:rsidRPr="006A057D">
        <w:rPr>
          <w:sz w:val="16"/>
          <w:szCs w:val="16"/>
        </w:rPr>
        <w:t xml:space="preserve"> </w:t>
      </w:r>
      <w:r w:rsidR="00F1004C">
        <w:rPr>
          <w:sz w:val="16"/>
          <w:szCs w:val="16"/>
        </w:rPr>
        <w:t>Ibid.,</w:t>
      </w:r>
      <w:r w:rsidRPr="006A057D">
        <w:rPr>
          <w:sz w:val="16"/>
          <w:szCs w:val="16"/>
        </w:rPr>
        <w:t xml:space="preserve"> p. 53.</w:t>
      </w:r>
    </w:p>
  </w:footnote>
  <w:footnote w:id="15">
    <w:p w14:paraId="6CCE4409" w14:textId="77777777" w:rsidR="00991CB0" w:rsidRPr="006A057D" w:rsidRDefault="00991CB0" w:rsidP="00991CB0">
      <w:pPr>
        <w:pStyle w:val="FootnoteText"/>
        <w:rPr>
          <w:sz w:val="16"/>
          <w:szCs w:val="16"/>
        </w:rPr>
      </w:pPr>
      <w:r w:rsidRPr="006A057D">
        <w:rPr>
          <w:rStyle w:val="FootnoteReference"/>
          <w:sz w:val="16"/>
          <w:szCs w:val="16"/>
        </w:rPr>
        <w:footnoteRef/>
      </w:r>
      <w:r w:rsidRPr="006A057D">
        <w:rPr>
          <w:sz w:val="16"/>
          <w:szCs w:val="16"/>
        </w:rPr>
        <w:t xml:space="preserve"> Hazlitt, W. C. (ed), Cotton, C. (trans.), </w:t>
      </w:r>
      <w:r w:rsidRPr="000602B6">
        <w:rPr>
          <w:i/>
          <w:iCs/>
          <w:sz w:val="16"/>
          <w:szCs w:val="16"/>
        </w:rPr>
        <w:t>Essays of Michel de Montaigne</w:t>
      </w:r>
      <w:r w:rsidRPr="006A057D">
        <w:rPr>
          <w:sz w:val="16"/>
          <w:szCs w:val="16"/>
        </w:rPr>
        <w:t xml:space="preserve"> — Complete, Project Gutenberg (2004, updated 2023). &lt;https://www.gutenberg.org/cache/epub/3600/pg3600-images.html&gt; [Accessed 10/06/25].</w:t>
      </w:r>
    </w:p>
  </w:footnote>
  <w:footnote w:id="16">
    <w:p w14:paraId="4015059B" w14:textId="5090FD2F" w:rsidR="00991CB0" w:rsidRPr="006A057D" w:rsidRDefault="00991CB0" w:rsidP="00991CB0">
      <w:pPr>
        <w:pStyle w:val="FootnoteText"/>
        <w:rPr>
          <w:sz w:val="16"/>
          <w:szCs w:val="16"/>
        </w:rPr>
      </w:pPr>
      <w:r w:rsidRPr="006A057D">
        <w:rPr>
          <w:rStyle w:val="FootnoteReference"/>
          <w:sz w:val="16"/>
          <w:szCs w:val="16"/>
        </w:rPr>
        <w:footnoteRef/>
      </w:r>
      <w:r w:rsidRPr="006A057D">
        <w:rPr>
          <w:sz w:val="16"/>
          <w:szCs w:val="16"/>
        </w:rPr>
        <w:t xml:space="preserve"> </w:t>
      </w:r>
      <w:r w:rsidR="00F1004C" w:rsidRPr="00F1004C">
        <w:rPr>
          <w:sz w:val="16"/>
          <w:szCs w:val="16"/>
        </w:rPr>
        <w:t xml:space="preserve">King, M.L., </w:t>
      </w:r>
      <w:r w:rsidR="00F1004C" w:rsidRPr="00F1004C">
        <w:rPr>
          <w:i/>
          <w:iCs/>
          <w:sz w:val="16"/>
          <w:szCs w:val="16"/>
        </w:rPr>
        <w:t>Renaissance Humanism: An Anthology of Sources</w:t>
      </w:r>
      <w:r w:rsidR="00F1004C" w:rsidRPr="00F1004C">
        <w:rPr>
          <w:sz w:val="16"/>
          <w:szCs w:val="16"/>
        </w:rPr>
        <w:t>, (Hackett Publishing Company, Incorporated: Indianapolis/Cambridge, 2014).</w:t>
      </w:r>
      <w:r w:rsidR="00F1004C">
        <w:rPr>
          <w:sz w:val="16"/>
          <w:szCs w:val="16"/>
        </w:rPr>
        <w:t xml:space="preserve"> </w:t>
      </w:r>
      <w:r w:rsidR="00F1004C" w:rsidRPr="006A057D">
        <w:rPr>
          <w:sz w:val="16"/>
          <w:szCs w:val="16"/>
        </w:rPr>
        <w:t>p</w:t>
      </w:r>
      <w:r w:rsidR="00F1004C">
        <w:rPr>
          <w:sz w:val="16"/>
          <w:szCs w:val="16"/>
        </w:rPr>
        <w:t>p</w:t>
      </w:r>
      <w:r w:rsidR="00F1004C" w:rsidRPr="006A057D">
        <w:rPr>
          <w:sz w:val="16"/>
          <w:szCs w:val="16"/>
        </w:rPr>
        <w:t xml:space="preserve">. </w:t>
      </w:r>
      <w:r w:rsidR="00F1004C">
        <w:rPr>
          <w:sz w:val="16"/>
          <w:szCs w:val="16"/>
        </w:rPr>
        <w:t>364-</w:t>
      </w:r>
      <w:r w:rsidR="00F1004C" w:rsidRPr="006A057D">
        <w:rPr>
          <w:sz w:val="16"/>
          <w:szCs w:val="16"/>
        </w:rPr>
        <w:t>365.</w:t>
      </w:r>
      <w:r w:rsidR="00F1004C" w:rsidRPr="00F1004C">
        <w:rPr>
          <w:sz w:val="16"/>
          <w:szCs w:val="16"/>
        </w:rPr>
        <w:t xml:space="preserve"> Online edition at ProQuest Ebook Central: &lt;http://ebookcentral.proquest.com/lib/trinity/detail.action?docID=1731940&gt; [Accessed 6/7/25].</w:t>
      </w:r>
    </w:p>
  </w:footnote>
  <w:footnote w:id="17">
    <w:p w14:paraId="0184DA5D" w14:textId="77777777" w:rsidR="00991CB0" w:rsidRPr="006A057D" w:rsidRDefault="00991CB0" w:rsidP="00991CB0">
      <w:pPr>
        <w:pStyle w:val="FootnoteText"/>
        <w:rPr>
          <w:sz w:val="16"/>
          <w:szCs w:val="16"/>
        </w:rPr>
      </w:pPr>
      <w:r w:rsidRPr="006A057D">
        <w:rPr>
          <w:rStyle w:val="FootnoteReference"/>
          <w:sz w:val="16"/>
          <w:szCs w:val="16"/>
        </w:rPr>
        <w:footnoteRef/>
      </w:r>
      <w:r w:rsidRPr="006A057D">
        <w:rPr>
          <w:sz w:val="16"/>
          <w:szCs w:val="16"/>
        </w:rPr>
        <w:t xml:space="preserve"> Shakespeare, </w:t>
      </w:r>
      <w:r w:rsidRPr="006A057D">
        <w:rPr>
          <w:i/>
          <w:iCs/>
          <w:sz w:val="16"/>
          <w:szCs w:val="16"/>
        </w:rPr>
        <w:t>The Tempest</w:t>
      </w:r>
      <w:r w:rsidRPr="006A057D">
        <w:rPr>
          <w:sz w:val="16"/>
          <w:szCs w:val="16"/>
        </w:rPr>
        <w:t>, p. 18.</w:t>
      </w:r>
    </w:p>
  </w:footnote>
  <w:footnote w:id="18">
    <w:p w14:paraId="6D74D059" w14:textId="538F6356" w:rsidR="0050576A" w:rsidRPr="006A057D" w:rsidRDefault="0050576A" w:rsidP="0050576A">
      <w:pPr>
        <w:pStyle w:val="FootnoteText"/>
        <w:rPr>
          <w:sz w:val="16"/>
          <w:szCs w:val="16"/>
        </w:rPr>
      </w:pPr>
      <w:r w:rsidRPr="006A057D">
        <w:rPr>
          <w:rStyle w:val="FootnoteReference"/>
          <w:sz w:val="16"/>
          <w:szCs w:val="16"/>
        </w:rPr>
        <w:footnoteRef/>
      </w:r>
      <w:r w:rsidRPr="006A057D">
        <w:rPr>
          <w:sz w:val="16"/>
          <w:szCs w:val="16"/>
        </w:rPr>
        <w:t xml:space="preserve"> </w:t>
      </w:r>
      <w:r w:rsidR="00F1004C">
        <w:rPr>
          <w:sz w:val="16"/>
          <w:szCs w:val="16"/>
        </w:rPr>
        <w:t>Ibid.</w:t>
      </w:r>
      <w:r w:rsidRPr="006A057D">
        <w:rPr>
          <w:sz w:val="16"/>
          <w:szCs w:val="16"/>
        </w:rPr>
        <w:t>, p. 54.</w:t>
      </w:r>
    </w:p>
  </w:footnote>
  <w:footnote w:id="19">
    <w:p w14:paraId="3569D6A7" w14:textId="77777777" w:rsidR="0050576A" w:rsidRPr="006A057D" w:rsidRDefault="0050576A" w:rsidP="0050576A">
      <w:pPr>
        <w:pStyle w:val="FootnoteText"/>
        <w:rPr>
          <w:sz w:val="16"/>
          <w:szCs w:val="16"/>
        </w:rPr>
      </w:pPr>
      <w:r w:rsidRPr="006A057D">
        <w:rPr>
          <w:rStyle w:val="FootnoteReference"/>
          <w:sz w:val="16"/>
          <w:szCs w:val="16"/>
        </w:rPr>
        <w:footnoteRef/>
      </w:r>
      <w:r w:rsidRPr="006A057D">
        <w:rPr>
          <w:sz w:val="16"/>
          <w:szCs w:val="16"/>
        </w:rPr>
        <w:t xml:space="preserve"> Ibid., p. 103.</w:t>
      </w:r>
    </w:p>
  </w:footnote>
  <w:footnote w:id="20">
    <w:p w14:paraId="385C82EF" w14:textId="215E0A04" w:rsidR="0050576A" w:rsidRPr="006A057D" w:rsidRDefault="0050576A" w:rsidP="0050576A">
      <w:pPr>
        <w:pStyle w:val="FootnoteText"/>
        <w:rPr>
          <w:sz w:val="16"/>
          <w:szCs w:val="16"/>
        </w:rPr>
      </w:pPr>
      <w:r w:rsidRPr="006A057D">
        <w:rPr>
          <w:rStyle w:val="FootnoteReference"/>
          <w:sz w:val="16"/>
          <w:szCs w:val="16"/>
        </w:rPr>
        <w:footnoteRef/>
      </w:r>
      <w:r w:rsidRPr="006A057D">
        <w:rPr>
          <w:sz w:val="16"/>
          <w:szCs w:val="16"/>
        </w:rPr>
        <w:t xml:space="preserve"> </w:t>
      </w:r>
      <w:r w:rsidR="00F1004C">
        <w:rPr>
          <w:sz w:val="16"/>
          <w:szCs w:val="16"/>
        </w:rPr>
        <w:t>Ibid.</w:t>
      </w:r>
      <w:r w:rsidRPr="006A057D">
        <w:rPr>
          <w:sz w:val="16"/>
          <w:szCs w:val="16"/>
        </w:rPr>
        <w:t>, p. 20.</w:t>
      </w:r>
    </w:p>
  </w:footnote>
  <w:footnote w:id="21">
    <w:p w14:paraId="5017E27D" w14:textId="77777777" w:rsidR="0050576A" w:rsidRPr="006A057D" w:rsidRDefault="0050576A" w:rsidP="0050576A">
      <w:pPr>
        <w:pStyle w:val="FootnoteText"/>
        <w:rPr>
          <w:sz w:val="16"/>
          <w:szCs w:val="16"/>
        </w:rPr>
      </w:pPr>
      <w:r w:rsidRPr="006A057D">
        <w:rPr>
          <w:rStyle w:val="FootnoteReference"/>
          <w:sz w:val="16"/>
          <w:szCs w:val="16"/>
        </w:rPr>
        <w:footnoteRef/>
      </w:r>
      <w:r w:rsidRPr="006A057D">
        <w:rPr>
          <w:sz w:val="16"/>
          <w:szCs w:val="16"/>
        </w:rPr>
        <w:t xml:space="preserve"> </w:t>
      </w:r>
      <w:r>
        <w:rPr>
          <w:sz w:val="16"/>
          <w:szCs w:val="16"/>
        </w:rPr>
        <w:t>More</w:t>
      </w:r>
      <w:r w:rsidRPr="006A057D">
        <w:rPr>
          <w:sz w:val="16"/>
          <w:szCs w:val="16"/>
        </w:rPr>
        <w:t xml:space="preserve">, </w:t>
      </w:r>
      <w:r w:rsidRPr="006A057D">
        <w:rPr>
          <w:i/>
          <w:iCs/>
          <w:sz w:val="16"/>
          <w:szCs w:val="16"/>
        </w:rPr>
        <w:t>Utopia</w:t>
      </w:r>
      <w:r w:rsidRPr="006A057D">
        <w:rPr>
          <w:sz w:val="16"/>
          <w:szCs w:val="16"/>
        </w:rPr>
        <w:t>, p. xxi.</w:t>
      </w:r>
    </w:p>
  </w:footnote>
  <w:footnote w:id="22">
    <w:p w14:paraId="1B9CA182" w14:textId="333206B8" w:rsidR="00626CCA" w:rsidRPr="006A057D" w:rsidRDefault="00626CCA" w:rsidP="00626CCA">
      <w:pPr>
        <w:pStyle w:val="FootnoteText"/>
        <w:rPr>
          <w:sz w:val="16"/>
          <w:szCs w:val="16"/>
        </w:rPr>
      </w:pPr>
      <w:r w:rsidRPr="006A057D">
        <w:rPr>
          <w:rStyle w:val="FootnoteReference"/>
          <w:sz w:val="16"/>
          <w:szCs w:val="16"/>
        </w:rPr>
        <w:footnoteRef/>
      </w:r>
      <w:r w:rsidRPr="006A057D">
        <w:rPr>
          <w:sz w:val="16"/>
          <w:szCs w:val="16"/>
        </w:rPr>
        <w:t xml:space="preserve"> </w:t>
      </w:r>
      <w:r w:rsidR="00F1004C">
        <w:rPr>
          <w:sz w:val="16"/>
          <w:szCs w:val="16"/>
        </w:rPr>
        <w:t>Ibid.</w:t>
      </w:r>
      <w:r w:rsidRPr="006A057D">
        <w:rPr>
          <w:sz w:val="16"/>
          <w:szCs w:val="16"/>
        </w:rPr>
        <w:t>, p. 8.</w:t>
      </w:r>
    </w:p>
  </w:footnote>
  <w:footnote w:id="23">
    <w:p w14:paraId="62ECA675" w14:textId="2B51A938" w:rsidR="00626CCA" w:rsidRPr="006A057D" w:rsidRDefault="00626CCA" w:rsidP="00626CCA">
      <w:pPr>
        <w:pStyle w:val="FootnoteText"/>
        <w:rPr>
          <w:sz w:val="16"/>
          <w:szCs w:val="16"/>
        </w:rPr>
      </w:pPr>
      <w:r w:rsidRPr="006A057D">
        <w:rPr>
          <w:rStyle w:val="FootnoteReference"/>
          <w:sz w:val="16"/>
          <w:szCs w:val="16"/>
        </w:rPr>
        <w:footnoteRef/>
      </w:r>
      <w:r w:rsidRPr="006A057D">
        <w:rPr>
          <w:sz w:val="16"/>
          <w:szCs w:val="16"/>
        </w:rPr>
        <w:t xml:space="preserve"> </w:t>
      </w:r>
      <w:r w:rsidR="00F1004C">
        <w:rPr>
          <w:sz w:val="16"/>
          <w:szCs w:val="16"/>
        </w:rPr>
        <w:t>Ibid.</w:t>
      </w:r>
      <w:r w:rsidRPr="006A057D">
        <w:rPr>
          <w:sz w:val="16"/>
          <w:szCs w:val="16"/>
        </w:rPr>
        <w:t>, p. xxvi.</w:t>
      </w:r>
    </w:p>
  </w:footnote>
  <w:footnote w:id="24">
    <w:p w14:paraId="2BBAB31E" w14:textId="34A84132" w:rsidR="00626CCA" w:rsidRPr="006A057D" w:rsidRDefault="00626CCA" w:rsidP="00626CCA">
      <w:pPr>
        <w:pStyle w:val="FootnoteText"/>
        <w:rPr>
          <w:sz w:val="16"/>
          <w:szCs w:val="16"/>
        </w:rPr>
      </w:pPr>
      <w:r w:rsidRPr="006A057D">
        <w:rPr>
          <w:rStyle w:val="FootnoteReference"/>
          <w:sz w:val="16"/>
          <w:szCs w:val="16"/>
        </w:rPr>
        <w:footnoteRef/>
      </w:r>
      <w:r w:rsidRPr="006A057D">
        <w:rPr>
          <w:sz w:val="16"/>
          <w:szCs w:val="16"/>
        </w:rPr>
        <w:t xml:space="preserve"> Ibid.</w:t>
      </w:r>
      <w:r w:rsidR="005D7C61">
        <w:rPr>
          <w:sz w:val="16"/>
          <w:szCs w:val="16"/>
        </w:rPr>
        <w:t>, p</w:t>
      </w:r>
    </w:p>
  </w:footnote>
  <w:footnote w:id="25">
    <w:p w14:paraId="34764CDB" w14:textId="77777777" w:rsidR="00626CCA" w:rsidRPr="006A057D" w:rsidRDefault="00626CCA" w:rsidP="00626CCA">
      <w:pPr>
        <w:pStyle w:val="FootnoteText"/>
        <w:rPr>
          <w:sz w:val="16"/>
          <w:szCs w:val="16"/>
        </w:rPr>
      </w:pPr>
      <w:r w:rsidRPr="006A057D">
        <w:rPr>
          <w:rStyle w:val="FootnoteReference"/>
          <w:sz w:val="16"/>
          <w:szCs w:val="16"/>
        </w:rPr>
        <w:footnoteRef/>
      </w:r>
      <w:r w:rsidRPr="006A057D">
        <w:rPr>
          <w:sz w:val="16"/>
          <w:szCs w:val="16"/>
        </w:rPr>
        <w:t xml:space="preserve"> Ibid., p. 26.</w:t>
      </w:r>
    </w:p>
  </w:footnote>
  <w:footnote w:id="26">
    <w:p w14:paraId="396F47EC" w14:textId="7269C882" w:rsidR="00626CCA" w:rsidRPr="006A057D" w:rsidRDefault="00626CCA" w:rsidP="00626CCA">
      <w:pPr>
        <w:pStyle w:val="FootnoteText"/>
        <w:rPr>
          <w:sz w:val="16"/>
          <w:szCs w:val="16"/>
        </w:rPr>
      </w:pPr>
      <w:r w:rsidRPr="006A057D">
        <w:rPr>
          <w:rStyle w:val="FootnoteReference"/>
          <w:sz w:val="16"/>
          <w:szCs w:val="16"/>
        </w:rPr>
        <w:footnoteRef/>
      </w:r>
      <w:r w:rsidRPr="006A057D">
        <w:rPr>
          <w:sz w:val="16"/>
          <w:szCs w:val="16"/>
        </w:rPr>
        <w:t xml:space="preserve"> </w:t>
      </w:r>
      <w:r w:rsidR="00F1004C">
        <w:rPr>
          <w:sz w:val="16"/>
          <w:szCs w:val="16"/>
        </w:rPr>
        <w:t>Ibid.,</w:t>
      </w:r>
      <w:r w:rsidRPr="006A057D">
        <w:rPr>
          <w:sz w:val="16"/>
          <w:szCs w:val="16"/>
        </w:rPr>
        <w:t xml:space="preserve"> p. 20.</w:t>
      </w:r>
    </w:p>
  </w:footnote>
  <w:footnote w:id="27">
    <w:p w14:paraId="7D2704D1" w14:textId="77777777" w:rsidR="00626CCA" w:rsidRPr="006A057D" w:rsidRDefault="00626CCA" w:rsidP="00626CCA">
      <w:pPr>
        <w:pStyle w:val="FootnoteText"/>
        <w:rPr>
          <w:sz w:val="16"/>
          <w:szCs w:val="16"/>
        </w:rPr>
      </w:pPr>
      <w:r w:rsidRPr="006A057D">
        <w:rPr>
          <w:rStyle w:val="FootnoteReference"/>
          <w:sz w:val="16"/>
          <w:szCs w:val="16"/>
        </w:rPr>
        <w:footnoteRef/>
      </w:r>
      <w:r w:rsidRPr="006A057D">
        <w:rPr>
          <w:sz w:val="16"/>
          <w:szCs w:val="16"/>
        </w:rPr>
        <w:t xml:space="preserve"> Ibid., p. 27.</w:t>
      </w:r>
    </w:p>
  </w:footnote>
  <w:footnote w:id="28">
    <w:p w14:paraId="5CF0CF31" w14:textId="77777777" w:rsidR="00626CCA" w:rsidRPr="006A057D" w:rsidRDefault="00626CCA" w:rsidP="00626CCA">
      <w:pPr>
        <w:pStyle w:val="FootnoteText"/>
        <w:rPr>
          <w:sz w:val="16"/>
          <w:szCs w:val="16"/>
        </w:rPr>
      </w:pPr>
      <w:r w:rsidRPr="006A057D">
        <w:rPr>
          <w:rStyle w:val="FootnoteReference"/>
          <w:sz w:val="16"/>
          <w:szCs w:val="16"/>
        </w:rPr>
        <w:footnoteRef/>
      </w:r>
      <w:r w:rsidRPr="006A057D">
        <w:rPr>
          <w:sz w:val="16"/>
          <w:szCs w:val="16"/>
        </w:rPr>
        <w:t xml:space="preserve"> Maslen, </w:t>
      </w:r>
      <w:r w:rsidRPr="006A057D">
        <w:rPr>
          <w:i/>
          <w:iCs/>
          <w:sz w:val="16"/>
          <w:szCs w:val="16"/>
        </w:rPr>
        <w:t>Aspects of the Early Modern Fantastic in Shakespeare’s The Tempest</w:t>
      </w:r>
    </w:p>
  </w:footnote>
  <w:footnote w:id="29">
    <w:p w14:paraId="1D498204" w14:textId="613EC1CF" w:rsidR="00626CCA" w:rsidRPr="006A057D" w:rsidRDefault="00626CCA" w:rsidP="00626CCA">
      <w:pPr>
        <w:pStyle w:val="FootnoteText"/>
        <w:rPr>
          <w:sz w:val="16"/>
          <w:szCs w:val="16"/>
        </w:rPr>
      </w:pPr>
      <w:r w:rsidRPr="006A057D">
        <w:rPr>
          <w:rStyle w:val="FootnoteReference"/>
          <w:sz w:val="16"/>
          <w:szCs w:val="16"/>
        </w:rPr>
        <w:footnoteRef/>
      </w:r>
      <w:r w:rsidRPr="006A057D">
        <w:rPr>
          <w:sz w:val="16"/>
          <w:szCs w:val="16"/>
        </w:rPr>
        <w:t xml:space="preserve"> </w:t>
      </w:r>
      <w:r w:rsidR="007A1A70">
        <w:rPr>
          <w:sz w:val="16"/>
          <w:szCs w:val="16"/>
        </w:rPr>
        <w:t>Ibid.</w:t>
      </w:r>
    </w:p>
  </w:footnote>
  <w:footnote w:id="30">
    <w:p w14:paraId="280D868E" w14:textId="77777777" w:rsidR="00626CCA" w:rsidRPr="006A057D" w:rsidRDefault="00626CCA" w:rsidP="00626CCA">
      <w:pPr>
        <w:pStyle w:val="FootnoteText"/>
        <w:rPr>
          <w:sz w:val="16"/>
          <w:szCs w:val="16"/>
        </w:rPr>
      </w:pPr>
      <w:r w:rsidRPr="006A057D">
        <w:rPr>
          <w:rStyle w:val="FootnoteReference"/>
          <w:sz w:val="16"/>
          <w:szCs w:val="16"/>
        </w:rPr>
        <w:footnoteRef/>
      </w:r>
      <w:r w:rsidRPr="006A057D">
        <w:rPr>
          <w:sz w:val="16"/>
          <w:szCs w:val="16"/>
        </w:rPr>
        <w:t xml:space="preserve"> Elliot, A.M. and Millner, R. (Trans. Eds.), with Morton, A.L. (Introduction), </w:t>
      </w:r>
      <w:r w:rsidRPr="006A057D">
        <w:rPr>
          <w:i/>
          <w:iCs/>
          <w:sz w:val="16"/>
          <w:szCs w:val="16"/>
        </w:rPr>
        <w:t>The City of the Sun, by Brother Thomas Campanella</w:t>
      </w:r>
      <w:r w:rsidRPr="006A057D">
        <w:rPr>
          <w:sz w:val="16"/>
          <w:szCs w:val="16"/>
        </w:rPr>
        <w:t>, (London, Journeyman Press, 1981).</w:t>
      </w:r>
    </w:p>
  </w:footnote>
  <w:footnote w:id="31">
    <w:p w14:paraId="516FF486" w14:textId="6F557A26" w:rsidR="004B3AA8" w:rsidRPr="006A057D" w:rsidRDefault="004B3AA8" w:rsidP="004B3AA8">
      <w:pPr>
        <w:pStyle w:val="FootnoteText"/>
        <w:rPr>
          <w:sz w:val="16"/>
          <w:szCs w:val="16"/>
        </w:rPr>
      </w:pPr>
      <w:r w:rsidRPr="006A057D">
        <w:rPr>
          <w:rStyle w:val="FootnoteReference"/>
          <w:sz w:val="16"/>
          <w:szCs w:val="16"/>
        </w:rPr>
        <w:footnoteRef/>
      </w:r>
      <w:r w:rsidRPr="006A057D">
        <w:rPr>
          <w:sz w:val="16"/>
          <w:szCs w:val="16"/>
        </w:rPr>
        <w:t xml:space="preserve"> </w:t>
      </w:r>
      <w:r w:rsidR="005D7C61">
        <w:rPr>
          <w:sz w:val="16"/>
          <w:szCs w:val="16"/>
        </w:rPr>
        <w:t>More</w:t>
      </w:r>
      <w:r w:rsidR="005D7C61" w:rsidRPr="006A057D">
        <w:rPr>
          <w:sz w:val="16"/>
          <w:szCs w:val="16"/>
        </w:rPr>
        <w:t xml:space="preserve">, </w:t>
      </w:r>
      <w:r w:rsidR="005D7C61" w:rsidRPr="006A057D">
        <w:rPr>
          <w:i/>
          <w:iCs/>
          <w:sz w:val="16"/>
          <w:szCs w:val="16"/>
        </w:rPr>
        <w:t>Utopia</w:t>
      </w:r>
      <w:r w:rsidRPr="006A057D">
        <w:rPr>
          <w:sz w:val="16"/>
          <w:szCs w:val="16"/>
        </w:rPr>
        <w:t>, p. xvi.</w:t>
      </w:r>
    </w:p>
  </w:footnote>
  <w:footnote w:id="32">
    <w:p w14:paraId="1E9ADAFD" w14:textId="77777777" w:rsidR="00565CB8" w:rsidRPr="006A057D" w:rsidRDefault="00565CB8" w:rsidP="00565CB8">
      <w:pPr>
        <w:pStyle w:val="FootnoteText"/>
        <w:rPr>
          <w:sz w:val="16"/>
          <w:szCs w:val="16"/>
        </w:rPr>
      </w:pPr>
      <w:r w:rsidRPr="006A057D">
        <w:rPr>
          <w:rStyle w:val="FootnoteReference"/>
          <w:sz w:val="16"/>
          <w:szCs w:val="16"/>
        </w:rPr>
        <w:footnoteRef/>
      </w:r>
      <w:r w:rsidRPr="006A057D">
        <w:rPr>
          <w:sz w:val="16"/>
          <w:szCs w:val="16"/>
        </w:rPr>
        <w:t xml:space="preserve"> Shakespeare, </w:t>
      </w:r>
      <w:r w:rsidRPr="006A057D">
        <w:rPr>
          <w:i/>
          <w:iCs/>
          <w:sz w:val="16"/>
          <w:szCs w:val="16"/>
        </w:rPr>
        <w:t>The Tempest</w:t>
      </w:r>
      <w:r w:rsidRPr="006A057D">
        <w:rPr>
          <w:sz w:val="16"/>
          <w:szCs w:val="16"/>
        </w:rPr>
        <w:t>, p. 9.</w:t>
      </w:r>
    </w:p>
  </w:footnote>
  <w:footnote w:id="33">
    <w:p w14:paraId="0491A173" w14:textId="4A19E56C" w:rsidR="006231F9" w:rsidRPr="006A057D" w:rsidRDefault="006231F9" w:rsidP="006231F9">
      <w:pPr>
        <w:pStyle w:val="FootnoteText"/>
        <w:rPr>
          <w:sz w:val="16"/>
          <w:szCs w:val="16"/>
        </w:rPr>
      </w:pPr>
      <w:r w:rsidRPr="006A057D">
        <w:rPr>
          <w:rStyle w:val="FootnoteReference"/>
          <w:sz w:val="16"/>
          <w:szCs w:val="16"/>
        </w:rPr>
        <w:footnoteRef/>
      </w:r>
      <w:r w:rsidRPr="006A057D">
        <w:rPr>
          <w:sz w:val="16"/>
          <w:szCs w:val="16"/>
        </w:rPr>
        <w:t xml:space="preserve"> </w:t>
      </w:r>
      <w:r w:rsidR="00B170C3" w:rsidRPr="006A057D">
        <w:rPr>
          <w:sz w:val="16"/>
          <w:szCs w:val="16"/>
        </w:rPr>
        <w:t>Ibid.</w:t>
      </w:r>
      <w:r w:rsidRPr="006A057D">
        <w:rPr>
          <w:sz w:val="16"/>
          <w:szCs w:val="16"/>
        </w:rPr>
        <w:t>, p. 10.</w:t>
      </w:r>
    </w:p>
  </w:footnote>
  <w:footnote w:id="34">
    <w:p w14:paraId="6F610C1D" w14:textId="64C5965A" w:rsidR="0070013F" w:rsidRPr="006A057D" w:rsidRDefault="0070013F">
      <w:pPr>
        <w:pStyle w:val="FootnoteText"/>
        <w:rPr>
          <w:sz w:val="16"/>
          <w:szCs w:val="16"/>
        </w:rPr>
      </w:pPr>
      <w:r w:rsidRPr="006A057D">
        <w:rPr>
          <w:rStyle w:val="FootnoteReference"/>
          <w:sz w:val="16"/>
          <w:szCs w:val="16"/>
        </w:rPr>
        <w:footnoteRef/>
      </w:r>
      <w:r w:rsidRPr="006A057D">
        <w:rPr>
          <w:sz w:val="16"/>
          <w:szCs w:val="16"/>
        </w:rPr>
        <w:t xml:space="preserve"> </w:t>
      </w:r>
      <w:r w:rsidR="008F30FB">
        <w:rPr>
          <w:sz w:val="16"/>
          <w:szCs w:val="16"/>
        </w:rPr>
        <w:t>More</w:t>
      </w:r>
      <w:r w:rsidR="00915A71" w:rsidRPr="006A057D">
        <w:rPr>
          <w:sz w:val="16"/>
          <w:szCs w:val="16"/>
        </w:rPr>
        <w:t xml:space="preserve">, </w:t>
      </w:r>
      <w:r w:rsidR="00915A71" w:rsidRPr="006A057D">
        <w:rPr>
          <w:i/>
          <w:iCs/>
          <w:sz w:val="16"/>
          <w:szCs w:val="16"/>
        </w:rPr>
        <w:t>Utopia</w:t>
      </w:r>
      <w:r w:rsidRPr="006A057D">
        <w:rPr>
          <w:sz w:val="16"/>
          <w:szCs w:val="16"/>
        </w:rPr>
        <w:t>, p. 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225BA"/>
    <w:multiLevelType w:val="hybridMultilevel"/>
    <w:tmpl w:val="1D2808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59083A"/>
    <w:multiLevelType w:val="multilevel"/>
    <w:tmpl w:val="9BCC6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2527944"/>
    <w:multiLevelType w:val="multilevel"/>
    <w:tmpl w:val="DBB0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76448287">
    <w:abstractNumId w:val="0"/>
  </w:num>
  <w:num w:numId="2" w16cid:durableId="1741246175">
    <w:abstractNumId w:val="2"/>
  </w:num>
  <w:num w:numId="3" w16cid:durableId="15904995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53F"/>
    <w:rsid w:val="00001237"/>
    <w:rsid w:val="0000579C"/>
    <w:rsid w:val="00007CB6"/>
    <w:rsid w:val="0002674F"/>
    <w:rsid w:val="00033EB0"/>
    <w:rsid w:val="00040C9D"/>
    <w:rsid w:val="00064A84"/>
    <w:rsid w:val="00075909"/>
    <w:rsid w:val="000A4B31"/>
    <w:rsid w:val="000B78B1"/>
    <w:rsid w:val="000C59B1"/>
    <w:rsid w:val="000C649E"/>
    <w:rsid w:val="000C79A8"/>
    <w:rsid w:val="000D20EE"/>
    <w:rsid w:val="000D6EC4"/>
    <w:rsid w:val="000E68BA"/>
    <w:rsid w:val="000F253F"/>
    <w:rsid w:val="000F2816"/>
    <w:rsid w:val="00106199"/>
    <w:rsid w:val="00113380"/>
    <w:rsid w:val="001170E6"/>
    <w:rsid w:val="00122980"/>
    <w:rsid w:val="001237B2"/>
    <w:rsid w:val="001376FB"/>
    <w:rsid w:val="00144AB5"/>
    <w:rsid w:val="0014537A"/>
    <w:rsid w:val="00155237"/>
    <w:rsid w:val="00160F64"/>
    <w:rsid w:val="00162E72"/>
    <w:rsid w:val="00165C02"/>
    <w:rsid w:val="00177E31"/>
    <w:rsid w:val="0018120D"/>
    <w:rsid w:val="00185AE1"/>
    <w:rsid w:val="001917B5"/>
    <w:rsid w:val="00191C57"/>
    <w:rsid w:val="00193E06"/>
    <w:rsid w:val="0019553D"/>
    <w:rsid w:val="001A1A97"/>
    <w:rsid w:val="001A31B2"/>
    <w:rsid w:val="001C188D"/>
    <w:rsid w:val="001C6DF5"/>
    <w:rsid w:val="001D75F5"/>
    <w:rsid w:val="001E0B2C"/>
    <w:rsid w:val="001E0BCF"/>
    <w:rsid w:val="001F198A"/>
    <w:rsid w:val="001F5FB2"/>
    <w:rsid w:val="001F77B9"/>
    <w:rsid w:val="002066E6"/>
    <w:rsid w:val="00234B68"/>
    <w:rsid w:val="002962CA"/>
    <w:rsid w:val="002A6DF7"/>
    <w:rsid w:val="002D12ED"/>
    <w:rsid w:val="002E1946"/>
    <w:rsid w:val="002E1CF8"/>
    <w:rsid w:val="002F1301"/>
    <w:rsid w:val="00305AB7"/>
    <w:rsid w:val="00307551"/>
    <w:rsid w:val="00324E6D"/>
    <w:rsid w:val="00334AAC"/>
    <w:rsid w:val="00341E92"/>
    <w:rsid w:val="00343E03"/>
    <w:rsid w:val="0035028C"/>
    <w:rsid w:val="00354500"/>
    <w:rsid w:val="00356EEE"/>
    <w:rsid w:val="00361F00"/>
    <w:rsid w:val="00365832"/>
    <w:rsid w:val="00372334"/>
    <w:rsid w:val="003830C7"/>
    <w:rsid w:val="00383EEC"/>
    <w:rsid w:val="00397C4C"/>
    <w:rsid w:val="003A1E6B"/>
    <w:rsid w:val="003B3D93"/>
    <w:rsid w:val="003B7668"/>
    <w:rsid w:val="003C1F06"/>
    <w:rsid w:val="003C38CF"/>
    <w:rsid w:val="003D4D63"/>
    <w:rsid w:val="004124C7"/>
    <w:rsid w:val="00417079"/>
    <w:rsid w:val="0042467A"/>
    <w:rsid w:val="00425620"/>
    <w:rsid w:val="00425A47"/>
    <w:rsid w:val="00437C25"/>
    <w:rsid w:val="00441339"/>
    <w:rsid w:val="0044447C"/>
    <w:rsid w:val="0044522C"/>
    <w:rsid w:val="00450D62"/>
    <w:rsid w:val="00452E12"/>
    <w:rsid w:val="00454A91"/>
    <w:rsid w:val="00461DAA"/>
    <w:rsid w:val="004714C6"/>
    <w:rsid w:val="00472A49"/>
    <w:rsid w:val="00477638"/>
    <w:rsid w:val="004843CE"/>
    <w:rsid w:val="0048561B"/>
    <w:rsid w:val="00485DB1"/>
    <w:rsid w:val="004936EE"/>
    <w:rsid w:val="004A7B8B"/>
    <w:rsid w:val="004B3AA8"/>
    <w:rsid w:val="004B3CCA"/>
    <w:rsid w:val="004F031E"/>
    <w:rsid w:val="0050576A"/>
    <w:rsid w:val="00510A25"/>
    <w:rsid w:val="00516D99"/>
    <w:rsid w:val="00535E8C"/>
    <w:rsid w:val="00550B98"/>
    <w:rsid w:val="00563E85"/>
    <w:rsid w:val="00565CB8"/>
    <w:rsid w:val="0057066F"/>
    <w:rsid w:val="00575697"/>
    <w:rsid w:val="005802E9"/>
    <w:rsid w:val="005876CA"/>
    <w:rsid w:val="00587DDA"/>
    <w:rsid w:val="005A043B"/>
    <w:rsid w:val="005A3220"/>
    <w:rsid w:val="005A6E4F"/>
    <w:rsid w:val="005B5BE8"/>
    <w:rsid w:val="005C6668"/>
    <w:rsid w:val="005D7C61"/>
    <w:rsid w:val="005E40BD"/>
    <w:rsid w:val="00612D67"/>
    <w:rsid w:val="0061752C"/>
    <w:rsid w:val="0062169A"/>
    <w:rsid w:val="006231F9"/>
    <w:rsid w:val="00625C52"/>
    <w:rsid w:val="00626CCA"/>
    <w:rsid w:val="00630464"/>
    <w:rsid w:val="00632F48"/>
    <w:rsid w:val="0064206E"/>
    <w:rsid w:val="00646557"/>
    <w:rsid w:val="00646795"/>
    <w:rsid w:val="0065701F"/>
    <w:rsid w:val="00677E56"/>
    <w:rsid w:val="0068775D"/>
    <w:rsid w:val="00691461"/>
    <w:rsid w:val="00692D44"/>
    <w:rsid w:val="00693B98"/>
    <w:rsid w:val="00695707"/>
    <w:rsid w:val="006964A3"/>
    <w:rsid w:val="006A057D"/>
    <w:rsid w:val="006A48B2"/>
    <w:rsid w:val="006B1B36"/>
    <w:rsid w:val="006B2772"/>
    <w:rsid w:val="006B3D08"/>
    <w:rsid w:val="006C085B"/>
    <w:rsid w:val="006E4DC9"/>
    <w:rsid w:val="006E675F"/>
    <w:rsid w:val="006F3BC0"/>
    <w:rsid w:val="0070013F"/>
    <w:rsid w:val="0070137B"/>
    <w:rsid w:val="00702D3C"/>
    <w:rsid w:val="00705A49"/>
    <w:rsid w:val="00714FE0"/>
    <w:rsid w:val="00716A37"/>
    <w:rsid w:val="0072406A"/>
    <w:rsid w:val="007247A6"/>
    <w:rsid w:val="0072510F"/>
    <w:rsid w:val="00725EF7"/>
    <w:rsid w:val="007268AA"/>
    <w:rsid w:val="007405E5"/>
    <w:rsid w:val="00753737"/>
    <w:rsid w:val="0079682C"/>
    <w:rsid w:val="0079754B"/>
    <w:rsid w:val="007A1A70"/>
    <w:rsid w:val="007A4220"/>
    <w:rsid w:val="007B2BC7"/>
    <w:rsid w:val="007B37D1"/>
    <w:rsid w:val="007C2B48"/>
    <w:rsid w:val="007D00D5"/>
    <w:rsid w:val="007D23B4"/>
    <w:rsid w:val="007E79FF"/>
    <w:rsid w:val="007F199F"/>
    <w:rsid w:val="007F7454"/>
    <w:rsid w:val="00801707"/>
    <w:rsid w:val="008240B4"/>
    <w:rsid w:val="008352D0"/>
    <w:rsid w:val="008421D9"/>
    <w:rsid w:val="00842D47"/>
    <w:rsid w:val="00866FBF"/>
    <w:rsid w:val="00874EDB"/>
    <w:rsid w:val="00880C82"/>
    <w:rsid w:val="00881575"/>
    <w:rsid w:val="008917DC"/>
    <w:rsid w:val="008A1595"/>
    <w:rsid w:val="008B4620"/>
    <w:rsid w:val="008C26DE"/>
    <w:rsid w:val="008C31C4"/>
    <w:rsid w:val="008C7199"/>
    <w:rsid w:val="008E0602"/>
    <w:rsid w:val="008E15FF"/>
    <w:rsid w:val="008E420E"/>
    <w:rsid w:val="008F30FB"/>
    <w:rsid w:val="008F319C"/>
    <w:rsid w:val="008F63A7"/>
    <w:rsid w:val="009027E1"/>
    <w:rsid w:val="00910842"/>
    <w:rsid w:val="00915A71"/>
    <w:rsid w:val="009166B8"/>
    <w:rsid w:val="0093027F"/>
    <w:rsid w:val="009311C1"/>
    <w:rsid w:val="00931C1F"/>
    <w:rsid w:val="0093753F"/>
    <w:rsid w:val="009532BF"/>
    <w:rsid w:val="009539D9"/>
    <w:rsid w:val="00954474"/>
    <w:rsid w:val="00954B70"/>
    <w:rsid w:val="00954F58"/>
    <w:rsid w:val="00961E48"/>
    <w:rsid w:val="00965C7A"/>
    <w:rsid w:val="00967543"/>
    <w:rsid w:val="00983662"/>
    <w:rsid w:val="00991CB0"/>
    <w:rsid w:val="00993A84"/>
    <w:rsid w:val="009A786B"/>
    <w:rsid w:val="009B6C3C"/>
    <w:rsid w:val="009B7BDD"/>
    <w:rsid w:val="009D0007"/>
    <w:rsid w:val="009D059E"/>
    <w:rsid w:val="009D183F"/>
    <w:rsid w:val="009E2947"/>
    <w:rsid w:val="009F2A74"/>
    <w:rsid w:val="00A1036B"/>
    <w:rsid w:val="00A11220"/>
    <w:rsid w:val="00A14A61"/>
    <w:rsid w:val="00A153EC"/>
    <w:rsid w:val="00A2778E"/>
    <w:rsid w:val="00A35564"/>
    <w:rsid w:val="00A5387B"/>
    <w:rsid w:val="00A7348A"/>
    <w:rsid w:val="00A76DDB"/>
    <w:rsid w:val="00A83D3C"/>
    <w:rsid w:val="00A90D17"/>
    <w:rsid w:val="00A94E23"/>
    <w:rsid w:val="00AB3549"/>
    <w:rsid w:val="00AB48C7"/>
    <w:rsid w:val="00AB6061"/>
    <w:rsid w:val="00AB6936"/>
    <w:rsid w:val="00AC1FE6"/>
    <w:rsid w:val="00AC438C"/>
    <w:rsid w:val="00AC72EC"/>
    <w:rsid w:val="00AD72CA"/>
    <w:rsid w:val="00AF2101"/>
    <w:rsid w:val="00AF442E"/>
    <w:rsid w:val="00B1028B"/>
    <w:rsid w:val="00B170C3"/>
    <w:rsid w:val="00B229B1"/>
    <w:rsid w:val="00B255D4"/>
    <w:rsid w:val="00B322C0"/>
    <w:rsid w:val="00B3528A"/>
    <w:rsid w:val="00B42DCC"/>
    <w:rsid w:val="00B43DC1"/>
    <w:rsid w:val="00B458D7"/>
    <w:rsid w:val="00B5153C"/>
    <w:rsid w:val="00B53070"/>
    <w:rsid w:val="00B56EBE"/>
    <w:rsid w:val="00B72D9A"/>
    <w:rsid w:val="00B83D0B"/>
    <w:rsid w:val="00BB2F6B"/>
    <w:rsid w:val="00BC0C06"/>
    <w:rsid w:val="00BC5191"/>
    <w:rsid w:val="00BC6D0D"/>
    <w:rsid w:val="00BC77BF"/>
    <w:rsid w:val="00BD5538"/>
    <w:rsid w:val="00BE502F"/>
    <w:rsid w:val="00BE7D18"/>
    <w:rsid w:val="00BE7D5D"/>
    <w:rsid w:val="00C03B59"/>
    <w:rsid w:val="00C04992"/>
    <w:rsid w:val="00C07058"/>
    <w:rsid w:val="00C1446E"/>
    <w:rsid w:val="00C21953"/>
    <w:rsid w:val="00C25B55"/>
    <w:rsid w:val="00C30E3F"/>
    <w:rsid w:val="00C40BCC"/>
    <w:rsid w:val="00C4351B"/>
    <w:rsid w:val="00C45EF7"/>
    <w:rsid w:val="00C521FE"/>
    <w:rsid w:val="00C54828"/>
    <w:rsid w:val="00C72E2B"/>
    <w:rsid w:val="00C76130"/>
    <w:rsid w:val="00C7760A"/>
    <w:rsid w:val="00C81B41"/>
    <w:rsid w:val="00C91AD8"/>
    <w:rsid w:val="00C92303"/>
    <w:rsid w:val="00CA10D4"/>
    <w:rsid w:val="00CA54B0"/>
    <w:rsid w:val="00CB1E49"/>
    <w:rsid w:val="00CB2CDC"/>
    <w:rsid w:val="00CC7684"/>
    <w:rsid w:val="00CF255B"/>
    <w:rsid w:val="00D053C0"/>
    <w:rsid w:val="00D07AFC"/>
    <w:rsid w:val="00D22A73"/>
    <w:rsid w:val="00D33C16"/>
    <w:rsid w:val="00D35497"/>
    <w:rsid w:val="00D37943"/>
    <w:rsid w:val="00D42968"/>
    <w:rsid w:val="00D55A7D"/>
    <w:rsid w:val="00D57A60"/>
    <w:rsid w:val="00D606D5"/>
    <w:rsid w:val="00D62036"/>
    <w:rsid w:val="00D668FB"/>
    <w:rsid w:val="00D77A18"/>
    <w:rsid w:val="00D85884"/>
    <w:rsid w:val="00D95515"/>
    <w:rsid w:val="00D95797"/>
    <w:rsid w:val="00DA2072"/>
    <w:rsid w:val="00DA257A"/>
    <w:rsid w:val="00DA3151"/>
    <w:rsid w:val="00DA7971"/>
    <w:rsid w:val="00DB6768"/>
    <w:rsid w:val="00DB7642"/>
    <w:rsid w:val="00DC1D64"/>
    <w:rsid w:val="00DC1E57"/>
    <w:rsid w:val="00DC2643"/>
    <w:rsid w:val="00DC5623"/>
    <w:rsid w:val="00DC69D1"/>
    <w:rsid w:val="00DD0BD9"/>
    <w:rsid w:val="00DD1244"/>
    <w:rsid w:val="00DD1CBB"/>
    <w:rsid w:val="00DD3CC7"/>
    <w:rsid w:val="00DE0F71"/>
    <w:rsid w:val="00DE185D"/>
    <w:rsid w:val="00DE3192"/>
    <w:rsid w:val="00DE3201"/>
    <w:rsid w:val="00DE37DD"/>
    <w:rsid w:val="00DE5F21"/>
    <w:rsid w:val="00DF2F1A"/>
    <w:rsid w:val="00E000FB"/>
    <w:rsid w:val="00E314FB"/>
    <w:rsid w:val="00E34591"/>
    <w:rsid w:val="00E359C9"/>
    <w:rsid w:val="00E40834"/>
    <w:rsid w:val="00E50ADE"/>
    <w:rsid w:val="00E624CE"/>
    <w:rsid w:val="00E72B04"/>
    <w:rsid w:val="00E731BB"/>
    <w:rsid w:val="00E740C0"/>
    <w:rsid w:val="00E75428"/>
    <w:rsid w:val="00E75B15"/>
    <w:rsid w:val="00E818D0"/>
    <w:rsid w:val="00E842D8"/>
    <w:rsid w:val="00E91EE0"/>
    <w:rsid w:val="00E92502"/>
    <w:rsid w:val="00E95A6A"/>
    <w:rsid w:val="00EA3465"/>
    <w:rsid w:val="00EB1A3A"/>
    <w:rsid w:val="00EB6233"/>
    <w:rsid w:val="00EE1E62"/>
    <w:rsid w:val="00EE57E9"/>
    <w:rsid w:val="00EF07F7"/>
    <w:rsid w:val="00F00F85"/>
    <w:rsid w:val="00F05DDF"/>
    <w:rsid w:val="00F065D7"/>
    <w:rsid w:val="00F074B6"/>
    <w:rsid w:val="00F1004C"/>
    <w:rsid w:val="00F127D2"/>
    <w:rsid w:val="00F20A6C"/>
    <w:rsid w:val="00F338CB"/>
    <w:rsid w:val="00F33F48"/>
    <w:rsid w:val="00F54C46"/>
    <w:rsid w:val="00F67317"/>
    <w:rsid w:val="00F83435"/>
    <w:rsid w:val="00F83D0E"/>
    <w:rsid w:val="00FB00BF"/>
    <w:rsid w:val="00FB02A2"/>
    <w:rsid w:val="00FB3133"/>
    <w:rsid w:val="00FB5EBD"/>
    <w:rsid w:val="00FD08D0"/>
    <w:rsid w:val="00FD622B"/>
    <w:rsid w:val="00FE6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C2FC7B"/>
  <w15:chartTrackingRefBased/>
  <w15:docId w15:val="{F60DE194-DD90-49C8-98D0-896E5F6CF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5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25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25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5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5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5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5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5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5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5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25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25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5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5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5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5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5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53F"/>
    <w:rPr>
      <w:rFonts w:eastAsiaTheme="majorEastAsia" w:cstheme="majorBidi"/>
      <w:color w:val="272727" w:themeColor="text1" w:themeTint="D8"/>
    </w:rPr>
  </w:style>
  <w:style w:type="paragraph" w:styleId="Title">
    <w:name w:val="Title"/>
    <w:basedOn w:val="Normal"/>
    <w:next w:val="Normal"/>
    <w:link w:val="TitleChar"/>
    <w:uiPriority w:val="10"/>
    <w:qFormat/>
    <w:rsid w:val="000F25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5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5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5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53F"/>
    <w:pPr>
      <w:spacing w:before="160"/>
      <w:jc w:val="center"/>
    </w:pPr>
    <w:rPr>
      <w:i/>
      <w:iCs/>
      <w:color w:val="404040" w:themeColor="text1" w:themeTint="BF"/>
    </w:rPr>
  </w:style>
  <w:style w:type="character" w:customStyle="1" w:styleId="QuoteChar">
    <w:name w:val="Quote Char"/>
    <w:basedOn w:val="DefaultParagraphFont"/>
    <w:link w:val="Quote"/>
    <w:uiPriority w:val="29"/>
    <w:rsid w:val="000F253F"/>
    <w:rPr>
      <w:i/>
      <w:iCs/>
      <w:color w:val="404040" w:themeColor="text1" w:themeTint="BF"/>
    </w:rPr>
  </w:style>
  <w:style w:type="paragraph" w:styleId="ListParagraph">
    <w:name w:val="List Paragraph"/>
    <w:basedOn w:val="Normal"/>
    <w:uiPriority w:val="34"/>
    <w:qFormat/>
    <w:rsid w:val="000F253F"/>
    <w:pPr>
      <w:ind w:left="720"/>
      <w:contextualSpacing/>
    </w:pPr>
  </w:style>
  <w:style w:type="character" w:styleId="IntenseEmphasis">
    <w:name w:val="Intense Emphasis"/>
    <w:basedOn w:val="DefaultParagraphFont"/>
    <w:uiPriority w:val="21"/>
    <w:qFormat/>
    <w:rsid w:val="000F253F"/>
    <w:rPr>
      <w:i/>
      <w:iCs/>
      <w:color w:val="0F4761" w:themeColor="accent1" w:themeShade="BF"/>
    </w:rPr>
  </w:style>
  <w:style w:type="paragraph" w:styleId="IntenseQuote">
    <w:name w:val="Intense Quote"/>
    <w:basedOn w:val="Normal"/>
    <w:next w:val="Normal"/>
    <w:link w:val="IntenseQuoteChar"/>
    <w:uiPriority w:val="30"/>
    <w:qFormat/>
    <w:rsid w:val="000F25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53F"/>
    <w:rPr>
      <w:i/>
      <w:iCs/>
      <w:color w:val="0F4761" w:themeColor="accent1" w:themeShade="BF"/>
    </w:rPr>
  </w:style>
  <w:style w:type="character" w:styleId="IntenseReference">
    <w:name w:val="Intense Reference"/>
    <w:basedOn w:val="DefaultParagraphFont"/>
    <w:uiPriority w:val="32"/>
    <w:qFormat/>
    <w:rsid w:val="000F253F"/>
    <w:rPr>
      <w:b/>
      <w:bCs/>
      <w:smallCaps/>
      <w:color w:val="0F4761" w:themeColor="accent1" w:themeShade="BF"/>
      <w:spacing w:val="5"/>
    </w:rPr>
  </w:style>
  <w:style w:type="paragraph" w:styleId="FootnoteText">
    <w:name w:val="footnote text"/>
    <w:basedOn w:val="Normal"/>
    <w:link w:val="FootnoteTextChar"/>
    <w:uiPriority w:val="99"/>
    <w:unhideWhenUsed/>
    <w:rsid w:val="00DE37DD"/>
    <w:pPr>
      <w:spacing w:after="0" w:line="240" w:lineRule="auto"/>
    </w:pPr>
    <w:rPr>
      <w:sz w:val="20"/>
      <w:szCs w:val="20"/>
    </w:rPr>
  </w:style>
  <w:style w:type="character" w:customStyle="1" w:styleId="FootnoteTextChar">
    <w:name w:val="Footnote Text Char"/>
    <w:basedOn w:val="DefaultParagraphFont"/>
    <w:link w:val="FootnoteText"/>
    <w:uiPriority w:val="99"/>
    <w:rsid w:val="00DE37DD"/>
    <w:rPr>
      <w:sz w:val="20"/>
      <w:szCs w:val="20"/>
    </w:rPr>
  </w:style>
  <w:style w:type="character" w:styleId="FootnoteReference">
    <w:name w:val="footnote reference"/>
    <w:basedOn w:val="DefaultParagraphFont"/>
    <w:uiPriority w:val="99"/>
    <w:unhideWhenUsed/>
    <w:rsid w:val="00DE37DD"/>
    <w:rPr>
      <w:vertAlign w:val="superscript"/>
    </w:rPr>
  </w:style>
  <w:style w:type="character" w:styleId="Hyperlink">
    <w:name w:val="Hyperlink"/>
    <w:basedOn w:val="DefaultParagraphFont"/>
    <w:uiPriority w:val="99"/>
    <w:unhideWhenUsed/>
    <w:rsid w:val="00372334"/>
    <w:rPr>
      <w:color w:val="467886" w:themeColor="hyperlink"/>
      <w:u w:val="single"/>
    </w:rPr>
  </w:style>
  <w:style w:type="character" w:styleId="UnresolvedMention">
    <w:name w:val="Unresolved Mention"/>
    <w:basedOn w:val="DefaultParagraphFont"/>
    <w:uiPriority w:val="99"/>
    <w:semiHidden/>
    <w:unhideWhenUsed/>
    <w:rsid w:val="003723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326489">
      <w:bodyDiv w:val="1"/>
      <w:marLeft w:val="0"/>
      <w:marRight w:val="0"/>
      <w:marTop w:val="0"/>
      <w:marBottom w:val="0"/>
      <w:divBdr>
        <w:top w:val="none" w:sz="0" w:space="0" w:color="auto"/>
        <w:left w:val="none" w:sz="0" w:space="0" w:color="auto"/>
        <w:bottom w:val="none" w:sz="0" w:space="0" w:color="auto"/>
        <w:right w:val="none" w:sz="0" w:space="0" w:color="auto"/>
      </w:divBdr>
    </w:div>
    <w:div w:id="210656853">
      <w:bodyDiv w:val="1"/>
      <w:marLeft w:val="0"/>
      <w:marRight w:val="0"/>
      <w:marTop w:val="0"/>
      <w:marBottom w:val="0"/>
      <w:divBdr>
        <w:top w:val="none" w:sz="0" w:space="0" w:color="auto"/>
        <w:left w:val="none" w:sz="0" w:space="0" w:color="auto"/>
        <w:bottom w:val="none" w:sz="0" w:space="0" w:color="auto"/>
        <w:right w:val="none" w:sz="0" w:space="0" w:color="auto"/>
      </w:divBdr>
    </w:div>
    <w:div w:id="466314527">
      <w:bodyDiv w:val="1"/>
      <w:marLeft w:val="0"/>
      <w:marRight w:val="0"/>
      <w:marTop w:val="0"/>
      <w:marBottom w:val="0"/>
      <w:divBdr>
        <w:top w:val="none" w:sz="0" w:space="0" w:color="auto"/>
        <w:left w:val="none" w:sz="0" w:space="0" w:color="auto"/>
        <w:bottom w:val="none" w:sz="0" w:space="0" w:color="auto"/>
        <w:right w:val="none" w:sz="0" w:space="0" w:color="auto"/>
      </w:divBdr>
    </w:div>
    <w:div w:id="169804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AA50E-92E8-4DCD-9A7C-FF7485C1D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TotalTime>
  <Pages>7</Pages>
  <Words>3254</Words>
  <Characters>17021</Characters>
  <Application>Microsoft Office Word</Application>
  <DocSecurity>0</DocSecurity>
  <Lines>250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Youde</dc:creator>
  <cp:keywords/>
  <dc:description/>
  <cp:lastModifiedBy>Matt Youde</cp:lastModifiedBy>
  <cp:revision>332</cp:revision>
  <dcterms:created xsi:type="dcterms:W3CDTF">2025-06-22T15:18:00Z</dcterms:created>
  <dcterms:modified xsi:type="dcterms:W3CDTF">2025-11-28T23:06:00Z</dcterms:modified>
</cp:coreProperties>
</file>