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B5997" w14:textId="77777777" w:rsidR="002D6B27" w:rsidRPr="00FF2C7B" w:rsidRDefault="002D6B27">
      <w:pPr>
        <w:pStyle w:val="Normal1"/>
        <w:jc w:val="center"/>
        <w:rPr>
          <w:b/>
          <w:bCs/>
          <w:sz w:val="30"/>
          <w:szCs w:val="30"/>
          <w:lang w:val="en-GB"/>
        </w:rPr>
      </w:pPr>
    </w:p>
    <w:p w14:paraId="5248CFC5" w14:textId="77777777" w:rsidR="002D6B27" w:rsidRPr="00FF2C7B" w:rsidRDefault="007A2B42">
      <w:pPr>
        <w:pStyle w:val="Normal1"/>
        <w:jc w:val="center"/>
        <w:rPr>
          <w:b/>
          <w:bCs/>
          <w:sz w:val="30"/>
          <w:szCs w:val="30"/>
          <w:lang w:val="en-GB"/>
        </w:rPr>
      </w:pPr>
      <w:r w:rsidRPr="00FF2C7B">
        <w:rPr>
          <w:b/>
          <w:bCs/>
          <w:noProof/>
          <w:sz w:val="30"/>
          <w:szCs w:val="30"/>
        </w:rPr>
        <w:drawing>
          <wp:inline distT="114300" distB="114300" distL="114300" distR="114300" wp14:anchorId="02B781BA" wp14:editId="54F85BE4">
            <wp:extent cx="2114550" cy="1057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6"/>
                    <a:srcRect/>
                    <a:stretch>
                      <a:fillRect/>
                    </a:stretch>
                  </pic:blipFill>
                  <pic:spPr>
                    <a:xfrm>
                      <a:off x="0" y="0"/>
                      <a:ext cx="2114550" cy="1057275"/>
                    </a:xfrm>
                    <a:prstGeom prst="rect">
                      <a:avLst/>
                    </a:prstGeom>
                  </pic:spPr>
                </pic:pic>
              </a:graphicData>
            </a:graphic>
          </wp:inline>
        </w:drawing>
      </w:r>
    </w:p>
    <w:p w14:paraId="4E579135" w14:textId="77777777" w:rsidR="002D6B27" w:rsidRPr="00FF2C7B" w:rsidRDefault="007A2B42">
      <w:pPr>
        <w:pStyle w:val="Normal1"/>
        <w:jc w:val="center"/>
        <w:rPr>
          <w:b/>
          <w:bCs/>
          <w:sz w:val="30"/>
          <w:szCs w:val="30"/>
          <w:lang w:val="en-GB"/>
        </w:rPr>
      </w:pPr>
      <w:r w:rsidRPr="00FF2C7B">
        <w:rPr>
          <w:b/>
          <w:bCs/>
          <w:sz w:val="30"/>
          <w:szCs w:val="30"/>
          <w:lang w:val="en-GB"/>
        </w:rPr>
        <w:t>Programme: Master of Business Administration</w:t>
      </w:r>
    </w:p>
    <w:p w14:paraId="106A7387" w14:textId="77777777" w:rsidR="002D6B27" w:rsidRPr="00FF2C7B" w:rsidRDefault="007A2B42">
      <w:pPr>
        <w:pStyle w:val="Normal1"/>
        <w:jc w:val="center"/>
        <w:rPr>
          <w:b/>
          <w:bCs/>
          <w:sz w:val="30"/>
          <w:szCs w:val="30"/>
          <w:lang w:val="en-GB"/>
        </w:rPr>
      </w:pPr>
      <w:r w:rsidRPr="00FF2C7B">
        <w:rPr>
          <w:b/>
          <w:bCs/>
          <w:sz w:val="30"/>
          <w:szCs w:val="30"/>
          <w:lang w:val="en-GB"/>
        </w:rPr>
        <w:t>Module: Marketing Management</w:t>
      </w:r>
    </w:p>
    <w:p w14:paraId="5EDEAA47" w14:textId="77777777" w:rsidR="002D6B27" w:rsidRPr="00FF2C7B" w:rsidRDefault="007A2B42">
      <w:pPr>
        <w:pStyle w:val="Normal1"/>
        <w:jc w:val="center"/>
        <w:rPr>
          <w:b/>
          <w:bCs/>
          <w:sz w:val="30"/>
          <w:szCs w:val="30"/>
          <w:lang w:val="en-GB"/>
        </w:rPr>
      </w:pPr>
      <w:r w:rsidRPr="00FF2C7B">
        <w:rPr>
          <w:b/>
          <w:bCs/>
          <w:sz w:val="30"/>
          <w:szCs w:val="30"/>
          <w:lang w:val="en-GB"/>
        </w:rPr>
        <w:t>Module code: LCMB7024</w:t>
      </w:r>
    </w:p>
    <w:p w14:paraId="1F375464" w14:textId="5FB86D1C" w:rsidR="002D6B27" w:rsidRPr="00FF2C7B" w:rsidRDefault="007A2B42">
      <w:pPr>
        <w:pStyle w:val="Normal1"/>
        <w:jc w:val="center"/>
        <w:rPr>
          <w:b/>
          <w:bCs/>
          <w:sz w:val="30"/>
          <w:szCs w:val="30"/>
          <w:lang w:val="en-GB"/>
        </w:rPr>
      </w:pPr>
      <w:r w:rsidRPr="00FF2C7B">
        <w:rPr>
          <w:b/>
          <w:bCs/>
          <w:sz w:val="30"/>
          <w:szCs w:val="30"/>
          <w:lang w:val="en-GB"/>
        </w:rPr>
        <w:t>Student no:</w:t>
      </w:r>
      <w:r w:rsidR="00572FDB">
        <w:rPr>
          <w:b/>
          <w:bCs/>
          <w:sz w:val="30"/>
          <w:szCs w:val="30"/>
          <w:lang w:val="en-GB"/>
        </w:rPr>
        <w:t>25</w:t>
      </w:r>
      <w:r w:rsidR="00F766A7">
        <w:rPr>
          <w:b/>
          <w:bCs/>
          <w:sz w:val="30"/>
          <w:szCs w:val="30"/>
          <w:lang w:val="en-GB"/>
        </w:rPr>
        <w:t>31</w:t>
      </w:r>
      <w:r w:rsidR="00572FDB">
        <w:rPr>
          <w:b/>
          <w:bCs/>
          <w:sz w:val="30"/>
          <w:szCs w:val="30"/>
          <w:lang w:val="en-GB"/>
        </w:rPr>
        <w:t>441</w:t>
      </w:r>
    </w:p>
    <w:p w14:paraId="28AD37B4" w14:textId="7B4B1433" w:rsidR="002D6B27" w:rsidRPr="00FF2C7B" w:rsidRDefault="007A2B42">
      <w:pPr>
        <w:pStyle w:val="Normal1"/>
        <w:jc w:val="center"/>
        <w:rPr>
          <w:b/>
          <w:bCs/>
          <w:sz w:val="30"/>
          <w:szCs w:val="30"/>
          <w:lang w:val="en-GB"/>
        </w:rPr>
      </w:pPr>
      <w:r w:rsidRPr="00FF2C7B">
        <w:rPr>
          <w:b/>
          <w:bCs/>
          <w:sz w:val="30"/>
          <w:szCs w:val="30"/>
          <w:lang w:val="en-GB"/>
        </w:rPr>
        <w:t>Student Name:</w:t>
      </w:r>
      <w:r w:rsidR="006F707E">
        <w:rPr>
          <w:b/>
          <w:bCs/>
          <w:sz w:val="30"/>
          <w:szCs w:val="30"/>
          <w:lang w:val="en-GB"/>
        </w:rPr>
        <w:t xml:space="preserve"> </w:t>
      </w:r>
      <w:proofErr w:type="spellStart"/>
      <w:r w:rsidR="006F707E">
        <w:rPr>
          <w:b/>
          <w:bCs/>
          <w:sz w:val="30"/>
          <w:szCs w:val="30"/>
          <w:lang w:val="en-GB"/>
        </w:rPr>
        <w:t>Rachitkumar</w:t>
      </w:r>
      <w:proofErr w:type="spellEnd"/>
      <w:r w:rsidR="006F707E">
        <w:rPr>
          <w:b/>
          <w:bCs/>
          <w:sz w:val="30"/>
          <w:szCs w:val="30"/>
          <w:lang w:val="en-GB"/>
        </w:rPr>
        <w:t xml:space="preserve"> </w:t>
      </w:r>
      <w:proofErr w:type="spellStart"/>
      <w:r w:rsidR="006F707E">
        <w:rPr>
          <w:b/>
          <w:bCs/>
          <w:sz w:val="30"/>
          <w:szCs w:val="30"/>
          <w:lang w:val="en-GB"/>
        </w:rPr>
        <w:t>Kalpeshbhai</w:t>
      </w:r>
      <w:proofErr w:type="spellEnd"/>
      <w:r w:rsidR="006F707E">
        <w:rPr>
          <w:b/>
          <w:bCs/>
          <w:sz w:val="30"/>
          <w:szCs w:val="30"/>
          <w:lang w:val="en-GB"/>
        </w:rPr>
        <w:t xml:space="preserve"> </w:t>
      </w:r>
      <w:proofErr w:type="spellStart"/>
      <w:r w:rsidR="006F707E">
        <w:rPr>
          <w:b/>
          <w:bCs/>
          <w:sz w:val="30"/>
          <w:szCs w:val="30"/>
          <w:lang w:val="en-GB"/>
        </w:rPr>
        <w:t>Barot</w:t>
      </w:r>
      <w:proofErr w:type="spellEnd"/>
      <w:r w:rsidR="006F707E">
        <w:rPr>
          <w:b/>
          <w:bCs/>
          <w:sz w:val="30"/>
          <w:szCs w:val="30"/>
          <w:lang w:val="en-GB"/>
        </w:rPr>
        <w:t xml:space="preserve"> </w:t>
      </w:r>
    </w:p>
    <w:p w14:paraId="39AACD33" w14:textId="77777777" w:rsidR="001608AA" w:rsidRDefault="007A2B42">
      <w:pPr>
        <w:pStyle w:val="Normal1"/>
        <w:jc w:val="center"/>
        <w:rPr>
          <w:b/>
          <w:bCs/>
          <w:sz w:val="30"/>
          <w:szCs w:val="30"/>
          <w:lang w:val="en-GB"/>
        </w:rPr>
      </w:pPr>
      <w:r w:rsidRPr="00FF2C7B">
        <w:rPr>
          <w:b/>
          <w:bCs/>
          <w:sz w:val="30"/>
          <w:szCs w:val="30"/>
          <w:lang w:val="en-GB"/>
        </w:rPr>
        <w:t>Word Count: 255</w:t>
      </w:r>
      <w:r w:rsidR="00FF2C7B">
        <w:rPr>
          <w:b/>
          <w:bCs/>
          <w:sz w:val="30"/>
          <w:szCs w:val="30"/>
          <w:lang w:val="en-GB"/>
        </w:rPr>
        <w:t>2</w:t>
      </w:r>
    </w:p>
    <w:p w14:paraId="4BD0DF54" w14:textId="231EAB01" w:rsidR="001608AA" w:rsidRDefault="001608AA" w:rsidP="001608AA">
      <w:pPr>
        <w:pStyle w:val="Normal1"/>
        <w:jc w:val="center"/>
        <w:rPr>
          <w:b/>
          <w:bCs/>
          <w:sz w:val="30"/>
          <w:szCs w:val="30"/>
          <w:lang w:val="en-GB"/>
        </w:rPr>
      </w:pPr>
      <w:r>
        <w:rPr>
          <w:b/>
          <w:bCs/>
          <w:sz w:val="30"/>
          <w:szCs w:val="30"/>
          <w:lang w:val="en-GB"/>
        </w:rPr>
        <w:t xml:space="preserve">Lecturer: </w:t>
      </w:r>
      <w:r w:rsidRPr="001608AA">
        <w:rPr>
          <w:b/>
          <w:bCs/>
          <w:sz w:val="30"/>
          <w:szCs w:val="30"/>
          <w:lang w:val="en-GB"/>
        </w:rPr>
        <w:t xml:space="preserve">Laila </w:t>
      </w:r>
      <w:proofErr w:type="spellStart"/>
      <w:r w:rsidRPr="001608AA">
        <w:rPr>
          <w:b/>
          <w:bCs/>
          <w:sz w:val="30"/>
          <w:szCs w:val="30"/>
          <w:lang w:val="en-GB"/>
        </w:rPr>
        <w:t>Maazouz</w:t>
      </w:r>
      <w:proofErr w:type="spellEnd"/>
      <w:r>
        <w:rPr>
          <w:b/>
          <w:bCs/>
          <w:sz w:val="30"/>
          <w:szCs w:val="30"/>
          <w:lang w:val="en-GB"/>
        </w:rPr>
        <w:t xml:space="preserve"> &amp; </w:t>
      </w:r>
      <w:r w:rsidRPr="001608AA">
        <w:rPr>
          <w:b/>
          <w:bCs/>
          <w:sz w:val="30"/>
          <w:szCs w:val="30"/>
          <w:lang w:val="en-GB"/>
        </w:rPr>
        <w:t xml:space="preserve">Dian </w:t>
      </w:r>
      <w:proofErr w:type="spellStart"/>
      <w:r w:rsidRPr="001608AA">
        <w:rPr>
          <w:b/>
          <w:bCs/>
          <w:sz w:val="30"/>
          <w:szCs w:val="30"/>
          <w:lang w:val="en-GB"/>
        </w:rPr>
        <w:t>Mayasari</w:t>
      </w:r>
      <w:proofErr w:type="spellEnd"/>
      <w:r>
        <w:rPr>
          <w:b/>
          <w:bCs/>
          <w:sz w:val="30"/>
          <w:szCs w:val="30"/>
          <w:lang w:val="en-GB"/>
        </w:rPr>
        <w:t xml:space="preserve"> </w:t>
      </w:r>
    </w:p>
    <w:p w14:paraId="183EB0C9" w14:textId="69ADCE51" w:rsidR="002D6B27" w:rsidRPr="00FF2C7B" w:rsidRDefault="007A2B42">
      <w:pPr>
        <w:pStyle w:val="Normal1"/>
        <w:jc w:val="center"/>
        <w:rPr>
          <w:b/>
          <w:bCs/>
          <w:sz w:val="30"/>
          <w:szCs w:val="30"/>
          <w:lang w:val="en-GB"/>
        </w:rPr>
      </w:pPr>
      <w:r w:rsidRPr="00FF2C7B">
        <w:rPr>
          <w:lang w:val="en-GB"/>
        </w:rPr>
        <w:br w:type="page"/>
      </w:r>
    </w:p>
    <w:p w14:paraId="3810D1EE" w14:textId="77777777" w:rsidR="002D6B27" w:rsidRPr="00FF2C7B" w:rsidRDefault="007A2B42">
      <w:pPr>
        <w:pStyle w:val="Normal1"/>
        <w:jc w:val="center"/>
        <w:rPr>
          <w:b/>
          <w:bCs/>
          <w:sz w:val="28"/>
          <w:szCs w:val="28"/>
          <w:lang w:val="en-GB"/>
        </w:rPr>
      </w:pPr>
      <w:r w:rsidRPr="00FF2C7B">
        <w:rPr>
          <w:b/>
          <w:bCs/>
          <w:sz w:val="28"/>
          <w:szCs w:val="28"/>
          <w:lang w:val="en-GB"/>
        </w:rPr>
        <w:lastRenderedPageBreak/>
        <w:t>Executive Summary</w:t>
      </w:r>
    </w:p>
    <w:p w14:paraId="7852792A" w14:textId="77777777" w:rsidR="002D6B27" w:rsidRPr="00FF2C7B" w:rsidRDefault="007A2B42">
      <w:pPr>
        <w:pStyle w:val="Normal1"/>
        <w:rPr>
          <w:lang w:val="en-GB"/>
        </w:rPr>
      </w:pPr>
      <w:r w:rsidRPr="00FF2C7B">
        <w:rPr>
          <w:lang w:val="en-GB"/>
        </w:rPr>
        <w:t>This report involves critical analysis of the role of the macro-environmental forces on strategic marketing decision-making in the global electric and hybrid vehicle industry. It is the comparison of two organisations that are in different strategic positions, the first one is Volkswagen as the pioneering organisation, and the second one is BYD Build Your Dreams as the follower. The report examines two major PESTLE forces that include government regulations and environmental policies and their expected effects on the two firms are assessed. It also compares the strategic response of each company through developed models and uses Porter's Generic Strategies on Volkswagen and Ansoff Growth Matrix to BYD and draws conclusions on competitive positioning and long term sustainability.</w:t>
      </w:r>
      <w:r w:rsidRPr="00FF2C7B">
        <w:rPr>
          <w:lang w:val="en-GB"/>
        </w:rPr>
        <w:br w:type="page"/>
      </w:r>
    </w:p>
    <w:p w14:paraId="0EFF3B12" w14:textId="77777777" w:rsidR="002D6B27" w:rsidRPr="00FF2C7B" w:rsidRDefault="007A2B42">
      <w:pPr>
        <w:pStyle w:val="Normal1"/>
        <w:jc w:val="center"/>
        <w:rPr>
          <w:b/>
          <w:bCs/>
          <w:sz w:val="28"/>
          <w:szCs w:val="28"/>
          <w:lang w:val="en-GB"/>
        </w:rPr>
      </w:pPr>
      <w:r w:rsidRPr="00FF2C7B">
        <w:rPr>
          <w:b/>
          <w:bCs/>
          <w:sz w:val="28"/>
          <w:szCs w:val="28"/>
          <w:lang w:val="en-GB"/>
        </w:rPr>
        <w:lastRenderedPageBreak/>
        <w:t>Table of Contents</w:t>
      </w:r>
    </w:p>
    <w:sdt>
      <w:sdtPr>
        <w:rPr>
          <w:lang w:val="en-GB"/>
        </w:rPr>
        <w:id w:val="-219467579"/>
        <w:docPartObj>
          <w:docPartGallery w:val="Table of Contents"/>
          <w:docPartUnique/>
        </w:docPartObj>
      </w:sdtPr>
      <w:sdtEndPr/>
      <w:sdtContent>
        <w:p w14:paraId="7089C9EC" w14:textId="77777777" w:rsidR="002D6B27" w:rsidRPr="00FF2C7B" w:rsidRDefault="00940913">
          <w:pPr>
            <w:pStyle w:val="TOC1"/>
            <w:tabs>
              <w:tab w:val="right" w:pos="9019"/>
            </w:tabs>
            <w:rPr>
              <w:lang w:val="en-GB"/>
            </w:rPr>
          </w:pPr>
          <w:r w:rsidRPr="00FF2C7B">
            <w:rPr>
              <w:lang w:val="en-GB"/>
            </w:rPr>
            <w:fldChar w:fldCharType="begin"/>
          </w:r>
          <w:r w:rsidR="007A2B42" w:rsidRPr="00FF2C7B">
            <w:rPr>
              <w:lang w:val="en-GB"/>
            </w:rPr>
            <w:instrText xml:space="preserve"> TOC \h \u \z \t "Heading 1,1,Heading 2,2,Heading 3,3,Heading 4,4,Heading 5,5,Heading 6,6,"</w:instrText>
          </w:r>
          <w:r w:rsidRPr="00FF2C7B">
            <w:rPr>
              <w:lang w:val="en-GB"/>
            </w:rPr>
            <w:fldChar w:fldCharType="separate"/>
          </w:r>
          <w:hyperlink w:anchor="_Toc224311990" w:history="1">
            <w:r w:rsidR="007A2B42" w:rsidRPr="00FF2C7B">
              <w:rPr>
                <w:rStyle w:val="Hyperlink"/>
                <w:lang w:val="en-GB"/>
              </w:rPr>
              <w:t>1.Introduction</w:t>
            </w:r>
            <w:r w:rsidR="007A2B42" w:rsidRPr="00FF2C7B">
              <w:rPr>
                <w:lang w:val="en-GB"/>
              </w:rPr>
              <w:tab/>
            </w:r>
            <w:r w:rsidRPr="00FF2C7B">
              <w:rPr>
                <w:lang w:val="en-GB"/>
              </w:rPr>
              <w:fldChar w:fldCharType="begin"/>
            </w:r>
            <w:r w:rsidR="007A2B42" w:rsidRPr="00FF2C7B">
              <w:rPr>
                <w:lang w:val="en-GB"/>
              </w:rPr>
              <w:instrText xml:space="preserve"> PAGEREF _Toc224311990 \h </w:instrText>
            </w:r>
            <w:r w:rsidRPr="00FF2C7B">
              <w:rPr>
                <w:lang w:val="en-GB"/>
              </w:rPr>
            </w:r>
            <w:r w:rsidRPr="00FF2C7B">
              <w:rPr>
                <w:lang w:val="en-GB"/>
              </w:rPr>
              <w:fldChar w:fldCharType="separate"/>
            </w:r>
            <w:r w:rsidR="007A2B42" w:rsidRPr="00FF2C7B">
              <w:rPr>
                <w:lang w:val="en-GB"/>
              </w:rPr>
              <w:t>3</w:t>
            </w:r>
            <w:r w:rsidRPr="00FF2C7B">
              <w:rPr>
                <w:lang w:val="en-GB"/>
              </w:rPr>
              <w:fldChar w:fldCharType="end"/>
            </w:r>
          </w:hyperlink>
        </w:p>
        <w:p w14:paraId="71145F43" w14:textId="77777777" w:rsidR="002D6B27" w:rsidRPr="00FF2C7B" w:rsidRDefault="007A2B42">
          <w:pPr>
            <w:pStyle w:val="TOC1"/>
            <w:tabs>
              <w:tab w:val="right" w:pos="9019"/>
            </w:tabs>
            <w:rPr>
              <w:lang w:val="en-GB"/>
            </w:rPr>
          </w:pPr>
          <w:hyperlink w:anchor="_Toc224311991" w:history="1">
            <w:r w:rsidRPr="00FF2C7B">
              <w:rPr>
                <w:rStyle w:val="Hyperlink"/>
                <w:lang w:val="en-GB"/>
              </w:rPr>
              <w:t>2. TASK 1: Critical analysis of the macro marketing environment</w:t>
            </w:r>
            <w:r w:rsidRPr="00FF2C7B">
              <w:rPr>
                <w:lang w:val="en-GB"/>
              </w:rPr>
              <w:tab/>
            </w:r>
            <w:r w:rsidR="00940913" w:rsidRPr="00FF2C7B">
              <w:rPr>
                <w:lang w:val="en-GB"/>
              </w:rPr>
              <w:fldChar w:fldCharType="begin"/>
            </w:r>
            <w:r w:rsidRPr="00FF2C7B">
              <w:rPr>
                <w:lang w:val="en-GB"/>
              </w:rPr>
              <w:instrText xml:space="preserve"> PAGEREF _Toc224311991 \h </w:instrText>
            </w:r>
            <w:r w:rsidR="00940913" w:rsidRPr="00FF2C7B">
              <w:rPr>
                <w:lang w:val="en-GB"/>
              </w:rPr>
            </w:r>
            <w:r w:rsidR="00940913" w:rsidRPr="00FF2C7B">
              <w:rPr>
                <w:lang w:val="en-GB"/>
              </w:rPr>
              <w:fldChar w:fldCharType="separate"/>
            </w:r>
            <w:r w:rsidRPr="00FF2C7B">
              <w:rPr>
                <w:lang w:val="en-GB"/>
              </w:rPr>
              <w:t>3</w:t>
            </w:r>
            <w:r w:rsidR="00940913" w:rsidRPr="00FF2C7B">
              <w:rPr>
                <w:lang w:val="en-GB"/>
              </w:rPr>
              <w:fldChar w:fldCharType="end"/>
            </w:r>
          </w:hyperlink>
        </w:p>
        <w:p w14:paraId="35978959" w14:textId="77777777" w:rsidR="002D6B27" w:rsidRPr="00FF2C7B" w:rsidRDefault="007A2B42">
          <w:pPr>
            <w:pStyle w:val="TOC2"/>
            <w:tabs>
              <w:tab w:val="right" w:pos="9019"/>
            </w:tabs>
            <w:rPr>
              <w:lang w:val="en-GB"/>
            </w:rPr>
          </w:pPr>
          <w:hyperlink w:anchor="_Toc224311992" w:history="1">
            <w:r w:rsidRPr="00FF2C7B">
              <w:rPr>
                <w:rStyle w:val="Hyperlink"/>
                <w:lang w:val="en-GB"/>
              </w:rPr>
              <w:t>2.1 Macro Marketing Environment</w:t>
            </w:r>
            <w:r w:rsidRPr="00FF2C7B">
              <w:rPr>
                <w:lang w:val="en-GB"/>
              </w:rPr>
              <w:tab/>
            </w:r>
            <w:r w:rsidR="00940913" w:rsidRPr="00FF2C7B">
              <w:rPr>
                <w:lang w:val="en-GB"/>
              </w:rPr>
              <w:fldChar w:fldCharType="begin"/>
            </w:r>
            <w:r w:rsidRPr="00FF2C7B">
              <w:rPr>
                <w:lang w:val="en-GB"/>
              </w:rPr>
              <w:instrText xml:space="preserve"> PAGEREF _Toc224311992 \h </w:instrText>
            </w:r>
            <w:r w:rsidR="00940913" w:rsidRPr="00FF2C7B">
              <w:rPr>
                <w:lang w:val="en-GB"/>
              </w:rPr>
            </w:r>
            <w:r w:rsidR="00940913" w:rsidRPr="00FF2C7B">
              <w:rPr>
                <w:lang w:val="en-GB"/>
              </w:rPr>
              <w:fldChar w:fldCharType="separate"/>
            </w:r>
            <w:r w:rsidRPr="00FF2C7B">
              <w:rPr>
                <w:lang w:val="en-GB"/>
              </w:rPr>
              <w:t>3</w:t>
            </w:r>
            <w:r w:rsidR="00940913" w:rsidRPr="00FF2C7B">
              <w:rPr>
                <w:lang w:val="en-GB"/>
              </w:rPr>
              <w:fldChar w:fldCharType="end"/>
            </w:r>
          </w:hyperlink>
        </w:p>
        <w:p w14:paraId="117CE67D" w14:textId="77777777" w:rsidR="002D6B27" w:rsidRPr="00FF2C7B" w:rsidRDefault="007A2B42">
          <w:pPr>
            <w:pStyle w:val="TOC3"/>
            <w:tabs>
              <w:tab w:val="right" w:pos="9019"/>
            </w:tabs>
            <w:rPr>
              <w:lang w:val="en-GB"/>
            </w:rPr>
          </w:pPr>
          <w:hyperlink w:anchor="_Toc224311993" w:history="1">
            <w:r w:rsidRPr="00FF2C7B">
              <w:rPr>
                <w:rStyle w:val="Hyperlink"/>
                <w:lang w:val="en-GB"/>
              </w:rPr>
              <w:t>2.2 Macro Factor 1 Government Regulations and environmental policies.</w:t>
            </w:r>
            <w:r w:rsidRPr="00FF2C7B">
              <w:rPr>
                <w:lang w:val="en-GB"/>
              </w:rPr>
              <w:tab/>
            </w:r>
            <w:r w:rsidR="00940913" w:rsidRPr="00FF2C7B">
              <w:rPr>
                <w:lang w:val="en-GB"/>
              </w:rPr>
              <w:fldChar w:fldCharType="begin"/>
            </w:r>
            <w:r w:rsidRPr="00FF2C7B">
              <w:rPr>
                <w:lang w:val="en-GB"/>
              </w:rPr>
              <w:instrText xml:space="preserve"> PAGEREF _Toc224311993 \h </w:instrText>
            </w:r>
            <w:r w:rsidR="00940913" w:rsidRPr="00FF2C7B">
              <w:rPr>
                <w:lang w:val="en-GB"/>
              </w:rPr>
            </w:r>
            <w:r w:rsidR="00940913" w:rsidRPr="00FF2C7B">
              <w:rPr>
                <w:lang w:val="en-GB"/>
              </w:rPr>
              <w:fldChar w:fldCharType="separate"/>
            </w:r>
            <w:r w:rsidRPr="00FF2C7B">
              <w:rPr>
                <w:lang w:val="en-GB"/>
              </w:rPr>
              <w:t>5</w:t>
            </w:r>
            <w:r w:rsidR="00940913" w:rsidRPr="00FF2C7B">
              <w:rPr>
                <w:lang w:val="en-GB"/>
              </w:rPr>
              <w:fldChar w:fldCharType="end"/>
            </w:r>
          </w:hyperlink>
        </w:p>
        <w:p w14:paraId="7FA30400" w14:textId="77777777" w:rsidR="002D6B27" w:rsidRPr="00FF2C7B" w:rsidRDefault="007A2B42">
          <w:pPr>
            <w:pStyle w:val="TOC3"/>
            <w:tabs>
              <w:tab w:val="right" w:pos="9019"/>
            </w:tabs>
            <w:rPr>
              <w:lang w:val="en-GB"/>
            </w:rPr>
          </w:pPr>
          <w:hyperlink w:anchor="_Toc224311994" w:history="1">
            <w:r w:rsidRPr="00FF2C7B">
              <w:rPr>
                <w:rStyle w:val="Hyperlink"/>
                <w:lang w:val="en-GB"/>
              </w:rPr>
              <w:t>2.2.1 Implication on the Pioneer Organisation Volkswagen</w:t>
            </w:r>
            <w:r w:rsidRPr="00FF2C7B">
              <w:rPr>
                <w:lang w:val="en-GB"/>
              </w:rPr>
              <w:tab/>
            </w:r>
            <w:r w:rsidR="00940913" w:rsidRPr="00FF2C7B">
              <w:rPr>
                <w:lang w:val="en-GB"/>
              </w:rPr>
              <w:fldChar w:fldCharType="begin"/>
            </w:r>
            <w:r w:rsidRPr="00FF2C7B">
              <w:rPr>
                <w:lang w:val="en-GB"/>
              </w:rPr>
              <w:instrText xml:space="preserve"> PAGEREF _Toc224311994 \h </w:instrText>
            </w:r>
            <w:r w:rsidR="00940913" w:rsidRPr="00FF2C7B">
              <w:rPr>
                <w:lang w:val="en-GB"/>
              </w:rPr>
            </w:r>
            <w:r w:rsidR="00940913" w:rsidRPr="00FF2C7B">
              <w:rPr>
                <w:lang w:val="en-GB"/>
              </w:rPr>
              <w:fldChar w:fldCharType="separate"/>
            </w:r>
            <w:r w:rsidRPr="00FF2C7B">
              <w:rPr>
                <w:lang w:val="en-GB"/>
              </w:rPr>
              <w:t>5</w:t>
            </w:r>
            <w:r w:rsidR="00940913" w:rsidRPr="00FF2C7B">
              <w:rPr>
                <w:lang w:val="en-GB"/>
              </w:rPr>
              <w:fldChar w:fldCharType="end"/>
            </w:r>
          </w:hyperlink>
        </w:p>
        <w:p w14:paraId="2BDD75DA" w14:textId="77777777" w:rsidR="002D6B27" w:rsidRPr="00FF2C7B" w:rsidRDefault="007A2B42">
          <w:pPr>
            <w:pStyle w:val="TOC3"/>
            <w:tabs>
              <w:tab w:val="right" w:pos="9019"/>
            </w:tabs>
            <w:rPr>
              <w:lang w:val="en-GB"/>
            </w:rPr>
          </w:pPr>
          <w:hyperlink w:anchor="_Toc224311995" w:history="1">
            <w:r w:rsidRPr="00FF2C7B">
              <w:rPr>
                <w:rStyle w:val="Hyperlink"/>
                <w:lang w:val="en-GB"/>
              </w:rPr>
              <w:t>2.2.2 Effect on the Follower Organisation - BYD</w:t>
            </w:r>
            <w:r w:rsidRPr="00FF2C7B">
              <w:rPr>
                <w:lang w:val="en-GB"/>
              </w:rPr>
              <w:tab/>
            </w:r>
            <w:r w:rsidR="00940913" w:rsidRPr="00FF2C7B">
              <w:rPr>
                <w:lang w:val="en-GB"/>
              </w:rPr>
              <w:fldChar w:fldCharType="begin"/>
            </w:r>
            <w:r w:rsidRPr="00FF2C7B">
              <w:rPr>
                <w:lang w:val="en-GB"/>
              </w:rPr>
              <w:instrText xml:space="preserve"> PAGEREF _Toc224311995 \h </w:instrText>
            </w:r>
            <w:r w:rsidR="00940913" w:rsidRPr="00FF2C7B">
              <w:rPr>
                <w:lang w:val="en-GB"/>
              </w:rPr>
            </w:r>
            <w:r w:rsidR="00940913" w:rsidRPr="00FF2C7B">
              <w:rPr>
                <w:lang w:val="en-GB"/>
              </w:rPr>
              <w:fldChar w:fldCharType="separate"/>
            </w:r>
            <w:r w:rsidRPr="00FF2C7B">
              <w:rPr>
                <w:lang w:val="en-GB"/>
              </w:rPr>
              <w:t>6</w:t>
            </w:r>
            <w:r w:rsidR="00940913" w:rsidRPr="00FF2C7B">
              <w:rPr>
                <w:lang w:val="en-GB"/>
              </w:rPr>
              <w:fldChar w:fldCharType="end"/>
            </w:r>
          </w:hyperlink>
        </w:p>
        <w:p w14:paraId="69FEFDCA" w14:textId="77777777" w:rsidR="002D6B27" w:rsidRPr="00FF2C7B" w:rsidRDefault="007A2B42">
          <w:pPr>
            <w:pStyle w:val="TOC2"/>
            <w:tabs>
              <w:tab w:val="right" w:pos="9019"/>
            </w:tabs>
            <w:rPr>
              <w:lang w:val="en-GB"/>
            </w:rPr>
          </w:pPr>
          <w:hyperlink w:anchor="_Toc224311996" w:history="1">
            <w:r w:rsidRPr="00FF2C7B">
              <w:rPr>
                <w:rStyle w:val="Hyperlink"/>
                <w:lang w:val="en-GB"/>
              </w:rPr>
              <w:t>2.3 Macro Factor 2: Technological Innovation</w:t>
            </w:r>
            <w:r w:rsidRPr="00FF2C7B">
              <w:rPr>
                <w:lang w:val="en-GB"/>
              </w:rPr>
              <w:tab/>
            </w:r>
            <w:r w:rsidR="00940913" w:rsidRPr="00FF2C7B">
              <w:rPr>
                <w:lang w:val="en-GB"/>
              </w:rPr>
              <w:fldChar w:fldCharType="begin"/>
            </w:r>
            <w:r w:rsidRPr="00FF2C7B">
              <w:rPr>
                <w:lang w:val="en-GB"/>
              </w:rPr>
              <w:instrText xml:space="preserve"> PAGEREF _Toc224311996 \h </w:instrText>
            </w:r>
            <w:r w:rsidR="00940913" w:rsidRPr="00FF2C7B">
              <w:rPr>
                <w:lang w:val="en-GB"/>
              </w:rPr>
            </w:r>
            <w:r w:rsidR="00940913" w:rsidRPr="00FF2C7B">
              <w:rPr>
                <w:lang w:val="en-GB"/>
              </w:rPr>
              <w:fldChar w:fldCharType="separate"/>
            </w:r>
            <w:r w:rsidRPr="00FF2C7B">
              <w:rPr>
                <w:lang w:val="en-GB"/>
              </w:rPr>
              <w:t>6</w:t>
            </w:r>
            <w:r w:rsidR="00940913" w:rsidRPr="00FF2C7B">
              <w:rPr>
                <w:lang w:val="en-GB"/>
              </w:rPr>
              <w:fldChar w:fldCharType="end"/>
            </w:r>
          </w:hyperlink>
        </w:p>
        <w:p w14:paraId="765B272A" w14:textId="77777777" w:rsidR="002D6B27" w:rsidRPr="00FF2C7B" w:rsidRDefault="007A2B42">
          <w:pPr>
            <w:pStyle w:val="TOC3"/>
            <w:tabs>
              <w:tab w:val="right" w:pos="9019"/>
            </w:tabs>
            <w:rPr>
              <w:lang w:val="en-GB"/>
            </w:rPr>
          </w:pPr>
          <w:hyperlink w:anchor="_Toc224311997" w:history="1">
            <w:r w:rsidRPr="00FF2C7B">
              <w:rPr>
                <w:rStyle w:val="Hyperlink"/>
                <w:lang w:val="en-GB"/>
              </w:rPr>
              <w:t>2.3.2 Impact on the pioneer organisation Volkswagen</w:t>
            </w:r>
            <w:r w:rsidRPr="00FF2C7B">
              <w:rPr>
                <w:lang w:val="en-GB"/>
              </w:rPr>
              <w:tab/>
            </w:r>
            <w:r w:rsidR="00940913" w:rsidRPr="00FF2C7B">
              <w:rPr>
                <w:lang w:val="en-GB"/>
              </w:rPr>
              <w:fldChar w:fldCharType="begin"/>
            </w:r>
            <w:r w:rsidRPr="00FF2C7B">
              <w:rPr>
                <w:lang w:val="en-GB"/>
              </w:rPr>
              <w:instrText xml:space="preserve"> PAGEREF _Toc224311997 \h </w:instrText>
            </w:r>
            <w:r w:rsidR="00940913" w:rsidRPr="00FF2C7B">
              <w:rPr>
                <w:lang w:val="en-GB"/>
              </w:rPr>
            </w:r>
            <w:r w:rsidR="00940913" w:rsidRPr="00FF2C7B">
              <w:rPr>
                <w:lang w:val="en-GB"/>
              </w:rPr>
              <w:fldChar w:fldCharType="separate"/>
            </w:r>
            <w:r w:rsidRPr="00FF2C7B">
              <w:rPr>
                <w:lang w:val="en-GB"/>
              </w:rPr>
              <w:t>6</w:t>
            </w:r>
            <w:r w:rsidR="00940913" w:rsidRPr="00FF2C7B">
              <w:rPr>
                <w:lang w:val="en-GB"/>
              </w:rPr>
              <w:fldChar w:fldCharType="end"/>
            </w:r>
          </w:hyperlink>
        </w:p>
        <w:p w14:paraId="21FA6EF8" w14:textId="77777777" w:rsidR="002D6B27" w:rsidRPr="00FF2C7B" w:rsidRDefault="007A2B42">
          <w:pPr>
            <w:pStyle w:val="TOC3"/>
            <w:tabs>
              <w:tab w:val="right" w:pos="9019"/>
            </w:tabs>
            <w:rPr>
              <w:lang w:val="en-GB"/>
            </w:rPr>
          </w:pPr>
          <w:hyperlink w:anchor="_Toc224311998" w:history="1">
            <w:r w:rsidRPr="00FF2C7B">
              <w:rPr>
                <w:rStyle w:val="Hyperlink"/>
                <w:lang w:val="en-GB"/>
              </w:rPr>
              <w:t>2.3.2 Implications on the Follower Organisation BYD</w:t>
            </w:r>
            <w:r w:rsidRPr="00FF2C7B">
              <w:rPr>
                <w:lang w:val="en-GB"/>
              </w:rPr>
              <w:tab/>
            </w:r>
            <w:r w:rsidR="00940913" w:rsidRPr="00FF2C7B">
              <w:rPr>
                <w:lang w:val="en-GB"/>
              </w:rPr>
              <w:fldChar w:fldCharType="begin"/>
            </w:r>
            <w:r w:rsidRPr="00FF2C7B">
              <w:rPr>
                <w:lang w:val="en-GB"/>
              </w:rPr>
              <w:instrText xml:space="preserve"> PAGEREF _Toc224311998 \h </w:instrText>
            </w:r>
            <w:r w:rsidR="00940913" w:rsidRPr="00FF2C7B">
              <w:rPr>
                <w:lang w:val="en-GB"/>
              </w:rPr>
            </w:r>
            <w:r w:rsidR="00940913" w:rsidRPr="00FF2C7B">
              <w:rPr>
                <w:lang w:val="en-GB"/>
              </w:rPr>
              <w:fldChar w:fldCharType="separate"/>
            </w:r>
            <w:r w:rsidRPr="00FF2C7B">
              <w:rPr>
                <w:lang w:val="en-GB"/>
              </w:rPr>
              <w:t>7</w:t>
            </w:r>
            <w:r w:rsidR="00940913" w:rsidRPr="00FF2C7B">
              <w:rPr>
                <w:lang w:val="en-GB"/>
              </w:rPr>
              <w:fldChar w:fldCharType="end"/>
            </w:r>
          </w:hyperlink>
        </w:p>
        <w:p w14:paraId="1F7FEB8D" w14:textId="77777777" w:rsidR="002D6B27" w:rsidRPr="00FF2C7B" w:rsidRDefault="007A2B42">
          <w:pPr>
            <w:pStyle w:val="TOC1"/>
            <w:tabs>
              <w:tab w:val="right" w:pos="9019"/>
            </w:tabs>
            <w:rPr>
              <w:lang w:val="en-GB"/>
            </w:rPr>
          </w:pPr>
          <w:hyperlink w:anchor="_Toc224311999" w:history="1">
            <w:r w:rsidRPr="00FF2C7B">
              <w:rPr>
                <w:rStyle w:val="Hyperlink"/>
                <w:lang w:val="en-GB"/>
              </w:rPr>
              <w:t>3. Task 2: Strategic Responses of Pioneering and Follower Organisations</w:t>
            </w:r>
            <w:r w:rsidRPr="00FF2C7B">
              <w:rPr>
                <w:lang w:val="en-GB"/>
              </w:rPr>
              <w:tab/>
            </w:r>
            <w:r w:rsidR="00940913" w:rsidRPr="00FF2C7B">
              <w:rPr>
                <w:lang w:val="en-GB"/>
              </w:rPr>
              <w:fldChar w:fldCharType="begin"/>
            </w:r>
            <w:r w:rsidRPr="00FF2C7B">
              <w:rPr>
                <w:lang w:val="en-GB"/>
              </w:rPr>
              <w:instrText xml:space="preserve"> PAGEREF _Toc224311999 \h </w:instrText>
            </w:r>
            <w:r w:rsidR="00940913" w:rsidRPr="00FF2C7B">
              <w:rPr>
                <w:lang w:val="en-GB"/>
              </w:rPr>
            </w:r>
            <w:r w:rsidR="00940913" w:rsidRPr="00FF2C7B">
              <w:rPr>
                <w:lang w:val="en-GB"/>
              </w:rPr>
              <w:fldChar w:fldCharType="separate"/>
            </w:r>
            <w:r w:rsidRPr="00FF2C7B">
              <w:rPr>
                <w:lang w:val="en-GB"/>
              </w:rPr>
              <w:t>8</w:t>
            </w:r>
            <w:r w:rsidR="00940913" w:rsidRPr="00FF2C7B">
              <w:rPr>
                <w:lang w:val="en-GB"/>
              </w:rPr>
              <w:fldChar w:fldCharType="end"/>
            </w:r>
          </w:hyperlink>
        </w:p>
        <w:p w14:paraId="097C3055" w14:textId="77777777" w:rsidR="002D6B27" w:rsidRPr="00FF2C7B" w:rsidRDefault="007A2B42">
          <w:pPr>
            <w:pStyle w:val="TOC2"/>
            <w:tabs>
              <w:tab w:val="right" w:pos="9019"/>
            </w:tabs>
            <w:rPr>
              <w:lang w:val="en-GB"/>
            </w:rPr>
          </w:pPr>
          <w:hyperlink w:anchor="_Toc224312000" w:history="1">
            <w:r w:rsidRPr="00FF2C7B">
              <w:rPr>
                <w:rStyle w:val="Hyperlink"/>
                <w:lang w:val="en-GB"/>
              </w:rPr>
              <w:t>3.1 Strategic Responses in Pioneering Organisation - Volkswagen</w:t>
            </w:r>
            <w:r w:rsidRPr="00FF2C7B">
              <w:rPr>
                <w:lang w:val="en-GB"/>
              </w:rPr>
              <w:tab/>
            </w:r>
            <w:r w:rsidR="00940913" w:rsidRPr="00FF2C7B">
              <w:rPr>
                <w:lang w:val="en-GB"/>
              </w:rPr>
              <w:fldChar w:fldCharType="begin"/>
            </w:r>
            <w:r w:rsidRPr="00FF2C7B">
              <w:rPr>
                <w:lang w:val="en-GB"/>
              </w:rPr>
              <w:instrText xml:space="preserve"> PAGEREF _Toc224312000 \h </w:instrText>
            </w:r>
            <w:r w:rsidR="00940913" w:rsidRPr="00FF2C7B">
              <w:rPr>
                <w:lang w:val="en-GB"/>
              </w:rPr>
            </w:r>
            <w:r w:rsidR="00940913" w:rsidRPr="00FF2C7B">
              <w:rPr>
                <w:lang w:val="en-GB"/>
              </w:rPr>
              <w:fldChar w:fldCharType="separate"/>
            </w:r>
            <w:r w:rsidRPr="00FF2C7B">
              <w:rPr>
                <w:lang w:val="en-GB"/>
              </w:rPr>
              <w:t>8</w:t>
            </w:r>
            <w:r w:rsidR="00940913" w:rsidRPr="00FF2C7B">
              <w:rPr>
                <w:lang w:val="en-GB"/>
              </w:rPr>
              <w:fldChar w:fldCharType="end"/>
            </w:r>
          </w:hyperlink>
        </w:p>
        <w:p w14:paraId="7C56D184" w14:textId="77777777" w:rsidR="002D6B27" w:rsidRPr="00FF2C7B" w:rsidRDefault="007A2B42">
          <w:pPr>
            <w:pStyle w:val="TOC2"/>
            <w:tabs>
              <w:tab w:val="right" w:pos="9019"/>
            </w:tabs>
            <w:rPr>
              <w:lang w:val="en-GB"/>
            </w:rPr>
          </w:pPr>
          <w:hyperlink w:anchor="_Toc224312001" w:history="1">
            <w:r w:rsidRPr="00FF2C7B">
              <w:rPr>
                <w:rStyle w:val="Hyperlink"/>
                <w:lang w:val="en-GB"/>
              </w:rPr>
              <w:t>3.2 Pioneering organisation’s strategic responses</w:t>
            </w:r>
            <w:r w:rsidRPr="00FF2C7B">
              <w:rPr>
                <w:lang w:val="en-GB"/>
              </w:rPr>
              <w:tab/>
            </w:r>
            <w:r w:rsidR="00940913" w:rsidRPr="00FF2C7B">
              <w:rPr>
                <w:lang w:val="en-GB"/>
              </w:rPr>
              <w:fldChar w:fldCharType="begin"/>
            </w:r>
            <w:r w:rsidRPr="00FF2C7B">
              <w:rPr>
                <w:lang w:val="en-GB"/>
              </w:rPr>
              <w:instrText xml:space="preserve"> PAGEREF _Toc224312001 \h </w:instrText>
            </w:r>
            <w:r w:rsidR="00940913" w:rsidRPr="00FF2C7B">
              <w:rPr>
                <w:lang w:val="en-GB"/>
              </w:rPr>
            </w:r>
            <w:r w:rsidR="00940913" w:rsidRPr="00FF2C7B">
              <w:rPr>
                <w:lang w:val="en-GB"/>
              </w:rPr>
              <w:fldChar w:fldCharType="separate"/>
            </w:r>
            <w:r w:rsidRPr="00FF2C7B">
              <w:rPr>
                <w:lang w:val="en-GB"/>
              </w:rPr>
              <w:t>9</w:t>
            </w:r>
            <w:r w:rsidR="00940913" w:rsidRPr="00FF2C7B">
              <w:rPr>
                <w:lang w:val="en-GB"/>
              </w:rPr>
              <w:fldChar w:fldCharType="end"/>
            </w:r>
          </w:hyperlink>
        </w:p>
        <w:p w14:paraId="29B0AE57" w14:textId="77777777" w:rsidR="002D6B27" w:rsidRPr="00FF2C7B" w:rsidRDefault="007A2B42">
          <w:pPr>
            <w:pStyle w:val="TOC1"/>
            <w:tabs>
              <w:tab w:val="right" w:pos="9019"/>
            </w:tabs>
            <w:rPr>
              <w:lang w:val="en-GB"/>
            </w:rPr>
          </w:pPr>
          <w:hyperlink w:anchor="_Toc224312002" w:history="1">
            <w:r w:rsidRPr="00FF2C7B">
              <w:rPr>
                <w:rStyle w:val="Hyperlink"/>
                <w:lang w:val="en-GB"/>
              </w:rPr>
              <w:t>4.Conclusion</w:t>
            </w:r>
            <w:r w:rsidRPr="00FF2C7B">
              <w:rPr>
                <w:lang w:val="en-GB"/>
              </w:rPr>
              <w:tab/>
            </w:r>
            <w:r w:rsidR="00940913" w:rsidRPr="00FF2C7B">
              <w:rPr>
                <w:lang w:val="en-GB"/>
              </w:rPr>
              <w:fldChar w:fldCharType="begin"/>
            </w:r>
            <w:r w:rsidRPr="00FF2C7B">
              <w:rPr>
                <w:lang w:val="en-GB"/>
              </w:rPr>
              <w:instrText xml:space="preserve"> PAGEREF _Toc224312002 \h </w:instrText>
            </w:r>
            <w:r w:rsidR="00940913" w:rsidRPr="00FF2C7B">
              <w:rPr>
                <w:lang w:val="en-GB"/>
              </w:rPr>
            </w:r>
            <w:r w:rsidR="00940913" w:rsidRPr="00FF2C7B">
              <w:rPr>
                <w:lang w:val="en-GB"/>
              </w:rPr>
              <w:fldChar w:fldCharType="separate"/>
            </w:r>
            <w:r w:rsidRPr="00FF2C7B">
              <w:rPr>
                <w:lang w:val="en-GB"/>
              </w:rPr>
              <w:t>12</w:t>
            </w:r>
            <w:r w:rsidR="00940913" w:rsidRPr="00FF2C7B">
              <w:rPr>
                <w:lang w:val="en-GB"/>
              </w:rPr>
              <w:fldChar w:fldCharType="end"/>
            </w:r>
          </w:hyperlink>
        </w:p>
        <w:p w14:paraId="7A1CFCF8" w14:textId="77777777" w:rsidR="002D6B27" w:rsidRPr="00FF2C7B" w:rsidRDefault="007A2B42">
          <w:pPr>
            <w:pStyle w:val="TOC1"/>
            <w:tabs>
              <w:tab w:val="right" w:pos="9019"/>
            </w:tabs>
            <w:rPr>
              <w:lang w:val="en-GB"/>
            </w:rPr>
          </w:pPr>
          <w:hyperlink w:anchor="_Toc224312003" w:history="1">
            <w:r w:rsidRPr="00FF2C7B">
              <w:rPr>
                <w:rStyle w:val="Hyperlink"/>
                <w:lang w:val="en-GB"/>
              </w:rPr>
              <w:t>Reference list</w:t>
            </w:r>
            <w:r w:rsidRPr="00FF2C7B">
              <w:rPr>
                <w:lang w:val="en-GB"/>
              </w:rPr>
              <w:tab/>
            </w:r>
            <w:r w:rsidR="00940913" w:rsidRPr="00FF2C7B">
              <w:rPr>
                <w:lang w:val="en-GB"/>
              </w:rPr>
              <w:fldChar w:fldCharType="begin"/>
            </w:r>
            <w:r w:rsidRPr="00FF2C7B">
              <w:rPr>
                <w:lang w:val="en-GB"/>
              </w:rPr>
              <w:instrText xml:space="preserve"> PAGEREF _Toc224312003 \h </w:instrText>
            </w:r>
            <w:r w:rsidR="00940913" w:rsidRPr="00FF2C7B">
              <w:rPr>
                <w:lang w:val="en-GB"/>
              </w:rPr>
            </w:r>
            <w:r w:rsidR="00940913" w:rsidRPr="00FF2C7B">
              <w:rPr>
                <w:lang w:val="en-GB"/>
              </w:rPr>
              <w:fldChar w:fldCharType="separate"/>
            </w:r>
            <w:r w:rsidRPr="00FF2C7B">
              <w:rPr>
                <w:lang w:val="en-GB"/>
              </w:rPr>
              <w:t>13</w:t>
            </w:r>
            <w:r w:rsidR="00940913" w:rsidRPr="00FF2C7B">
              <w:rPr>
                <w:lang w:val="en-GB"/>
              </w:rPr>
              <w:fldChar w:fldCharType="end"/>
            </w:r>
          </w:hyperlink>
        </w:p>
        <w:p w14:paraId="4521AD3B" w14:textId="77777777" w:rsidR="002D6B27" w:rsidRPr="00FF2C7B" w:rsidRDefault="007A2B42">
          <w:pPr>
            <w:pStyle w:val="TOC1"/>
            <w:tabs>
              <w:tab w:val="right" w:pos="9019"/>
            </w:tabs>
            <w:rPr>
              <w:lang w:val="en-GB"/>
            </w:rPr>
          </w:pPr>
          <w:hyperlink w:anchor="_Toc224312004" w:history="1">
            <w:r w:rsidRPr="00FF2C7B">
              <w:rPr>
                <w:rStyle w:val="Hyperlink"/>
                <w:lang w:val="en-GB"/>
              </w:rPr>
              <w:t>Appendices</w:t>
            </w:r>
            <w:r w:rsidRPr="00FF2C7B">
              <w:rPr>
                <w:lang w:val="en-GB"/>
              </w:rPr>
              <w:tab/>
            </w:r>
            <w:r w:rsidR="00940913" w:rsidRPr="00FF2C7B">
              <w:rPr>
                <w:lang w:val="en-GB"/>
              </w:rPr>
              <w:fldChar w:fldCharType="begin"/>
            </w:r>
            <w:r w:rsidRPr="00FF2C7B">
              <w:rPr>
                <w:lang w:val="en-GB"/>
              </w:rPr>
              <w:instrText xml:space="preserve"> PAGEREF _Toc224312004 \h </w:instrText>
            </w:r>
            <w:r w:rsidR="00940913" w:rsidRPr="00FF2C7B">
              <w:rPr>
                <w:lang w:val="en-GB"/>
              </w:rPr>
            </w:r>
            <w:r w:rsidR="00940913" w:rsidRPr="00FF2C7B">
              <w:rPr>
                <w:lang w:val="en-GB"/>
              </w:rPr>
              <w:fldChar w:fldCharType="separate"/>
            </w:r>
            <w:r w:rsidRPr="00FF2C7B">
              <w:rPr>
                <w:lang w:val="en-GB"/>
              </w:rPr>
              <w:t>15</w:t>
            </w:r>
            <w:r w:rsidR="00940913" w:rsidRPr="00FF2C7B">
              <w:rPr>
                <w:lang w:val="en-GB"/>
              </w:rPr>
              <w:fldChar w:fldCharType="end"/>
            </w:r>
          </w:hyperlink>
        </w:p>
        <w:p w14:paraId="37FF8315" w14:textId="77777777" w:rsidR="002D6B27" w:rsidRPr="00FF2C7B" w:rsidRDefault="007A2B42">
          <w:pPr>
            <w:pStyle w:val="TOC2"/>
            <w:tabs>
              <w:tab w:val="right" w:pos="9019"/>
            </w:tabs>
            <w:rPr>
              <w:lang w:val="en-GB"/>
            </w:rPr>
          </w:pPr>
          <w:hyperlink w:anchor="_Toc224312005" w:history="1">
            <w:r w:rsidRPr="00FF2C7B">
              <w:rPr>
                <w:rStyle w:val="Hyperlink"/>
                <w:lang w:val="en-GB"/>
              </w:rPr>
              <w:t>Appendix 1: Growth of automotive industry</w:t>
            </w:r>
            <w:r w:rsidRPr="00FF2C7B">
              <w:rPr>
                <w:lang w:val="en-GB"/>
              </w:rPr>
              <w:tab/>
            </w:r>
            <w:r w:rsidR="00940913" w:rsidRPr="00FF2C7B">
              <w:rPr>
                <w:lang w:val="en-GB"/>
              </w:rPr>
              <w:fldChar w:fldCharType="begin"/>
            </w:r>
            <w:r w:rsidRPr="00FF2C7B">
              <w:rPr>
                <w:lang w:val="en-GB"/>
              </w:rPr>
              <w:instrText xml:space="preserve"> PAGEREF _Toc224312005 \h </w:instrText>
            </w:r>
            <w:r w:rsidR="00940913" w:rsidRPr="00FF2C7B">
              <w:rPr>
                <w:lang w:val="en-GB"/>
              </w:rPr>
            </w:r>
            <w:r w:rsidR="00940913" w:rsidRPr="00FF2C7B">
              <w:rPr>
                <w:lang w:val="en-GB"/>
              </w:rPr>
              <w:fldChar w:fldCharType="separate"/>
            </w:r>
            <w:r w:rsidRPr="00FF2C7B">
              <w:rPr>
                <w:lang w:val="en-GB"/>
              </w:rPr>
              <w:t>15</w:t>
            </w:r>
            <w:r w:rsidR="00940913" w:rsidRPr="00FF2C7B">
              <w:rPr>
                <w:lang w:val="en-GB"/>
              </w:rPr>
              <w:fldChar w:fldCharType="end"/>
            </w:r>
          </w:hyperlink>
        </w:p>
        <w:p w14:paraId="60547D84" w14:textId="77777777" w:rsidR="002D6B27" w:rsidRPr="00FF2C7B" w:rsidRDefault="00940913">
          <w:pPr>
            <w:pStyle w:val="Normal1"/>
            <w:widowControl w:val="0"/>
            <w:tabs>
              <w:tab w:val="right" w:pos="9025"/>
            </w:tabs>
            <w:spacing w:before="60" w:after="0" w:line="240" w:lineRule="auto"/>
            <w:ind w:left="360"/>
            <w:jc w:val="left"/>
            <w:rPr>
              <w:color w:val="000000"/>
              <w:lang w:val="en-GB"/>
            </w:rPr>
          </w:pPr>
          <w:r w:rsidRPr="00FF2C7B">
            <w:rPr>
              <w:lang w:val="en-GB"/>
            </w:rPr>
            <w:fldChar w:fldCharType="end"/>
          </w:r>
        </w:p>
      </w:sdtContent>
    </w:sdt>
    <w:p w14:paraId="24601655" w14:textId="77777777" w:rsidR="002D6B27" w:rsidRPr="00FF2C7B" w:rsidRDefault="007A2B42">
      <w:pPr>
        <w:pStyle w:val="Normal1"/>
        <w:jc w:val="left"/>
        <w:rPr>
          <w:lang w:val="en-GB"/>
        </w:rPr>
      </w:pPr>
      <w:r w:rsidRPr="00FF2C7B">
        <w:rPr>
          <w:lang w:val="en-GB"/>
        </w:rPr>
        <w:br w:type="page"/>
      </w:r>
    </w:p>
    <w:p w14:paraId="15458B81" w14:textId="77777777" w:rsidR="002D6B27" w:rsidRPr="00FF2C7B" w:rsidRDefault="007A2B42">
      <w:pPr>
        <w:pStyle w:val="Heading1"/>
        <w:rPr>
          <w:lang w:val="en-GB"/>
        </w:rPr>
      </w:pPr>
      <w:r w:rsidRPr="00FF2C7B">
        <w:rPr>
          <w:lang w:val="en-GB"/>
        </w:rPr>
        <w:lastRenderedPageBreak/>
        <w:t>1. Introduction</w:t>
      </w:r>
    </w:p>
    <w:p w14:paraId="2805986D" w14:textId="77777777" w:rsidR="002D6B27" w:rsidRPr="00FF2C7B" w:rsidRDefault="007A2B42">
      <w:pPr>
        <w:pStyle w:val="Normal1"/>
        <w:rPr>
          <w:lang w:val="en-GB"/>
        </w:rPr>
      </w:pPr>
      <w:r w:rsidRPr="00FF2C7B">
        <w:rPr>
          <w:lang w:val="en-GB"/>
        </w:rPr>
        <w:t xml:space="preserve">Strategic marketing management is crucial in helping organisations to determine the external opportunities and threats and create the right strategies to maintain the competitive advantage. This report is aimed at critically analysing the role of macro-environmental forces in strategic marketing decision-making in the global market </w:t>
      </w:r>
      <w:r w:rsidR="00F677E4">
        <w:rPr>
          <w:lang w:val="en-GB"/>
        </w:rPr>
        <w:t>for</w:t>
      </w:r>
      <w:r w:rsidRPr="00FF2C7B">
        <w:rPr>
          <w:lang w:val="en-GB"/>
        </w:rPr>
        <w:t xml:space="preserve"> electric and hybrid vehicles. The two organisations in the same industry but in different strategic positions are Volkswagen, the pioneer organisation and BYD (Build Your Dreams), a multinational corporation, which is high-tech and is based in Shenzhen, China, as the follower organisation.</w:t>
      </w:r>
    </w:p>
    <w:p w14:paraId="79B548CA" w14:textId="77777777" w:rsidR="002D6B27" w:rsidRPr="00FF2C7B" w:rsidRDefault="007A2B42">
      <w:pPr>
        <w:pStyle w:val="Normal1"/>
        <w:rPr>
          <w:lang w:val="en-GB"/>
        </w:rPr>
      </w:pPr>
      <w:r w:rsidRPr="00FF2C7B">
        <w:rPr>
          <w:lang w:val="en-GB"/>
        </w:rPr>
        <w:t xml:space="preserve">Today, the automotive industry is experiencing a major shift since 1911 that is influenced by the evolution of technologies, ecology issues, and the evolution of consumer preferences </w:t>
      </w:r>
      <w:r w:rsidRPr="00FF2C7B">
        <w:rPr>
          <w:b/>
          <w:bCs/>
          <w:i/>
          <w:iCs/>
          <w:lang w:val="en-GB"/>
        </w:rPr>
        <w:t>[Refer to Appendix 1]</w:t>
      </w:r>
      <w:r w:rsidRPr="00FF2C7B">
        <w:rPr>
          <w:lang w:val="en-GB"/>
        </w:rPr>
        <w:t>. The development of hybrid and fully electric vehicles as an alternative to the traditional internal combustion engine vehicles has increased competition among the world manufacturers. Firms are now engaging in more research and development, battery technology, and green mobility solutions as a way of trying to stay competitive in the changing market.</w:t>
      </w:r>
    </w:p>
    <w:p w14:paraId="3AB65A41" w14:textId="77777777" w:rsidR="002D6B27" w:rsidRPr="00FF2C7B" w:rsidRDefault="007A2B42">
      <w:pPr>
        <w:pStyle w:val="Normal1"/>
        <w:rPr>
          <w:lang w:val="en-GB"/>
        </w:rPr>
      </w:pPr>
      <w:r w:rsidRPr="00FF2C7B">
        <w:rPr>
          <w:lang w:val="en-GB"/>
        </w:rPr>
        <w:t xml:space="preserve">The first critical analysis in this report entails consideration of two important macro-environmental forces influencing the automotive industry, which are government regulations and technological innovation. It goes on to assess the effect of these factors on the pioneering and follower organisations. Lastly, the report explores the strategic reactions of the two companies based on established strategic models in order to know how they retain their competitiveness in the global automotive market. The comparison of both the organisations assists in understanding the strategies of enhancing competitive advantage in the electric vehicle market. </w:t>
      </w:r>
    </w:p>
    <w:p w14:paraId="00B1469C" w14:textId="77777777" w:rsidR="002D6B27" w:rsidRPr="00FF2C7B" w:rsidRDefault="007A2B42">
      <w:pPr>
        <w:pStyle w:val="Heading1"/>
        <w:rPr>
          <w:lang w:val="en-GB"/>
        </w:rPr>
      </w:pPr>
      <w:bookmarkStart w:id="0" w:name="_Toc224311991"/>
      <w:r w:rsidRPr="00FF2C7B">
        <w:rPr>
          <w:lang w:val="en-GB"/>
        </w:rPr>
        <w:t>2. TASK 1: Critical analysis of the macro marketing environment</w:t>
      </w:r>
      <w:bookmarkEnd w:id="0"/>
    </w:p>
    <w:p w14:paraId="2BEE7DBA" w14:textId="77777777" w:rsidR="002D6B27" w:rsidRPr="00FF2C7B" w:rsidRDefault="007A2B42">
      <w:pPr>
        <w:pStyle w:val="Heading2"/>
        <w:rPr>
          <w:lang w:val="en-GB"/>
        </w:rPr>
      </w:pPr>
      <w:bookmarkStart w:id="1" w:name="_Toc224311992"/>
      <w:r w:rsidRPr="00FF2C7B">
        <w:rPr>
          <w:lang w:val="en-GB"/>
        </w:rPr>
        <w:t>2.1 Macro Marketing Environment</w:t>
      </w:r>
      <w:bookmarkEnd w:id="1"/>
    </w:p>
    <w:p w14:paraId="775A251B" w14:textId="77777777" w:rsidR="002D6B27" w:rsidRPr="00FF2C7B" w:rsidRDefault="007A2B42">
      <w:pPr>
        <w:pStyle w:val="Normal1"/>
        <w:rPr>
          <w:lang w:val="en-GB"/>
        </w:rPr>
      </w:pPr>
      <w:r w:rsidRPr="00FF2C7B">
        <w:rPr>
          <w:lang w:val="en-GB"/>
        </w:rPr>
        <w:t>The macro marketing environment refers to the external that control the demand</w:t>
      </w:r>
      <w:r w:rsidR="00F677E4">
        <w:rPr>
          <w:lang w:val="en-GB"/>
        </w:rPr>
        <w:t xml:space="preserve"> of</w:t>
      </w:r>
      <w:r w:rsidRPr="00FF2C7B">
        <w:rPr>
          <w:lang w:val="en-GB"/>
        </w:rPr>
        <w:t xml:space="preserve"> product</w:t>
      </w:r>
      <w:r w:rsidR="00F677E4">
        <w:rPr>
          <w:lang w:val="en-GB"/>
        </w:rPr>
        <w:t>s</w:t>
      </w:r>
      <w:r w:rsidRPr="00FF2C7B">
        <w:rPr>
          <w:lang w:val="en-GB"/>
        </w:rPr>
        <w:t xml:space="preserve">, the price of the same product and the market segment within which the firm aims to operate. According </w:t>
      </w:r>
      <w:proofErr w:type="spellStart"/>
      <w:r w:rsidRPr="00FF2C7B">
        <w:rPr>
          <w:lang w:val="en-GB"/>
        </w:rPr>
        <w:t>toBrüggemann</w:t>
      </w:r>
      <w:proofErr w:type="spellEnd"/>
      <w:r w:rsidRPr="00FF2C7B">
        <w:rPr>
          <w:lang w:val="en-GB"/>
        </w:rPr>
        <w:t xml:space="preserve">, Martinez and </w:t>
      </w:r>
      <w:proofErr w:type="spellStart"/>
      <w:r w:rsidRPr="00FF2C7B">
        <w:rPr>
          <w:lang w:val="en-GB"/>
        </w:rPr>
        <w:t>Pauwels</w:t>
      </w:r>
      <w:proofErr w:type="spellEnd"/>
      <w:r w:rsidRPr="00FF2C7B">
        <w:rPr>
          <w:lang w:val="en-GB"/>
        </w:rPr>
        <w:t xml:space="preserve"> (2025), the macro </w:t>
      </w:r>
      <w:r w:rsidRPr="00FF2C7B">
        <w:rPr>
          <w:lang w:val="en-GB"/>
        </w:rPr>
        <w:lastRenderedPageBreak/>
        <w:t>environment factors consider the external aspects of a business by under</w:t>
      </w:r>
      <w:r w:rsidR="00343A6A">
        <w:rPr>
          <w:lang w:val="en-GB"/>
        </w:rPr>
        <w:t xml:space="preserve">standing </w:t>
      </w:r>
      <w:r w:rsidRPr="00FF2C7B">
        <w:rPr>
          <w:lang w:val="en-GB"/>
        </w:rPr>
        <w:t>relevant functionalities such as environmental regulatory impacts. However, the macro marketing environment is the wider external influences that influence the functioning of an organisation in the market. The analysis of these forces is carried out with the use of one of the most popular analytical frameworks, PESTLE. This examines political, economic, social, technological, legal, and environmental factors, which affect business activities.</w:t>
      </w:r>
    </w:p>
    <w:p w14:paraId="584E6EA9" w14:textId="77777777" w:rsidR="002D6B27" w:rsidRPr="0096398B" w:rsidRDefault="007A2B42">
      <w:pPr>
        <w:pStyle w:val="Normal1"/>
        <w:rPr>
          <w:color w:val="000000" w:themeColor="text1"/>
          <w:lang w:val="en-GB"/>
        </w:rPr>
      </w:pPr>
      <w:r w:rsidRPr="00FF2C7B">
        <w:rPr>
          <w:lang w:val="en-GB"/>
        </w:rPr>
        <w:t xml:space="preserve">The macro-environmental changes are especially sensitive to the global automotive industry as the industry is being pressured by the rising regulatory pressure, technology transformation, and environmental sustainability issues. </w:t>
      </w:r>
      <w:r w:rsidR="00343A6A">
        <w:rPr>
          <w:lang w:val="en-GB"/>
        </w:rPr>
        <w:t xml:space="preserve">Governments worldwide are </w:t>
      </w:r>
      <w:r w:rsidRPr="00FF2C7B">
        <w:rPr>
          <w:lang w:val="en-GB"/>
        </w:rPr>
        <w:t xml:space="preserve">tightening their emission regulations and encouraging the use of eco-friendly cars. The government has been encouraging the customers to adopt EVs for combating climate change initiatives (IEA, 2021). </w:t>
      </w:r>
      <w:r w:rsidR="005B1460">
        <w:rPr>
          <w:lang w:val="en-GB"/>
        </w:rPr>
        <w:t>This is supported by government investment in charging infrastructure</w:t>
      </w:r>
      <w:r w:rsidRPr="00FF2C7B">
        <w:rPr>
          <w:lang w:val="en-GB"/>
        </w:rPr>
        <w:t xml:space="preserve">. This is so that the charging points can be installed by the owners at home conveniently. </w:t>
      </w:r>
    </w:p>
    <w:p w14:paraId="53F83690" w14:textId="77777777" w:rsidR="006024D8" w:rsidRPr="0096398B" w:rsidRDefault="006024D8">
      <w:pPr>
        <w:pStyle w:val="Normal1"/>
        <w:rPr>
          <w:b/>
          <w:color w:val="000000" w:themeColor="text1"/>
          <w:lang w:val="en-GB"/>
        </w:rPr>
      </w:pPr>
      <w:r w:rsidRPr="0096398B">
        <w:rPr>
          <w:b/>
          <w:color w:val="000000" w:themeColor="text1"/>
          <w:lang w:val="en-GB"/>
        </w:rPr>
        <w:t>PESTLE Analysis</w:t>
      </w:r>
    </w:p>
    <w:p w14:paraId="7452251A" w14:textId="77777777" w:rsidR="002D6B27" w:rsidRPr="00FF2C7B" w:rsidRDefault="007A2B42">
      <w:pPr>
        <w:pStyle w:val="Normal1"/>
        <w:rPr>
          <w:lang w:val="en-GB"/>
        </w:rPr>
      </w:pPr>
      <w:r w:rsidRPr="0096398B">
        <w:rPr>
          <w:color w:val="000000" w:themeColor="text1"/>
          <w:lang w:val="en-GB"/>
        </w:rPr>
        <w:t xml:space="preserve">Two macro factors, among other PESTLE factors, are chosen to be analysed in this analysis which are political and technological factors. Political factors such as government regulations and environmental policies. Conversely, the technological factor is technological innovation in the electric vehicle technology. The forecast and EV market size during the year 2024 was USD 1328.08 million with a projected market size of USD 6523.97 </w:t>
      </w:r>
      <w:r w:rsidR="003A25BF" w:rsidRPr="0096398B">
        <w:rPr>
          <w:color w:val="000000" w:themeColor="text1"/>
          <w:lang w:val="en-GB"/>
        </w:rPr>
        <w:t>m</w:t>
      </w:r>
      <w:r w:rsidRPr="0096398B">
        <w:rPr>
          <w:color w:val="000000" w:themeColor="text1"/>
          <w:lang w:val="en-GB"/>
        </w:rPr>
        <w:t xml:space="preserve">illion by the year 2030 (Grand View Research, 2024) </w:t>
      </w:r>
      <w:r w:rsidRPr="0096398B">
        <w:rPr>
          <w:b/>
          <w:bCs/>
          <w:i/>
          <w:iCs/>
          <w:color w:val="000000" w:themeColor="text1"/>
          <w:lang w:val="en-GB"/>
        </w:rPr>
        <w:t>[Refer to Figure 1]</w:t>
      </w:r>
      <w:r w:rsidRPr="0096398B">
        <w:rPr>
          <w:color w:val="000000" w:themeColor="text1"/>
          <w:lang w:val="en-GB"/>
        </w:rPr>
        <w:t>. Accordingly, their strategic importance is that they directly affect industry level of competitiveness, product development strategies and consumer demand patterns. To remain at the top of the market companies in the automotive industry have to co</w:t>
      </w:r>
      <w:r w:rsidRPr="00FF2C7B">
        <w:rPr>
          <w:lang w:val="en-GB"/>
        </w:rPr>
        <w:t xml:space="preserve">nstantly adjust to the regulatory framework as well as the technological changes. These macro-environmental forces have a strong influence on both Volkswagen and BYD, though both companies have responded to them in different ways, based on their organisational capabilities and positioning in the </w:t>
      </w:r>
      <w:proofErr w:type="spellStart"/>
      <w:r w:rsidRPr="00FF2C7B">
        <w:rPr>
          <w:lang w:val="en-GB"/>
        </w:rPr>
        <w:t>market.As</w:t>
      </w:r>
      <w:proofErr w:type="spellEnd"/>
      <w:r w:rsidRPr="00FF2C7B">
        <w:rPr>
          <w:lang w:val="en-GB"/>
        </w:rPr>
        <w:t xml:space="preserve"> an example, the regulatory pressure impacting pioneering firms, like Volkswagen, may be greater because of their presence on the market and their technologies used historically, as </w:t>
      </w:r>
      <w:r w:rsidRPr="00FF2C7B">
        <w:rPr>
          <w:lang w:val="en-GB"/>
        </w:rPr>
        <w:lastRenderedPageBreak/>
        <w:t>compared to follower firms, like BYD, which may have an advantage of entering the markets at an earlier stage when technologies and regulatory expectations are clearer.</w:t>
      </w:r>
    </w:p>
    <w:p w14:paraId="0E663AC7" w14:textId="77777777" w:rsidR="002D6B27" w:rsidRPr="00FF2C7B" w:rsidRDefault="007A2B42">
      <w:pPr>
        <w:pStyle w:val="Normal1"/>
        <w:jc w:val="center"/>
        <w:rPr>
          <w:b/>
          <w:bCs/>
          <w:lang w:val="en-GB"/>
        </w:rPr>
      </w:pPr>
      <w:r w:rsidRPr="00FF2C7B">
        <w:rPr>
          <w:b/>
          <w:bCs/>
          <w:noProof/>
        </w:rPr>
        <w:drawing>
          <wp:inline distT="114300" distB="114300" distL="114300" distR="114300" wp14:anchorId="56EA10D2" wp14:editId="6C9434B5">
            <wp:extent cx="5734050" cy="279527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7"/>
                    <a:srcRect/>
                    <a:stretch>
                      <a:fillRect/>
                    </a:stretch>
                  </pic:blipFill>
                  <pic:spPr>
                    <a:xfrm>
                      <a:off x="0" y="0"/>
                      <a:ext cx="5734050" cy="2795364"/>
                    </a:xfrm>
                    <a:prstGeom prst="rect">
                      <a:avLst/>
                    </a:prstGeom>
                    <a:ln w="25400">
                      <a:solidFill>
                        <a:srgbClr val="000000"/>
                      </a:solidFill>
                      <a:prstDash val="solid"/>
                    </a:ln>
                  </pic:spPr>
                </pic:pic>
              </a:graphicData>
            </a:graphic>
          </wp:inline>
        </w:drawing>
      </w:r>
    </w:p>
    <w:p w14:paraId="02E9A02A" w14:textId="77777777" w:rsidR="002D6B27" w:rsidRPr="00FF2C7B" w:rsidRDefault="007A2B42">
      <w:pPr>
        <w:pStyle w:val="Normal1"/>
        <w:jc w:val="center"/>
        <w:rPr>
          <w:b/>
          <w:bCs/>
          <w:i/>
          <w:iCs/>
          <w:lang w:val="en-GB"/>
        </w:rPr>
      </w:pPr>
      <w:r w:rsidRPr="00FF2C7B">
        <w:rPr>
          <w:b/>
          <w:bCs/>
          <w:i/>
          <w:iCs/>
          <w:lang w:val="en-GB"/>
        </w:rPr>
        <w:t>Figure 1: Market size of Electric vehicles</w:t>
      </w:r>
    </w:p>
    <w:p w14:paraId="57B223C1" w14:textId="77777777" w:rsidR="002D6B27" w:rsidRPr="00FF2C7B" w:rsidRDefault="007A2B42">
      <w:pPr>
        <w:pStyle w:val="Normal1"/>
        <w:jc w:val="center"/>
        <w:rPr>
          <w:lang w:val="en-GB"/>
        </w:rPr>
      </w:pPr>
      <w:r w:rsidRPr="00FF2C7B">
        <w:rPr>
          <w:lang w:val="en-GB"/>
        </w:rPr>
        <w:t>(Source: Grand View Research, 2024)</w:t>
      </w:r>
    </w:p>
    <w:p w14:paraId="68127B4E" w14:textId="32A1443D" w:rsidR="002D6B27" w:rsidRPr="00D83CC2" w:rsidRDefault="007A2B42" w:rsidP="00EA61AF">
      <w:pPr>
        <w:pStyle w:val="Heading2"/>
        <w:rPr>
          <w:lang w:val="en-GB"/>
        </w:rPr>
      </w:pPr>
      <w:bookmarkStart w:id="2" w:name="_Toc224311993"/>
      <w:r w:rsidRPr="00D83CC2">
        <w:rPr>
          <w:lang w:val="en-GB"/>
        </w:rPr>
        <w:t>2.2 Macro Factor 1</w:t>
      </w:r>
      <w:r w:rsidR="00D83CC2">
        <w:rPr>
          <w:lang w:val="en-GB"/>
        </w:rPr>
        <w:t>:</w:t>
      </w:r>
      <w:r w:rsidR="002F089D">
        <w:rPr>
          <w:lang w:val="en-GB"/>
        </w:rPr>
        <w:t xml:space="preserve"> </w:t>
      </w:r>
      <w:r w:rsidRPr="00D83CC2">
        <w:rPr>
          <w:lang w:val="en-GB"/>
        </w:rPr>
        <w:t>Government Regulations and environmental policies</w:t>
      </w:r>
      <w:bookmarkEnd w:id="2"/>
    </w:p>
    <w:p w14:paraId="2811482A" w14:textId="77777777" w:rsidR="002D6B27" w:rsidRPr="00EA61AF" w:rsidRDefault="007A2B42" w:rsidP="00EA61AF">
      <w:pPr>
        <w:pStyle w:val="Heading3"/>
      </w:pPr>
      <w:bookmarkStart w:id="3" w:name="_Toc224311994"/>
      <w:r w:rsidRPr="00EA61AF">
        <w:t xml:space="preserve">2.2.1 Implication on the Pioneer </w:t>
      </w:r>
      <w:proofErr w:type="spellStart"/>
      <w:r w:rsidRPr="00EA61AF">
        <w:t>Organisation</w:t>
      </w:r>
      <w:proofErr w:type="spellEnd"/>
      <w:r w:rsidRPr="00EA61AF">
        <w:t xml:space="preserve"> Volkswagen</w:t>
      </w:r>
      <w:bookmarkEnd w:id="3"/>
    </w:p>
    <w:p w14:paraId="3A0A2B28" w14:textId="77777777" w:rsidR="002D6B27" w:rsidRPr="00FF2C7B" w:rsidRDefault="007A2B42">
      <w:pPr>
        <w:pStyle w:val="Normal1"/>
        <w:rPr>
          <w:lang w:val="en-GB"/>
        </w:rPr>
      </w:pPr>
      <w:r w:rsidRPr="00FF2C7B">
        <w:rPr>
          <w:lang w:val="en-GB"/>
        </w:rPr>
        <w:t xml:space="preserve">In the case of the pioneering organisation Volkswagen there have been serious threats and strategic opportunities as a result of these regulations. The stringent emission level SUCH "Zero emission vehicles declaration”, carbon cuts and electric mobility incentives have been established by governments of key automobile markets (Pan </w:t>
      </w:r>
      <w:r w:rsidRPr="00FF2C7B">
        <w:rPr>
          <w:i/>
          <w:iCs/>
          <w:lang w:val="en-GB"/>
        </w:rPr>
        <w:t>et al.</w:t>
      </w:r>
      <w:r w:rsidRPr="00FF2C7B">
        <w:rPr>
          <w:lang w:val="en-GB"/>
        </w:rPr>
        <w:t>, 2026). These markets involve the European Union, the United States and China, in response to climate change and environmental sustainability. However, these control measures increased after the Volkswagen emissions scandal in 2015, which revealed the diesel emission tests manipulations (Hotten, 2015). The scandal led to billions of dollar</w:t>
      </w:r>
      <w:r w:rsidR="003A25BF">
        <w:rPr>
          <w:lang w:val="en-GB"/>
        </w:rPr>
        <w:t>s in</w:t>
      </w:r>
      <w:r w:rsidRPr="00FF2C7B">
        <w:rPr>
          <w:lang w:val="en-GB"/>
        </w:rPr>
        <w:t xml:space="preserve"> fines, reputation damage and heightened regulation. As a result of this, governments enhanced surveillance systems and adherence policies throughout the industry.</w:t>
      </w:r>
    </w:p>
    <w:p w14:paraId="33266457" w14:textId="77777777" w:rsidR="002D6B27" w:rsidRPr="00FF2C7B" w:rsidRDefault="007A2B42">
      <w:pPr>
        <w:pStyle w:val="Normal1"/>
        <w:rPr>
          <w:lang w:val="en-GB"/>
        </w:rPr>
      </w:pPr>
      <w:r w:rsidRPr="00FF2C7B">
        <w:rPr>
          <w:lang w:val="en-GB"/>
        </w:rPr>
        <w:lastRenderedPageBreak/>
        <w:t>Strategically, these environmental regulations impose short-term financial constraints on Volkswagen as it is forced to comply with the regulations through cost compliance, research, development expenses, and supply chain readjustments. In this aspect organisations engaging themselves with meaningful CSR activities as a significant focus reduce the threat to environmental regulations (</w:t>
      </w:r>
      <w:proofErr w:type="spellStart"/>
      <w:r w:rsidRPr="00FF2C7B">
        <w:rPr>
          <w:lang w:val="en-GB"/>
        </w:rPr>
        <w:t>Alharbi</w:t>
      </w:r>
      <w:proofErr w:type="spellEnd"/>
      <w:r w:rsidRPr="00FF2C7B">
        <w:rPr>
          <w:lang w:val="en-GB"/>
        </w:rPr>
        <w:t xml:space="preserve">, </w:t>
      </w:r>
      <w:proofErr w:type="spellStart"/>
      <w:r w:rsidRPr="00FF2C7B">
        <w:rPr>
          <w:lang w:val="en-GB"/>
        </w:rPr>
        <w:t>Elshamly</w:t>
      </w:r>
      <w:proofErr w:type="spellEnd"/>
      <w:r w:rsidRPr="00FF2C7B">
        <w:rPr>
          <w:lang w:val="en-GB"/>
        </w:rPr>
        <w:t xml:space="preserve"> and </w:t>
      </w:r>
      <w:proofErr w:type="spellStart"/>
      <w:r w:rsidRPr="00FF2C7B">
        <w:rPr>
          <w:lang w:val="en-GB"/>
        </w:rPr>
        <w:t>Mahgoub</w:t>
      </w:r>
      <w:proofErr w:type="spellEnd"/>
      <w:r w:rsidRPr="00FF2C7B">
        <w:rPr>
          <w:lang w:val="en-GB"/>
        </w:rPr>
        <w:t>, 2025). Nevertheless, they are also sources of innovation and long-term repositioning towards competitiveness. Volkswagen has reacted by increasing its shift to electric mobility, putting large sums into battery development and eco-friendly vehicle manufacturing (VW USA, 2025). Thus, the environmental policies which initially presented a threat in the form of regulations have also stimulated Volkswagen to change its strategic focus and chase technological dominance in the new electric vehicle market.</w:t>
      </w:r>
    </w:p>
    <w:p w14:paraId="62E42A08" w14:textId="77777777" w:rsidR="002D6B27" w:rsidRPr="00FF2C7B" w:rsidRDefault="007A2B42">
      <w:pPr>
        <w:pStyle w:val="Heading3"/>
        <w:rPr>
          <w:lang w:val="en-GB"/>
        </w:rPr>
      </w:pPr>
      <w:bookmarkStart w:id="4" w:name="_Toc224311995"/>
      <w:r w:rsidRPr="00FF2C7B">
        <w:rPr>
          <w:lang w:val="en-GB"/>
        </w:rPr>
        <w:t>2.2.2 Effect on the Follower Organisation - BYD</w:t>
      </w:r>
      <w:bookmarkEnd w:id="4"/>
    </w:p>
    <w:p w14:paraId="662D593C" w14:textId="77777777" w:rsidR="002D6B27" w:rsidRPr="00FF2C7B" w:rsidRDefault="007A2B42">
      <w:pPr>
        <w:pStyle w:val="Normal1"/>
        <w:rPr>
          <w:lang w:val="en-GB"/>
        </w:rPr>
      </w:pPr>
      <w:r w:rsidRPr="00FF2C7B">
        <w:rPr>
          <w:lang w:val="en-GB"/>
        </w:rPr>
        <w:t>BYD has also had significant opportunities that have been brought about by government policies that encourage electric mobility (BYD, 2022). Specifically, the Chinese government has contributed significantly in the growth of the electric vehicle industry by providing subsidies, incentives as well as investment in the charging infrastructure. These favourable policies have seen BYD grow exponentially in the domestic Chinese market and compete more and more on a global platform. With the subsidies in certain markets being phased out, the EV manufacturers have to rely increasingly on cost efficiency and technological advancement to keep them competitive. However, the fact that BYD has been able to develop scale production as well as incorporate the production of batteries into its operations (BYD, 2022). This will enable the firm to stay highly competitive in the dynamic automotive industry.</w:t>
      </w:r>
    </w:p>
    <w:p w14:paraId="74C534F3" w14:textId="77777777" w:rsidR="002D6B27" w:rsidRPr="00FF2C7B" w:rsidRDefault="007A2B42">
      <w:pPr>
        <w:pStyle w:val="Heading2"/>
        <w:rPr>
          <w:lang w:val="en-GB"/>
        </w:rPr>
      </w:pPr>
      <w:bookmarkStart w:id="5" w:name="_Toc224311996"/>
      <w:r w:rsidRPr="00FF2C7B">
        <w:rPr>
          <w:lang w:val="en-GB"/>
        </w:rPr>
        <w:t>2.3 Macro Factor 2: Technological Innovation</w:t>
      </w:r>
      <w:bookmarkEnd w:id="5"/>
    </w:p>
    <w:p w14:paraId="4C8D4C88" w14:textId="77777777" w:rsidR="002D6B27" w:rsidRPr="00FF2C7B" w:rsidRDefault="007A2B42">
      <w:pPr>
        <w:pStyle w:val="Heading3"/>
        <w:rPr>
          <w:lang w:val="en-GB"/>
        </w:rPr>
      </w:pPr>
      <w:bookmarkStart w:id="6" w:name="_Toc224311997"/>
      <w:r w:rsidRPr="00FF2C7B">
        <w:rPr>
          <w:lang w:val="en-GB"/>
        </w:rPr>
        <w:t>2.3.1 Impact on the pioneer organisation Volkswagen</w:t>
      </w:r>
      <w:bookmarkEnd w:id="6"/>
    </w:p>
    <w:p w14:paraId="63BDD9CA" w14:textId="77777777" w:rsidR="002D6B27" w:rsidRPr="00FF2C7B" w:rsidRDefault="007A2B42">
      <w:pPr>
        <w:pStyle w:val="Normal1"/>
        <w:rPr>
          <w:lang w:val="en-GB"/>
        </w:rPr>
      </w:pPr>
      <w:r w:rsidRPr="00FF2C7B">
        <w:rPr>
          <w:lang w:val="en-GB"/>
        </w:rPr>
        <w:t xml:space="preserve">The deepening of environmental control has had a huge impact on the competitive positioning and strategic orienting of Volkswagen in the international automotive sector. Being a pioneer, Volkswagen has to be more responsive than their competitors </w:t>
      </w:r>
      <w:r w:rsidRPr="00FF2C7B">
        <w:rPr>
          <w:lang w:val="en-GB"/>
        </w:rPr>
        <w:lastRenderedPageBreak/>
        <w:t>since the scale and visibility of the organisation make it susceptible to more regulatory and reputational forces.</w:t>
      </w:r>
    </w:p>
    <w:p w14:paraId="0559192A" w14:textId="77777777" w:rsidR="002D6B27" w:rsidRPr="00FF2C7B" w:rsidRDefault="007A2B42">
      <w:pPr>
        <w:pStyle w:val="Normal1"/>
        <w:rPr>
          <w:lang w:val="en-GB"/>
        </w:rPr>
      </w:pPr>
      <w:r w:rsidRPr="00FF2C7B">
        <w:rPr>
          <w:lang w:val="en-GB"/>
        </w:rPr>
        <w:t>The overhaul of the product portfolio of Volkswagen has been one of the significant effects. The company has in the past been dependent on diesel technology, especially in the European markets. Nevertheless, the establishment of more stringent emission standards by the government in the European Union and the United States greatly decreased the economic sustainability of diesel-powered cars in the long run. This has made Volkswagen change its strategic focus to electric vehicles and sustainable mobility solutions.</w:t>
      </w:r>
    </w:p>
    <w:p w14:paraId="4627209F" w14:textId="77777777" w:rsidR="002D6B27" w:rsidRPr="00FF2C7B" w:rsidRDefault="007A2B42">
      <w:pPr>
        <w:pStyle w:val="Heading3"/>
        <w:rPr>
          <w:lang w:val="en-GB"/>
        </w:rPr>
      </w:pPr>
      <w:bookmarkStart w:id="7" w:name="_Toc224311998"/>
      <w:r w:rsidRPr="00FF2C7B">
        <w:rPr>
          <w:lang w:val="en-GB"/>
        </w:rPr>
        <w:t>2.3.2 Implications on the Follower Organisation BYD</w:t>
      </w:r>
      <w:bookmarkEnd w:id="7"/>
    </w:p>
    <w:p w14:paraId="661B4EB9" w14:textId="77777777" w:rsidR="002D6B27" w:rsidRPr="00FF2C7B" w:rsidRDefault="007A2B42">
      <w:pPr>
        <w:pStyle w:val="Normal1"/>
        <w:rPr>
          <w:lang w:val="en-GB"/>
        </w:rPr>
      </w:pPr>
      <w:r w:rsidRPr="00FF2C7B">
        <w:rPr>
          <w:lang w:val="en-GB"/>
        </w:rPr>
        <w:t xml:space="preserve">BYD has been a growth company with technological innovation as a key driver. The company has acquired good potential in battery production, electric drives, and energy storage systems. In this aspect, a vertically integrated business model is among the most significant competitive advantages of BYD since it enables the company to manufacture a number of key components internally. The integration will aid in minimising the costs of production and will improve the supply chains. Moreover, BYD has come up with new technology in batteries that are focused on safety, durability and energy efficiency. These technological advancements will help the company to compete favourably with the well known international automotive companies. As a result, the strategy of BYD as a follower organisation is to quickly adopt and innovate the existing technologies and take advantage of its manufacturing size. </w:t>
      </w:r>
    </w:p>
    <w:p w14:paraId="40A7FCAD" w14:textId="77777777" w:rsidR="002D6B27" w:rsidRPr="00FF2C7B" w:rsidRDefault="007A2B42">
      <w:pPr>
        <w:pStyle w:val="Heading1"/>
        <w:rPr>
          <w:lang w:val="en-GB"/>
        </w:rPr>
      </w:pPr>
      <w:bookmarkStart w:id="8" w:name="_Toc224311999"/>
      <w:r w:rsidRPr="00FF2C7B">
        <w:rPr>
          <w:lang w:val="en-GB"/>
        </w:rPr>
        <w:t>3. Task 2: Strategic Responses of Pioneering and Follower Organisations</w:t>
      </w:r>
      <w:bookmarkEnd w:id="8"/>
    </w:p>
    <w:p w14:paraId="07956127" w14:textId="77777777" w:rsidR="002D6B27" w:rsidRDefault="007A2B42">
      <w:pPr>
        <w:pStyle w:val="Heading2"/>
        <w:rPr>
          <w:lang w:val="en-GB"/>
        </w:rPr>
      </w:pPr>
      <w:bookmarkStart w:id="9" w:name="_Toc224312000"/>
      <w:r w:rsidRPr="00FF2C7B">
        <w:rPr>
          <w:lang w:val="en-GB"/>
        </w:rPr>
        <w:t xml:space="preserve">3.1 Strategic Responses in Pioneering Organisation </w:t>
      </w:r>
      <w:r w:rsidR="00CD382E">
        <w:rPr>
          <w:lang w:val="en-GB"/>
        </w:rPr>
        <w:t>–</w:t>
      </w:r>
      <w:r w:rsidRPr="00FF2C7B">
        <w:rPr>
          <w:lang w:val="en-GB"/>
        </w:rPr>
        <w:t xml:space="preserve"> Volkswagen</w:t>
      </w:r>
      <w:bookmarkEnd w:id="9"/>
    </w:p>
    <w:p w14:paraId="08BCC2A7" w14:textId="77777777" w:rsidR="00CD382E" w:rsidRPr="0096398B" w:rsidRDefault="00CD382E" w:rsidP="00CD382E">
      <w:pPr>
        <w:pStyle w:val="Normal1"/>
        <w:rPr>
          <w:b/>
          <w:i/>
          <w:color w:val="000000" w:themeColor="text1"/>
          <w:lang w:val="en-GB"/>
        </w:rPr>
      </w:pPr>
      <w:r w:rsidRPr="0096398B">
        <w:rPr>
          <w:b/>
          <w:i/>
          <w:color w:val="000000" w:themeColor="text1"/>
          <w:lang w:val="en-GB"/>
        </w:rPr>
        <w:t>Porter’s generic strategies</w:t>
      </w:r>
    </w:p>
    <w:p w14:paraId="4C843DF5" w14:textId="77777777" w:rsidR="002D6B27" w:rsidRPr="00FF2C7B" w:rsidRDefault="007A2B42">
      <w:pPr>
        <w:pStyle w:val="Normal1"/>
        <w:rPr>
          <w:lang w:val="en-GB"/>
        </w:rPr>
      </w:pPr>
      <w:r w:rsidRPr="00FF2C7B">
        <w:rPr>
          <w:lang w:val="en-GB"/>
        </w:rPr>
        <w:t xml:space="preserve">The generic strategies of Michael Porter such </w:t>
      </w:r>
      <w:r w:rsidR="00CD382E" w:rsidRPr="00FF2C7B">
        <w:rPr>
          <w:lang w:val="en-GB"/>
        </w:rPr>
        <w:t>as provide</w:t>
      </w:r>
      <w:r w:rsidRPr="00FF2C7B">
        <w:rPr>
          <w:lang w:val="en-GB"/>
        </w:rPr>
        <w:t xml:space="preserve"> significant advantages to organisations such as an enhancement within competitive advantage. This further assists the leaders with the organisations in developing a comprehensive strategy </w:t>
      </w:r>
      <w:r w:rsidRPr="00FF2C7B">
        <w:rPr>
          <w:lang w:val="en-GB"/>
        </w:rPr>
        <w:lastRenderedPageBreak/>
        <w:t xml:space="preserve">there by enhancing profit margins substantially (Jurevicius, 2025) </w:t>
      </w:r>
      <w:r w:rsidRPr="00FF2C7B">
        <w:rPr>
          <w:b/>
          <w:bCs/>
          <w:i/>
          <w:iCs/>
          <w:lang w:val="en-GB"/>
        </w:rPr>
        <w:t>[Refer to Figure 2]</w:t>
      </w:r>
      <w:r w:rsidRPr="00FF2C7B">
        <w:rPr>
          <w:lang w:val="en-GB"/>
        </w:rPr>
        <w:t>. Following environmental laws and market change, Volkswagen has adopted a few strategic measures that align with the model of the Generic Strategies of Michael Porter, especially that of cost leadership and differentiation.</w:t>
      </w:r>
    </w:p>
    <w:p w14:paraId="0849D02D" w14:textId="77777777" w:rsidR="002D6B27" w:rsidRPr="00FF2C7B" w:rsidRDefault="007A2B42">
      <w:pPr>
        <w:pStyle w:val="Normal1"/>
        <w:jc w:val="center"/>
        <w:rPr>
          <w:lang w:val="en-GB"/>
        </w:rPr>
      </w:pPr>
      <w:r w:rsidRPr="00FF2C7B">
        <w:rPr>
          <w:noProof/>
        </w:rPr>
        <w:drawing>
          <wp:inline distT="114300" distB="114300" distL="114300" distR="114300" wp14:anchorId="0CB6FD97" wp14:editId="632B4AD1">
            <wp:extent cx="4795520" cy="349694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8"/>
                    <a:srcRect/>
                    <a:stretch>
                      <a:fillRect/>
                    </a:stretch>
                  </pic:blipFill>
                  <pic:spPr>
                    <a:xfrm>
                      <a:off x="0" y="0"/>
                      <a:ext cx="4795838" cy="3497297"/>
                    </a:xfrm>
                    <a:prstGeom prst="rect">
                      <a:avLst/>
                    </a:prstGeom>
                    <a:ln w="25400">
                      <a:solidFill>
                        <a:srgbClr val="000000"/>
                      </a:solidFill>
                      <a:prstDash val="solid"/>
                    </a:ln>
                  </pic:spPr>
                </pic:pic>
              </a:graphicData>
            </a:graphic>
          </wp:inline>
        </w:drawing>
      </w:r>
    </w:p>
    <w:p w14:paraId="12C3FE9B" w14:textId="77777777" w:rsidR="002D6B27" w:rsidRPr="00FF2C7B" w:rsidRDefault="007A2B42">
      <w:pPr>
        <w:pStyle w:val="Normal1"/>
        <w:jc w:val="center"/>
        <w:rPr>
          <w:b/>
          <w:bCs/>
          <w:lang w:val="en-GB"/>
        </w:rPr>
      </w:pPr>
      <w:r w:rsidRPr="00FF2C7B">
        <w:rPr>
          <w:b/>
          <w:bCs/>
          <w:lang w:val="en-GB"/>
        </w:rPr>
        <w:t>Figure 2: Porter’s generic strategies</w:t>
      </w:r>
    </w:p>
    <w:p w14:paraId="040B32E4" w14:textId="77777777" w:rsidR="002D6B27" w:rsidRPr="00FF2C7B" w:rsidRDefault="007A2B42">
      <w:pPr>
        <w:pStyle w:val="Normal1"/>
        <w:jc w:val="center"/>
        <w:rPr>
          <w:lang w:val="en-GB"/>
        </w:rPr>
      </w:pPr>
      <w:r w:rsidRPr="00FF2C7B">
        <w:rPr>
          <w:lang w:val="en-GB"/>
        </w:rPr>
        <w:t>(Source: Jurevicius, 2025)</w:t>
      </w:r>
    </w:p>
    <w:p w14:paraId="3CABF93E" w14:textId="77777777" w:rsidR="002D6B27" w:rsidRPr="00FF2C7B" w:rsidRDefault="007A2B42">
      <w:pPr>
        <w:pStyle w:val="Normal1"/>
        <w:rPr>
          <w:lang w:val="en-GB"/>
        </w:rPr>
      </w:pPr>
      <w:r w:rsidRPr="00FF2C7B">
        <w:rPr>
          <w:lang w:val="en-GB"/>
        </w:rPr>
        <w:t>To begin with, the economies of scale and standardisation of the platform enable Volkswagen to gain the cost leadership in the market of electric vehicles. The company has created the Modular Electric Drive Matrix (MEB) platform on which various electric models are manufactured on the same technological basis (VW Press, 2025). The approach minimises the cost of production, boosts efficiency in manufacturing and enables Volkswagen to sell electric cars at comparatively competitive prices with other competitors.</w:t>
      </w:r>
    </w:p>
    <w:p w14:paraId="2C85A401" w14:textId="77777777" w:rsidR="002D6B27" w:rsidRPr="00FF2C7B" w:rsidRDefault="007A2B42">
      <w:pPr>
        <w:pStyle w:val="Normal1"/>
        <w:rPr>
          <w:lang w:val="en-GB"/>
        </w:rPr>
      </w:pPr>
      <w:r w:rsidRPr="00FF2C7B">
        <w:rPr>
          <w:lang w:val="en-GB"/>
        </w:rPr>
        <w:t xml:space="preserve">Secondly, the company is seeking differentiation through focusing on innovation, sustainability and digital connectivity as part of its vehicle portfolio. Electric models, like the Volkswagen ID.4, are provided with a sophisticated battery system, intelligent </w:t>
      </w:r>
      <w:r w:rsidRPr="00FF2C7B">
        <w:rPr>
          <w:lang w:val="en-GB"/>
        </w:rPr>
        <w:lastRenderedPageBreak/>
        <w:t>connectivity and ecologically friendly technologies (Volkswagen, 2024). Such features will make the Volkswagen products stand out of the competition among other electric vehicle producers in a highly competitive market. Furthermore, Volkswagen also exhibits aspects of a focus strategy as it aims at areas with a high level of government subsidies on electric vehicle use especially in the European Union and China (Volkswagen Group, 2024). The company is able to maximise its incentives by regulators and reinforce its presence in the market by focusing on these markets. These strategic reactions help Volkswagen to turn regulatory pressure into a competitive edge and a long-term competitive advantage.</w:t>
      </w:r>
    </w:p>
    <w:p w14:paraId="1DF18418" w14:textId="77777777" w:rsidR="002D6B27" w:rsidRDefault="007A2B42">
      <w:pPr>
        <w:pStyle w:val="Heading2"/>
        <w:rPr>
          <w:lang w:val="en-GB"/>
        </w:rPr>
      </w:pPr>
      <w:bookmarkStart w:id="10" w:name="_Toc224312001"/>
      <w:r w:rsidRPr="00FF2C7B">
        <w:rPr>
          <w:lang w:val="en-GB"/>
        </w:rPr>
        <w:t>3.2 Pioneering organisation’s strategic responses</w:t>
      </w:r>
      <w:bookmarkEnd w:id="10"/>
    </w:p>
    <w:p w14:paraId="55655C5E" w14:textId="77777777" w:rsidR="00CD382E" w:rsidRPr="0096398B" w:rsidRDefault="00CD382E" w:rsidP="00CD382E">
      <w:pPr>
        <w:pStyle w:val="Normal1"/>
        <w:rPr>
          <w:b/>
          <w:i/>
          <w:color w:val="000000" w:themeColor="text1"/>
          <w:lang w:val="en-GB"/>
        </w:rPr>
      </w:pPr>
      <w:r w:rsidRPr="0096398B">
        <w:rPr>
          <w:b/>
          <w:i/>
          <w:color w:val="000000" w:themeColor="text1"/>
          <w:lang w:val="en-GB"/>
        </w:rPr>
        <w:t>Ansoff Growth Matrix</w:t>
      </w:r>
    </w:p>
    <w:p w14:paraId="2C955F36" w14:textId="77777777" w:rsidR="002D6B27" w:rsidRPr="00FF2C7B" w:rsidRDefault="007A2B42">
      <w:pPr>
        <w:pStyle w:val="Normal1"/>
        <w:rPr>
          <w:lang w:val="en-GB"/>
        </w:rPr>
      </w:pPr>
      <w:r w:rsidRPr="00FF2C7B">
        <w:rPr>
          <w:lang w:val="en-GB"/>
        </w:rPr>
        <w:t>Being a follower organisation, BYD follows strategic practices that are aimed at increasing competitiveness and market share. Ansoff Growth Matrix is one of the frameworks that can be helpful to analyse the strategy of BYD as it presents four strategic options. The matrix is a strategy planning tool applied by companies to determine areas of growth potential. It was created by Igor Ansoff in 1957. It locates four strategic directions on two aspects which are products (existing vs. new) and markets (existing vs. new) which lead to four different quadrants. These are market penetration, market development, product development and diversification. The level of risk and strategic intent of every quadrant is increasing, with low-risk incremental growth on one end and high-risk transformational expansion on the other end.</w:t>
      </w:r>
    </w:p>
    <w:p w14:paraId="79726505" w14:textId="77777777" w:rsidR="002D6B27" w:rsidRPr="00FF2C7B" w:rsidRDefault="007A2B42">
      <w:pPr>
        <w:pStyle w:val="Normal1"/>
        <w:jc w:val="center"/>
        <w:rPr>
          <w:lang w:val="en-GB"/>
        </w:rPr>
      </w:pPr>
      <w:r w:rsidRPr="00FF2C7B">
        <w:rPr>
          <w:noProof/>
        </w:rPr>
        <w:lastRenderedPageBreak/>
        <w:drawing>
          <wp:inline distT="114300" distB="114300" distL="114300" distR="114300" wp14:anchorId="0EE22047" wp14:editId="13FCE9EF">
            <wp:extent cx="5648325" cy="412432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9"/>
                    <a:srcRect/>
                    <a:stretch>
                      <a:fillRect/>
                    </a:stretch>
                  </pic:blipFill>
                  <pic:spPr>
                    <a:xfrm>
                      <a:off x="0" y="0"/>
                      <a:ext cx="5648325" cy="4124325"/>
                    </a:xfrm>
                    <a:prstGeom prst="rect">
                      <a:avLst/>
                    </a:prstGeom>
                    <a:ln w="25400">
                      <a:solidFill>
                        <a:srgbClr val="000000"/>
                      </a:solidFill>
                      <a:prstDash val="solid"/>
                    </a:ln>
                  </pic:spPr>
                </pic:pic>
              </a:graphicData>
            </a:graphic>
          </wp:inline>
        </w:drawing>
      </w:r>
    </w:p>
    <w:p w14:paraId="349A58D1" w14:textId="77777777" w:rsidR="002D6B27" w:rsidRPr="00FF2C7B" w:rsidRDefault="007A2B42">
      <w:pPr>
        <w:pStyle w:val="Normal1"/>
        <w:jc w:val="center"/>
        <w:rPr>
          <w:b/>
          <w:bCs/>
          <w:i/>
          <w:iCs/>
          <w:lang w:val="en-GB"/>
        </w:rPr>
      </w:pPr>
      <w:r w:rsidRPr="00FF2C7B">
        <w:rPr>
          <w:b/>
          <w:bCs/>
          <w:i/>
          <w:iCs/>
          <w:lang w:val="en-GB"/>
        </w:rPr>
        <w:t>Table 1: Ansoff Matrix for BYD</w:t>
      </w:r>
    </w:p>
    <w:p w14:paraId="204E2843" w14:textId="77777777" w:rsidR="002D6B27" w:rsidRPr="00FF2C7B" w:rsidRDefault="007A2B42">
      <w:pPr>
        <w:pStyle w:val="Normal1"/>
        <w:rPr>
          <w:b/>
          <w:bCs/>
          <w:i/>
          <w:iCs/>
          <w:lang w:val="en-GB"/>
        </w:rPr>
      </w:pPr>
      <w:r w:rsidRPr="00FF2C7B">
        <w:rPr>
          <w:b/>
          <w:bCs/>
          <w:i/>
          <w:iCs/>
          <w:lang w:val="en-GB"/>
        </w:rPr>
        <w:t>Market penetration (Existing Products x Existing Markets)</w:t>
      </w:r>
    </w:p>
    <w:p w14:paraId="716B601D" w14:textId="77777777" w:rsidR="002D6B27" w:rsidRPr="00FF2C7B" w:rsidRDefault="007A2B42">
      <w:pPr>
        <w:pStyle w:val="Normal1"/>
        <w:rPr>
          <w:lang w:val="en-GB"/>
        </w:rPr>
      </w:pPr>
      <w:r w:rsidRPr="00FF2C7B">
        <w:rPr>
          <w:lang w:val="en-GB"/>
        </w:rPr>
        <w:t>It is the least risk quadrant which involves selling more of what is already present to existing customers. The company aims at greater dominance in China with more sales of EVs, competitive prices, and brand building. Even though this utilises the proven abilities and recognition of its customers, the EV market in China is highly competitive with many domestic competitors. Pure pricing will lead to a loss of the margins, and brand differentiation will also be critical in terms of long-term growth in this area.</w:t>
      </w:r>
    </w:p>
    <w:p w14:paraId="3F532734" w14:textId="77777777" w:rsidR="002D6B27" w:rsidRPr="00FF2C7B" w:rsidRDefault="007A2B42">
      <w:pPr>
        <w:pStyle w:val="Normal1"/>
        <w:rPr>
          <w:b/>
          <w:bCs/>
          <w:i/>
          <w:iCs/>
          <w:lang w:val="en-GB"/>
        </w:rPr>
      </w:pPr>
      <w:r w:rsidRPr="00FF2C7B">
        <w:rPr>
          <w:b/>
          <w:bCs/>
          <w:i/>
          <w:iCs/>
          <w:lang w:val="en-GB"/>
        </w:rPr>
        <w:t>Market Development (New Markets Existing Products)</w:t>
      </w:r>
    </w:p>
    <w:p w14:paraId="7413DAAB" w14:textId="77777777" w:rsidR="002D6B27" w:rsidRPr="00FF2C7B" w:rsidRDefault="007A2B42">
      <w:pPr>
        <w:pStyle w:val="Normal1"/>
        <w:rPr>
          <w:lang w:val="en-GB"/>
        </w:rPr>
      </w:pPr>
      <w:r w:rsidRPr="00FF2C7B">
        <w:rPr>
          <w:lang w:val="en-GB"/>
        </w:rPr>
        <w:t>Market Development is about launching existing products to new geographies or new customer groups with moderate risk since there is a lack of familiarity (</w:t>
      </w:r>
      <w:proofErr w:type="spellStart"/>
      <w:r w:rsidRPr="00FF2C7B">
        <w:rPr>
          <w:lang w:val="en-GB"/>
        </w:rPr>
        <w:t>Pourazad</w:t>
      </w:r>
      <w:proofErr w:type="spellEnd"/>
      <w:r w:rsidRPr="00FF2C7B">
        <w:rPr>
          <w:lang w:val="en-GB"/>
        </w:rPr>
        <w:t xml:space="preserve">, Simmonds and Bellman, 2025). The firm focuses on Europe, Southeast Asia, and Latin America. The complexity of regulation and established competitors such as Tesla and Volkswagen confront the expansion of Europeans. Southeast Asia and Latin </w:t>
      </w:r>
      <w:r w:rsidRPr="00FF2C7B">
        <w:rPr>
          <w:lang w:val="en-GB"/>
        </w:rPr>
        <w:lastRenderedPageBreak/>
        <w:t>America are however high-growth, under penetrated markets with infrastructure developing and first-mover advantages available. This will require successful product localisation, pricing and distribution strategies.</w:t>
      </w:r>
    </w:p>
    <w:p w14:paraId="38B8B7BA" w14:textId="77777777" w:rsidR="002D6B27" w:rsidRPr="00FF2C7B" w:rsidRDefault="007A2B42">
      <w:pPr>
        <w:pStyle w:val="Normal1"/>
        <w:rPr>
          <w:b/>
          <w:bCs/>
          <w:i/>
          <w:iCs/>
          <w:lang w:val="en-GB"/>
        </w:rPr>
      </w:pPr>
      <w:r w:rsidRPr="00FF2C7B">
        <w:rPr>
          <w:b/>
          <w:bCs/>
          <w:i/>
          <w:iCs/>
          <w:lang w:val="en-GB"/>
        </w:rPr>
        <w:t>New Products (New Markets) in Existing Markets</w:t>
      </w:r>
    </w:p>
    <w:p w14:paraId="216D19BD" w14:textId="77777777" w:rsidR="002D6B27" w:rsidRPr="00FF2C7B" w:rsidRDefault="007A2B42">
      <w:pPr>
        <w:pStyle w:val="Normal1"/>
        <w:rPr>
          <w:lang w:val="en-GB"/>
        </w:rPr>
      </w:pPr>
      <w:r w:rsidRPr="00FF2C7B">
        <w:rPr>
          <w:lang w:val="en-GB"/>
        </w:rPr>
        <w:t>This quadrant is devoted to the innovation of the familiar markets - a moderate high-risk strategy that involves a heavy investment in R&amp;D. The firm will introduce new EVs, new and improved battery technologies as well as better range and safety. These programs directly deal with the longest-standing consumer impediment in EV adoption, which is range anxiety. Perhaps the most determining competitive differentiator in the industry is the development of the battery, and investing in this matter will portray future strategic thinking. This strategy further enhances customer loyalty as it keeps off the market share with competitors who are rapidly changing.</w:t>
      </w:r>
    </w:p>
    <w:p w14:paraId="71811FDB" w14:textId="77777777" w:rsidR="002D6B27" w:rsidRPr="00FF2C7B" w:rsidRDefault="007A2B42">
      <w:pPr>
        <w:pStyle w:val="Normal1"/>
        <w:rPr>
          <w:shd w:val="clear" w:color="auto" w:fill="D4EDDA"/>
          <w:lang w:val="en-GB"/>
        </w:rPr>
      </w:pPr>
      <w:r w:rsidRPr="00FF2C7B">
        <w:rPr>
          <w:lang w:val="en-GB"/>
        </w:rPr>
        <w:t xml:space="preserve">The main strategies used by BYD to reinforce its market position in the electric cars market are </w:t>
      </w:r>
      <w:r w:rsidRPr="00FF2C7B">
        <w:rPr>
          <w:b/>
          <w:bCs/>
          <w:i/>
          <w:iCs/>
          <w:lang w:val="en-GB"/>
        </w:rPr>
        <w:t xml:space="preserve">market penetration </w:t>
      </w:r>
      <w:r w:rsidRPr="00FF2C7B">
        <w:rPr>
          <w:lang w:val="en-GB"/>
        </w:rPr>
        <w:t xml:space="preserve">and </w:t>
      </w:r>
      <w:r w:rsidRPr="00FF2C7B">
        <w:rPr>
          <w:b/>
          <w:bCs/>
          <w:i/>
          <w:iCs/>
          <w:lang w:val="en-GB"/>
        </w:rPr>
        <w:t>product development</w:t>
      </w:r>
      <w:r w:rsidRPr="00FF2C7B">
        <w:rPr>
          <w:lang w:val="en-GB"/>
        </w:rPr>
        <w:t>. The company constantly launches new electric vehicles that would satisfy the requirements of various customer groups (BYD, 2022). Concurrently, BYD is also keen on developing its markets through expansion into new markets in different regions of the world including Europe, Southeast Asia and Latin America. The global expansion strategy will enable the company to diversify its customer base as well as to minimize the dependency on domestic demand.</w:t>
      </w:r>
    </w:p>
    <w:p w14:paraId="01AFF73E" w14:textId="77777777" w:rsidR="002D6B27" w:rsidRPr="00FF2C7B" w:rsidRDefault="007A2B42">
      <w:pPr>
        <w:pStyle w:val="Normal1"/>
        <w:rPr>
          <w:lang w:val="en-GB"/>
        </w:rPr>
      </w:pPr>
      <w:r w:rsidRPr="00FF2C7B">
        <w:rPr>
          <w:lang w:val="en-GB"/>
        </w:rPr>
        <w:t xml:space="preserve">Drawing the comparative analysis of the strategic responses of Volkswagen and BYD, one could observe a certain difference between pioneering and follower organisations. The approach of Volkswagen is primarily oriented at reforming the current operations by standardising its platforms and technology differentiation, which is typical of the difficulties encountered by the experienced manufacturer of automobiles switching to electric mobility. On the other hand, BYD focuses on fast growth in the market, product design and cost effectiveness by integrating vertically. This comparison shows that the growth rate of follower organisations is sometimes quicker due to the possibility of taking advantage of the technological progress and the adaptability of the organisation </w:t>
      </w:r>
      <w:r w:rsidRPr="00FF2C7B">
        <w:rPr>
          <w:lang w:val="en-GB"/>
        </w:rPr>
        <w:lastRenderedPageBreak/>
        <w:t>and that the pioneer firms are also forced to operate the legacy systems and adjust to the new trends on the market.</w:t>
      </w:r>
    </w:p>
    <w:p w14:paraId="56ACC18A" w14:textId="77777777" w:rsidR="002D6B27" w:rsidRPr="00FF2C7B" w:rsidRDefault="007A2B42">
      <w:pPr>
        <w:pStyle w:val="Heading1"/>
        <w:rPr>
          <w:lang w:val="en-GB"/>
        </w:rPr>
      </w:pPr>
      <w:r w:rsidRPr="00FF2C7B">
        <w:rPr>
          <w:lang w:val="en-GB"/>
        </w:rPr>
        <w:t>4. Conclusion</w:t>
      </w:r>
    </w:p>
    <w:p w14:paraId="3C89B7EE" w14:textId="3AB3972F" w:rsidR="002D6B27" w:rsidRPr="00FF2C7B" w:rsidRDefault="007A2B42">
      <w:pPr>
        <w:pStyle w:val="Normal1"/>
        <w:rPr>
          <w:lang w:val="en-GB"/>
        </w:rPr>
      </w:pPr>
      <w:r w:rsidRPr="00FF2C7B">
        <w:rPr>
          <w:lang w:val="en-GB"/>
        </w:rPr>
        <w:t xml:space="preserve">This report has discussed the role of the macro-environmental forces in influencing the strategic marketing choices of organisations in the international automotive sector. The comparison has been made between two firms that have different strategic positions which are Volkswagen the pioneering organisation and BYD a follower organisation. The results confirm that government regulation and technological breakthroughs are in the two most important macro-environmental forces that impact the growth of the electric and hybrid vehicle market. Environmental policies and emission laws have propelled the process of making transportation to be sustainable, which has provided vehicle manufacturers with both opportunities and challenges. The response of the organisations to these external forces is also mentioned in the analysis but varies depending on the strategic capabilities of the organisation. By contrast, BYD has implemented a stronger growth strategy through the production of electric vehicles and through the utilization of its vertically integrated manufacturing. The comparison demonstrates the significance of environmental scanning and strategic flexibility in the highly competitive industries. Organisations that effectively combine macro-environmental analysis with strategic marketing systems stand in a better position to react to the emerging opportunities and be able to sustain long-term competitive advantage. </w:t>
      </w:r>
      <w:r w:rsidR="004156A8">
        <w:rPr>
          <w:lang w:val="en-GB"/>
        </w:rPr>
        <w:t xml:space="preserve">Furthermore, future competitiveness will depend on how effectively firms integrate sustainability with innovation while responding to evolving consumer expectations. Continuous investment in clean technologies and adaptive strategies will remain essential for long term success in the automotive industry. </w:t>
      </w:r>
      <w:r w:rsidRPr="00FF2C7B">
        <w:rPr>
          <w:lang w:val="en-GB"/>
        </w:rPr>
        <w:br w:type="page"/>
      </w:r>
    </w:p>
    <w:p w14:paraId="0A620C6A" w14:textId="77777777" w:rsidR="002D6B27" w:rsidRPr="00FF2C7B" w:rsidRDefault="007A2B42">
      <w:pPr>
        <w:pStyle w:val="Heading1"/>
        <w:rPr>
          <w:lang w:val="en-GB"/>
        </w:rPr>
      </w:pPr>
      <w:bookmarkStart w:id="11" w:name="_Toc224312003"/>
      <w:r w:rsidRPr="00FF2C7B">
        <w:rPr>
          <w:lang w:val="en-GB"/>
        </w:rPr>
        <w:lastRenderedPageBreak/>
        <w:t>Reference list</w:t>
      </w:r>
      <w:bookmarkEnd w:id="11"/>
    </w:p>
    <w:p w14:paraId="6E830803" w14:textId="77777777" w:rsidR="002D6B27" w:rsidRPr="00FF2C7B" w:rsidRDefault="007A2B42">
      <w:pPr>
        <w:pStyle w:val="Normal1"/>
        <w:spacing w:before="0"/>
        <w:rPr>
          <w:lang w:val="en-GB"/>
        </w:rPr>
      </w:pPr>
      <w:proofErr w:type="spellStart"/>
      <w:r w:rsidRPr="00FF2C7B">
        <w:rPr>
          <w:lang w:val="en-GB"/>
        </w:rPr>
        <w:t>Alharbi</w:t>
      </w:r>
      <w:proofErr w:type="spellEnd"/>
      <w:r w:rsidRPr="00FF2C7B">
        <w:rPr>
          <w:lang w:val="en-GB"/>
        </w:rPr>
        <w:t xml:space="preserve">, K.M., </w:t>
      </w:r>
      <w:proofErr w:type="spellStart"/>
      <w:r w:rsidRPr="00FF2C7B">
        <w:rPr>
          <w:lang w:val="en-GB"/>
        </w:rPr>
        <w:t>Elshamly</w:t>
      </w:r>
      <w:proofErr w:type="spellEnd"/>
      <w:r w:rsidRPr="00FF2C7B">
        <w:rPr>
          <w:lang w:val="en-GB"/>
        </w:rPr>
        <w:t xml:space="preserve">, A. and Mahgoub, I.G. (2025) ‘Do Regulatory Pressures and Stakeholder Expectations Drive CSR Adherence in the Chemical Industry?’, </w:t>
      </w:r>
      <w:r w:rsidRPr="00FF2C7B">
        <w:rPr>
          <w:i/>
          <w:iCs/>
          <w:lang w:val="en-GB"/>
        </w:rPr>
        <w:t>Sustainability</w:t>
      </w:r>
      <w:r w:rsidRPr="00FF2C7B">
        <w:rPr>
          <w:lang w:val="en-GB"/>
        </w:rPr>
        <w:t>, 17(5), p. 2128. Available at: https://doi.org/10.3390/su17052128.</w:t>
      </w:r>
    </w:p>
    <w:p w14:paraId="33D73C33" w14:textId="77777777" w:rsidR="002D6B27" w:rsidRPr="00FF2C7B" w:rsidRDefault="007A2B42">
      <w:pPr>
        <w:pStyle w:val="Normal1"/>
        <w:spacing w:before="0"/>
        <w:rPr>
          <w:lang w:val="en-GB"/>
        </w:rPr>
      </w:pPr>
      <w:r w:rsidRPr="00FF2C7B">
        <w:rPr>
          <w:lang w:val="en-GB"/>
        </w:rPr>
        <w:t xml:space="preserve">Alnoor, A. </w:t>
      </w:r>
      <w:r w:rsidRPr="00FF2C7B">
        <w:rPr>
          <w:i/>
          <w:iCs/>
          <w:lang w:val="en-GB"/>
        </w:rPr>
        <w:t>et al.</w:t>
      </w:r>
      <w:r w:rsidRPr="00FF2C7B">
        <w:rPr>
          <w:lang w:val="en-GB"/>
        </w:rPr>
        <w:t xml:space="preserve"> (2022) ‘The Hybrid Strategy on the Basis of Miles and Snow and Porter’s strategies: an Overview of the Current state-of-the-art of Research’, </w:t>
      </w:r>
      <w:r w:rsidRPr="00FF2C7B">
        <w:rPr>
          <w:i/>
          <w:iCs/>
          <w:lang w:val="en-GB"/>
        </w:rPr>
        <w:t>International Journal of Engineering Business Management</w:t>
      </w:r>
      <w:r w:rsidRPr="00FF2C7B">
        <w:rPr>
          <w:lang w:val="en-GB"/>
        </w:rPr>
        <w:t>, 14(14), p. 184797902210802. Available at: https://journals.sagepub.com/doi/full/10.1177/18479790221080214.</w:t>
      </w:r>
    </w:p>
    <w:p w14:paraId="632D3396" w14:textId="77777777" w:rsidR="002D6B27" w:rsidRPr="00FF2C7B" w:rsidRDefault="007A2B42">
      <w:pPr>
        <w:pStyle w:val="Normal1"/>
        <w:spacing w:before="0"/>
        <w:rPr>
          <w:lang w:val="en-GB"/>
        </w:rPr>
      </w:pPr>
      <w:r w:rsidRPr="00FF2C7B">
        <w:rPr>
          <w:lang w:val="en-GB"/>
        </w:rPr>
        <w:t xml:space="preserve">Brüggemann, P., Martinez, L.F. and Pauwels, K. (2025) ‘Theoretical perspectives and conceptual framework for online grocery shopping: Adapting to environmental circumstances and influencing internal factors’, </w:t>
      </w:r>
      <w:r w:rsidRPr="00FF2C7B">
        <w:rPr>
          <w:i/>
          <w:iCs/>
          <w:lang w:val="en-GB"/>
        </w:rPr>
        <w:t>Electronic Commerce Research</w:t>
      </w:r>
      <w:r w:rsidRPr="00FF2C7B">
        <w:rPr>
          <w:lang w:val="en-GB"/>
        </w:rPr>
        <w:t xml:space="preserve"> [Preprint]. Available at: https://doi.org/10.1007/s10660-025-09960-8.</w:t>
      </w:r>
    </w:p>
    <w:p w14:paraId="5820F122" w14:textId="77777777" w:rsidR="002D6B27" w:rsidRPr="00FF2C7B" w:rsidRDefault="007A2B42">
      <w:pPr>
        <w:pStyle w:val="Normal1"/>
        <w:spacing w:before="0"/>
        <w:rPr>
          <w:lang w:val="en-GB"/>
        </w:rPr>
      </w:pPr>
      <w:r w:rsidRPr="00FF2C7B">
        <w:rPr>
          <w:lang w:val="en-GB"/>
        </w:rPr>
        <w:t xml:space="preserve">BYD (2022) </w:t>
      </w:r>
      <w:r w:rsidRPr="00FF2C7B">
        <w:rPr>
          <w:i/>
          <w:iCs/>
          <w:lang w:val="en-GB"/>
        </w:rPr>
        <w:t>‘affordable electric cars’ - Technological Innovations for a Better Life | BYD USA</w:t>
      </w:r>
      <w:r w:rsidRPr="00FF2C7B">
        <w:rPr>
          <w:lang w:val="en-GB"/>
        </w:rPr>
        <w:t xml:space="preserve">, </w:t>
      </w:r>
      <w:r w:rsidRPr="00FF2C7B">
        <w:rPr>
          <w:i/>
          <w:iCs/>
          <w:lang w:val="en-GB"/>
        </w:rPr>
        <w:t>Technological Innovations for a Better Life | BYD USA</w:t>
      </w:r>
      <w:r w:rsidRPr="00FF2C7B">
        <w:rPr>
          <w:lang w:val="en-GB"/>
        </w:rPr>
        <w:t>. Available at: https://en.byd.com/search/affordable%20electric%20cars.</w:t>
      </w:r>
    </w:p>
    <w:p w14:paraId="02CF97EC" w14:textId="77777777" w:rsidR="002D6B27" w:rsidRPr="00FF2C7B" w:rsidRDefault="007A2B42">
      <w:pPr>
        <w:pStyle w:val="Normal1"/>
        <w:spacing w:before="0"/>
        <w:rPr>
          <w:lang w:val="en-GB"/>
        </w:rPr>
      </w:pPr>
      <w:r w:rsidRPr="00FF2C7B">
        <w:rPr>
          <w:lang w:val="en-GB"/>
        </w:rPr>
        <w:t xml:space="preserve">Grand View Research (2024) </w:t>
      </w:r>
      <w:r w:rsidRPr="00FF2C7B">
        <w:rPr>
          <w:i/>
          <w:iCs/>
          <w:lang w:val="en-GB"/>
        </w:rPr>
        <w:t>EV Market Size &amp; Share | Global Electric Vehicles Industry Report, 2020</w:t>
      </w:r>
      <w:r w:rsidRPr="00FF2C7B">
        <w:rPr>
          <w:lang w:val="en-GB"/>
        </w:rPr>
        <w:t xml:space="preserve">, </w:t>
      </w:r>
      <w:r w:rsidRPr="00FF2C7B">
        <w:rPr>
          <w:i/>
          <w:iCs/>
          <w:lang w:val="en-GB"/>
        </w:rPr>
        <w:t>Grandviewresearch.com</w:t>
      </w:r>
      <w:r w:rsidRPr="00FF2C7B">
        <w:rPr>
          <w:lang w:val="en-GB"/>
        </w:rPr>
        <w:t>. Available at: https://www.grandviewresearch.com/industry-analysis/electric-vehicles-ev-market.</w:t>
      </w:r>
    </w:p>
    <w:p w14:paraId="7103E1CB" w14:textId="77777777" w:rsidR="002D6B27" w:rsidRPr="00FF2C7B" w:rsidRDefault="007A2B42">
      <w:pPr>
        <w:pStyle w:val="Normal1"/>
        <w:spacing w:before="0"/>
        <w:rPr>
          <w:lang w:val="en-GB"/>
        </w:rPr>
      </w:pPr>
      <w:r w:rsidRPr="00FF2C7B">
        <w:rPr>
          <w:lang w:val="en-GB"/>
        </w:rPr>
        <w:t xml:space="preserve">Hotten, R. (2015) ‘Volkswagen: the Scandal Explained’, </w:t>
      </w:r>
      <w:r w:rsidRPr="00FF2C7B">
        <w:rPr>
          <w:i/>
          <w:iCs/>
          <w:lang w:val="en-GB"/>
        </w:rPr>
        <w:t>BBC News</w:t>
      </w:r>
      <w:r w:rsidRPr="00FF2C7B">
        <w:rPr>
          <w:lang w:val="en-GB"/>
        </w:rPr>
        <w:t>, 10 December. Available at: https://www.bbc.com/news/business-34324772.</w:t>
      </w:r>
    </w:p>
    <w:p w14:paraId="3CFA1745" w14:textId="77777777" w:rsidR="002D6B27" w:rsidRPr="00FF2C7B" w:rsidRDefault="007A2B42">
      <w:pPr>
        <w:pStyle w:val="Normal1"/>
        <w:spacing w:before="0"/>
        <w:rPr>
          <w:lang w:val="en-GB"/>
        </w:rPr>
      </w:pPr>
      <w:r w:rsidRPr="00FF2C7B">
        <w:rPr>
          <w:lang w:val="en-GB"/>
        </w:rPr>
        <w:t xml:space="preserve">IEA (2021) </w:t>
      </w:r>
      <w:r w:rsidRPr="00FF2C7B">
        <w:rPr>
          <w:i/>
          <w:iCs/>
          <w:lang w:val="en-GB"/>
        </w:rPr>
        <w:t>Policies to Promote Electric Vehicle Deployment</w:t>
      </w:r>
      <w:r w:rsidRPr="00FF2C7B">
        <w:rPr>
          <w:lang w:val="en-GB"/>
        </w:rPr>
        <w:t xml:space="preserve">, </w:t>
      </w:r>
      <w:r w:rsidRPr="00FF2C7B">
        <w:rPr>
          <w:i/>
          <w:iCs/>
          <w:lang w:val="en-GB"/>
        </w:rPr>
        <w:t>IEA</w:t>
      </w:r>
      <w:r w:rsidRPr="00FF2C7B">
        <w:rPr>
          <w:lang w:val="en-GB"/>
        </w:rPr>
        <w:t>. Available at: https://www.iea.org/reports/global-ev-outlook-2021/policies-to-promote-electric-vehicle-deployment.</w:t>
      </w:r>
    </w:p>
    <w:p w14:paraId="615B7979" w14:textId="77777777" w:rsidR="002D6B27" w:rsidRPr="00FF2C7B" w:rsidRDefault="007A2B42">
      <w:pPr>
        <w:pStyle w:val="Normal1"/>
        <w:spacing w:before="0"/>
        <w:rPr>
          <w:lang w:val="en-GB"/>
        </w:rPr>
      </w:pPr>
      <w:r w:rsidRPr="00FF2C7B">
        <w:rPr>
          <w:lang w:val="en-GB"/>
        </w:rPr>
        <w:t xml:space="preserve">Jurevicius, O. (2025) </w:t>
      </w:r>
      <w:r w:rsidRPr="00FF2C7B">
        <w:rPr>
          <w:i/>
          <w:iCs/>
          <w:lang w:val="en-GB"/>
        </w:rPr>
        <w:t>Porter’s (Three) Generic Strategies Explained - SM Insight</w:t>
      </w:r>
      <w:r w:rsidRPr="00FF2C7B">
        <w:rPr>
          <w:lang w:val="en-GB"/>
        </w:rPr>
        <w:t xml:space="preserve">, </w:t>
      </w:r>
      <w:r w:rsidRPr="00FF2C7B">
        <w:rPr>
          <w:i/>
          <w:iCs/>
          <w:lang w:val="en-GB"/>
        </w:rPr>
        <w:t>Strategic Management Insight</w:t>
      </w:r>
      <w:r w:rsidRPr="00FF2C7B">
        <w:rPr>
          <w:lang w:val="en-GB"/>
        </w:rPr>
        <w:t>. Available at: https://strategicmanagementinsight.com/tools/porters-three-generic-strategies/.</w:t>
      </w:r>
    </w:p>
    <w:p w14:paraId="0D4FF4C5" w14:textId="77777777" w:rsidR="002D6B27" w:rsidRPr="00FF2C7B" w:rsidRDefault="007A2B42">
      <w:pPr>
        <w:pStyle w:val="Normal1"/>
        <w:spacing w:before="0"/>
        <w:rPr>
          <w:lang w:val="en-GB"/>
        </w:rPr>
      </w:pPr>
      <w:r w:rsidRPr="00FF2C7B">
        <w:rPr>
          <w:lang w:val="en-GB"/>
        </w:rPr>
        <w:lastRenderedPageBreak/>
        <w:t xml:space="preserve">Pan, S. </w:t>
      </w:r>
      <w:r w:rsidRPr="00FF2C7B">
        <w:rPr>
          <w:i/>
          <w:iCs/>
          <w:lang w:val="en-GB"/>
        </w:rPr>
        <w:t>et al.</w:t>
      </w:r>
      <w:r w:rsidRPr="00FF2C7B">
        <w:rPr>
          <w:lang w:val="en-GB"/>
        </w:rPr>
        <w:t xml:space="preserve"> (2026) ‘Future changes in CO2 emissions in the shift to electric mobility in countries with varied levels of zero-emission vehicle policies’, </w:t>
      </w:r>
      <w:r w:rsidRPr="00FF2C7B">
        <w:rPr>
          <w:i/>
          <w:iCs/>
          <w:lang w:val="en-GB"/>
        </w:rPr>
        <w:t>Resources, Environment and Sustainability</w:t>
      </w:r>
      <w:r w:rsidRPr="00FF2C7B">
        <w:rPr>
          <w:lang w:val="en-GB"/>
        </w:rPr>
        <w:t>, 24, p. 100316. Available at: https://doi.org/10.1016/j.resenv.2026.100316.</w:t>
      </w:r>
    </w:p>
    <w:p w14:paraId="4F6DECED" w14:textId="77777777" w:rsidR="002D6B27" w:rsidRPr="00FF2C7B" w:rsidRDefault="007A2B42">
      <w:pPr>
        <w:pStyle w:val="Normal1"/>
        <w:spacing w:before="0"/>
        <w:rPr>
          <w:lang w:val="en-GB"/>
        </w:rPr>
      </w:pPr>
      <w:proofErr w:type="spellStart"/>
      <w:r w:rsidRPr="00FF2C7B">
        <w:rPr>
          <w:lang w:val="en-GB"/>
        </w:rPr>
        <w:t>Pourazad</w:t>
      </w:r>
      <w:proofErr w:type="spellEnd"/>
      <w:r w:rsidRPr="00FF2C7B">
        <w:rPr>
          <w:lang w:val="en-GB"/>
        </w:rPr>
        <w:t xml:space="preserve">, N., Simmonds, L. and Bellman, S. (2025) ‘Promotional Strategies for Standalone Apps: A Systematic Review and Research Agenda’, </w:t>
      </w:r>
      <w:r w:rsidRPr="00FF2C7B">
        <w:rPr>
          <w:i/>
          <w:iCs/>
          <w:lang w:val="en-GB"/>
        </w:rPr>
        <w:t>Australasian Marketing Journal</w:t>
      </w:r>
      <w:r w:rsidRPr="00FF2C7B">
        <w:rPr>
          <w:lang w:val="en-GB"/>
        </w:rPr>
        <w:t xml:space="preserve"> [Preprint]. Available at: https://doi.org/10.1177/14413582251358508.</w:t>
      </w:r>
    </w:p>
    <w:p w14:paraId="47272540" w14:textId="77777777" w:rsidR="002D6B27" w:rsidRPr="00FF2C7B" w:rsidRDefault="007A2B42">
      <w:pPr>
        <w:pStyle w:val="Normal1"/>
        <w:spacing w:before="0"/>
        <w:rPr>
          <w:lang w:val="en-GB"/>
        </w:rPr>
      </w:pPr>
      <w:r w:rsidRPr="00FF2C7B">
        <w:rPr>
          <w:lang w:val="en-GB"/>
        </w:rPr>
        <w:t xml:space="preserve">Volkswagen (2024) </w:t>
      </w:r>
      <w:r w:rsidRPr="00FF2C7B">
        <w:rPr>
          <w:i/>
          <w:iCs/>
          <w:lang w:val="en-GB"/>
        </w:rPr>
        <w:t>#Electromobility | Volkswagen Group</w:t>
      </w:r>
      <w:r w:rsidRPr="00FF2C7B">
        <w:rPr>
          <w:lang w:val="en-GB"/>
        </w:rPr>
        <w:t xml:space="preserve">, </w:t>
      </w:r>
      <w:r w:rsidRPr="00FF2C7B">
        <w:rPr>
          <w:i/>
          <w:iCs/>
          <w:lang w:val="en-GB"/>
        </w:rPr>
        <w:t>Volkswagen-group.com</w:t>
      </w:r>
      <w:r w:rsidRPr="00FF2C7B">
        <w:rPr>
          <w:lang w:val="en-GB"/>
        </w:rPr>
        <w:t>. Available at: https://www.volkswagen-group.com/en/tags/electromobility-1052.</w:t>
      </w:r>
    </w:p>
    <w:p w14:paraId="43CCEA55" w14:textId="77777777" w:rsidR="002D6B27" w:rsidRPr="00FF2C7B" w:rsidRDefault="007A2B42">
      <w:pPr>
        <w:pStyle w:val="Normal1"/>
        <w:spacing w:before="0"/>
        <w:rPr>
          <w:lang w:val="en-GB"/>
        </w:rPr>
      </w:pPr>
      <w:r w:rsidRPr="00FF2C7B">
        <w:rPr>
          <w:lang w:val="en-GB"/>
        </w:rPr>
        <w:t xml:space="preserve">Volkswagen Group (2024) </w:t>
      </w:r>
      <w:r w:rsidRPr="00FF2C7B">
        <w:rPr>
          <w:i/>
          <w:iCs/>
          <w:lang w:val="en-GB"/>
        </w:rPr>
        <w:t>Volkswagen Group takes the offensive in China by strengthening tech capabilities and reducing costs</w:t>
      </w:r>
      <w:r w:rsidRPr="00FF2C7B">
        <w:rPr>
          <w:lang w:val="en-GB"/>
        </w:rPr>
        <w:t xml:space="preserve">, </w:t>
      </w:r>
      <w:r w:rsidRPr="00FF2C7B">
        <w:rPr>
          <w:i/>
          <w:iCs/>
          <w:lang w:val="en-GB"/>
        </w:rPr>
        <w:t>Volkswagen Group</w:t>
      </w:r>
      <w:r w:rsidRPr="00FF2C7B">
        <w:rPr>
          <w:lang w:val="en-GB"/>
        </w:rPr>
        <w:t>. Available at: https://www.volkswagen-group.com/en/press-releases/volkswagen-group-takes-the-offensive-in-china-by-strengthening-tech-capabilities-and-reducing-costs-18350.</w:t>
      </w:r>
    </w:p>
    <w:p w14:paraId="27468FCE" w14:textId="77777777" w:rsidR="002D6B27" w:rsidRPr="00FF2C7B" w:rsidRDefault="007A2B42">
      <w:pPr>
        <w:pStyle w:val="Normal1"/>
        <w:spacing w:before="0"/>
        <w:rPr>
          <w:lang w:val="en-GB"/>
        </w:rPr>
      </w:pPr>
      <w:r w:rsidRPr="00FF2C7B">
        <w:rPr>
          <w:lang w:val="en-GB"/>
        </w:rPr>
        <w:t xml:space="preserve">VW Press (2025) </w:t>
      </w:r>
      <w:r w:rsidRPr="00FF2C7B">
        <w:rPr>
          <w:i/>
          <w:iCs/>
          <w:lang w:val="en-GB"/>
        </w:rPr>
        <w:t>VW Press UK</w:t>
      </w:r>
      <w:r w:rsidRPr="00FF2C7B">
        <w:rPr>
          <w:lang w:val="en-GB"/>
        </w:rPr>
        <w:t xml:space="preserve">, </w:t>
      </w:r>
      <w:r w:rsidRPr="00FF2C7B">
        <w:rPr>
          <w:i/>
          <w:iCs/>
          <w:lang w:val="en-GB"/>
        </w:rPr>
        <w:t>Vwpress.co.uk</w:t>
      </w:r>
      <w:r w:rsidRPr="00FF2C7B">
        <w:rPr>
          <w:lang w:val="en-GB"/>
        </w:rPr>
        <w:t>. Available at: https://www.vwpress.co.uk/releases/3477.</w:t>
      </w:r>
    </w:p>
    <w:p w14:paraId="59078BE7" w14:textId="77777777" w:rsidR="002D6B27" w:rsidRPr="00FF2C7B" w:rsidRDefault="007A2B42">
      <w:pPr>
        <w:pStyle w:val="Normal1"/>
        <w:spacing w:before="0"/>
        <w:rPr>
          <w:lang w:val="en-GB"/>
        </w:rPr>
      </w:pPr>
      <w:r w:rsidRPr="00FF2C7B">
        <w:rPr>
          <w:lang w:val="en-GB"/>
        </w:rPr>
        <w:t xml:space="preserve">VW USA (2025) </w:t>
      </w:r>
      <w:r w:rsidRPr="00FF2C7B">
        <w:rPr>
          <w:i/>
          <w:iCs/>
          <w:lang w:val="en-GB"/>
        </w:rPr>
        <w:t>VW USA</w:t>
      </w:r>
      <w:r w:rsidRPr="00FF2C7B">
        <w:rPr>
          <w:lang w:val="en-GB"/>
        </w:rPr>
        <w:t xml:space="preserve">, </w:t>
      </w:r>
      <w:r w:rsidRPr="00FF2C7B">
        <w:rPr>
          <w:i/>
          <w:iCs/>
          <w:lang w:val="en-GB"/>
        </w:rPr>
        <w:t>Vw.com</w:t>
      </w:r>
      <w:r w:rsidRPr="00FF2C7B">
        <w:rPr>
          <w:lang w:val="en-GB"/>
        </w:rPr>
        <w:t>. Available at: https://media.vw.com/releases/1088.</w:t>
      </w:r>
    </w:p>
    <w:p w14:paraId="118F145B" w14:textId="77777777" w:rsidR="002D6B27" w:rsidRPr="00FF2C7B" w:rsidRDefault="007A2B42">
      <w:pPr>
        <w:pStyle w:val="Normal1"/>
        <w:spacing w:before="0"/>
        <w:rPr>
          <w:lang w:val="en-GB"/>
        </w:rPr>
      </w:pPr>
      <w:r w:rsidRPr="00FF2C7B">
        <w:rPr>
          <w:lang w:val="en-GB"/>
        </w:rPr>
        <w:t>Williams, I.D. and Blyth, M. (2023) ‘</w:t>
      </w:r>
      <w:proofErr w:type="spellStart"/>
      <w:r w:rsidRPr="00FF2C7B">
        <w:rPr>
          <w:lang w:val="en-GB"/>
        </w:rPr>
        <w:t>Autogeddon</w:t>
      </w:r>
      <w:proofErr w:type="spellEnd"/>
      <w:r w:rsidRPr="00FF2C7B">
        <w:rPr>
          <w:lang w:val="en-GB"/>
        </w:rPr>
        <w:t xml:space="preserve"> or </w:t>
      </w:r>
      <w:proofErr w:type="spellStart"/>
      <w:r w:rsidRPr="00FF2C7B">
        <w:rPr>
          <w:lang w:val="en-GB"/>
        </w:rPr>
        <w:t>autoheaven</w:t>
      </w:r>
      <w:proofErr w:type="spellEnd"/>
      <w:r w:rsidRPr="00FF2C7B">
        <w:rPr>
          <w:lang w:val="en-GB"/>
        </w:rPr>
        <w:t xml:space="preserve">: Environmental and Social Effects of the Automotive Industry from Launch to Present’, </w:t>
      </w:r>
      <w:r w:rsidRPr="00FF2C7B">
        <w:rPr>
          <w:i/>
          <w:iCs/>
          <w:lang w:val="en-GB"/>
        </w:rPr>
        <w:t>Science of The Total Environment</w:t>
      </w:r>
      <w:r w:rsidRPr="00FF2C7B">
        <w:rPr>
          <w:lang w:val="en-GB"/>
        </w:rPr>
        <w:t>, 858(3), p. 159987. Available at: https://doi.org/10.1016/j.scitotenv.2022.159987.</w:t>
      </w:r>
    </w:p>
    <w:p w14:paraId="390CAF11" w14:textId="77777777" w:rsidR="002D6B27" w:rsidRPr="00FF2C7B" w:rsidRDefault="007A2B42">
      <w:pPr>
        <w:pStyle w:val="Normal1"/>
        <w:rPr>
          <w:lang w:val="en-GB"/>
        </w:rPr>
      </w:pPr>
      <w:r w:rsidRPr="00FF2C7B">
        <w:rPr>
          <w:lang w:val="en-GB"/>
        </w:rPr>
        <w:br w:type="page"/>
      </w:r>
    </w:p>
    <w:p w14:paraId="36A4E802" w14:textId="77777777" w:rsidR="002D6B27" w:rsidRPr="00FF2C7B" w:rsidRDefault="007A2B42">
      <w:pPr>
        <w:pStyle w:val="Heading1"/>
        <w:rPr>
          <w:lang w:val="en-GB"/>
        </w:rPr>
      </w:pPr>
      <w:bookmarkStart w:id="12" w:name="_Toc224312004"/>
      <w:r w:rsidRPr="00FF2C7B">
        <w:rPr>
          <w:lang w:val="en-GB"/>
        </w:rPr>
        <w:lastRenderedPageBreak/>
        <w:t>Appendices</w:t>
      </w:r>
      <w:bookmarkEnd w:id="12"/>
    </w:p>
    <w:p w14:paraId="6F655D7B" w14:textId="77777777" w:rsidR="002D6B27" w:rsidRPr="00FF2C7B" w:rsidRDefault="007A2B42">
      <w:pPr>
        <w:pStyle w:val="Heading2"/>
        <w:rPr>
          <w:lang w:val="en-GB"/>
        </w:rPr>
      </w:pPr>
      <w:bookmarkStart w:id="13" w:name="_Toc224312005"/>
      <w:r w:rsidRPr="00FF2C7B">
        <w:rPr>
          <w:lang w:val="en-GB"/>
        </w:rPr>
        <w:t>Appendix 1: Growth of automotive industry</w:t>
      </w:r>
      <w:bookmarkEnd w:id="13"/>
    </w:p>
    <w:p w14:paraId="1EC01FD6" w14:textId="77777777" w:rsidR="002D6B27" w:rsidRPr="00FF2C7B" w:rsidRDefault="007A2B42">
      <w:pPr>
        <w:pStyle w:val="Normal1"/>
        <w:jc w:val="center"/>
        <w:rPr>
          <w:lang w:val="en-GB"/>
        </w:rPr>
      </w:pPr>
      <w:r w:rsidRPr="00FF2C7B">
        <w:rPr>
          <w:noProof/>
        </w:rPr>
        <w:drawing>
          <wp:inline distT="114300" distB="114300" distL="114300" distR="114300" wp14:anchorId="68A73AC2" wp14:editId="72860282">
            <wp:extent cx="5730875" cy="33782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referRelativeResize="0"/>
                  </pic:nvPicPr>
                  <pic:blipFill>
                    <a:blip r:embed="rId10"/>
                    <a:srcRect/>
                    <a:stretch>
                      <a:fillRect/>
                    </a:stretch>
                  </pic:blipFill>
                  <pic:spPr>
                    <a:xfrm>
                      <a:off x="0" y="0"/>
                      <a:ext cx="5731200" cy="3378200"/>
                    </a:xfrm>
                    <a:prstGeom prst="rect">
                      <a:avLst/>
                    </a:prstGeom>
                    <a:ln w="25400">
                      <a:solidFill>
                        <a:srgbClr val="000000"/>
                      </a:solidFill>
                      <a:prstDash val="solid"/>
                    </a:ln>
                  </pic:spPr>
                </pic:pic>
              </a:graphicData>
            </a:graphic>
          </wp:inline>
        </w:drawing>
      </w:r>
    </w:p>
    <w:p w14:paraId="4B921ACD" w14:textId="77777777" w:rsidR="002D6B27" w:rsidRPr="00FF2C7B" w:rsidRDefault="007A2B42">
      <w:pPr>
        <w:pStyle w:val="Normal1"/>
        <w:jc w:val="center"/>
        <w:rPr>
          <w:b/>
          <w:i/>
          <w:lang w:val="en-GB"/>
        </w:rPr>
      </w:pPr>
      <w:r w:rsidRPr="00FF2C7B">
        <w:rPr>
          <w:b/>
          <w:i/>
          <w:lang w:val="en-GB"/>
        </w:rPr>
        <w:t>Figure 3: Steady growth of automotive industry</w:t>
      </w:r>
    </w:p>
    <w:p w14:paraId="3F1AFDF1" w14:textId="77777777" w:rsidR="002D6B27" w:rsidRPr="00FF2C7B" w:rsidRDefault="007A2B42">
      <w:pPr>
        <w:pStyle w:val="Normal1"/>
        <w:jc w:val="center"/>
        <w:rPr>
          <w:lang w:val="en-GB"/>
        </w:rPr>
      </w:pPr>
      <w:r w:rsidRPr="00FF2C7B">
        <w:rPr>
          <w:lang w:val="en-GB"/>
        </w:rPr>
        <w:t>(Williams and Blyth, 2023)</w:t>
      </w:r>
    </w:p>
    <w:p w14:paraId="098CEDBB" w14:textId="77777777" w:rsidR="002D6B27" w:rsidRPr="00FF2C7B" w:rsidRDefault="002D6B27">
      <w:pPr>
        <w:pStyle w:val="Normal1"/>
        <w:rPr>
          <w:lang w:val="en-GB"/>
        </w:rPr>
      </w:pPr>
    </w:p>
    <w:p w14:paraId="62AC2FED" w14:textId="3A5C2BF2" w:rsidR="002D6B27" w:rsidRPr="00FF2C7B" w:rsidRDefault="002D6B27">
      <w:pPr>
        <w:pStyle w:val="Normal1"/>
        <w:rPr>
          <w:lang w:val="en-GB"/>
        </w:rPr>
      </w:pPr>
    </w:p>
    <w:sectPr w:rsidR="002D6B27" w:rsidRPr="00FF2C7B" w:rsidSect="002D6B27">
      <w:headerReference w:type="default" r:id="rId11"/>
      <w:footerReference w:type="default" r:id="rId12"/>
      <w:headerReference w:type="first" r:id="rId13"/>
      <w:footerReference w:type="first" r:id="rId14"/>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A0C7D" w14:textId="77777777" w:rsidR="00A546D5" w:rsidRDefault="00A546D5">
      <w:pPr>
        <w:spacing w:line="240" w:lineRule="auto"/>
      </w:pPr>
      <w:r>
        <w:separator/>
      </w:r>
    </w:p>
  </w:endnote>
  <w:endnote w:type="continuationSeparator" w:id="0">
    <w:p w14:paraId="58446D03" w14:textId="77777777" w:rsidR="00A546D5" w:rsidRDefault="00A546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96C2F50-CC8B-403D-AA3E-23803874A7C2}"/>
  </w:font>
  <w:font w:name="Calibri">
    <w:panose1 w:val="020F0502020204030204"/>
    <w:charset w:val="00"/>
    <w:family w:val="swiss"/>
    <w:pitch w:val="variable"/>
    <w:sig w:usb0="E4002EFF" w:usb1="C200ACFF" w:usb2="00000009" w:usb3="00000000" w:csb0="000001FF" w:csb1="00000000"/>
    <w:embedRegular r:id="rId2" w:fontKey="{140CD5AD-554B-461F-8367-D1D6B60FDEE1}"/>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F9C99" w14:textId="77777777" w:rsidR="002D6B27" w:rsidRDefault="00940913">
    <w:pPr>
      <w:pStyle w:val="Normal1"/>
      <w:jc w:val="right"/>
    </w:pPr>
    <w:r>
      <w:fldChar w:fldCharType="begin"/>
    </w:r>
    <w:r w:rsidR="007A2B42">
      <w:instrText>PAGE</w:instrText>
    </w:r>
    <w:r>
      <w:fldChar w:fldCharType="separate"/>
    </w:r>
    <w:r w:rsidR="006024D8">
      <w:rPr>
        <w:noProof/>
      </w:rPr>
      <w:t>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F29FB" w14:textId="77777777" w:rsidR="002D6B27" w:rsidRDefault="002D6B27">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9AC4A" w14:textId="77777777" w:rsidR="00A546D5" w:rsidRDefault="00A546D5">
      <w:pPr>
        <w:spacing w:before="0" w:after="0"/>
      </w:pPr>
      <w:r>
        <w:separator/>
      </w:r>
    </w:p>
  </w:footnote>
  <w:footnote w:type="continuationSeparator" w:id="0">
    <w:p w14:paraId="6AB9BF94" w14:textId="77777777" w:rsidR="00A546D5" w:rsidRDefault="00A546D5">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CC100" w14:textId="77777777" w:rsidR="002D6B27" w:rsidRDefault="007A2B42">
    <w:pPr>
      <w:pStyle w:val="Normal1"/>
      <w:jc w:val="right"/>
      <w:rPr>
        <w:sz w:val="18"/>
        <w:szCs w:val="18"/>
      </w:rPr>
    </w:pPr>
    <w:r>
      <w:t xml:space="preserve"> MARKETING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49527" w14:textId="77777777" w:rsidR="002D6B27" w:rsidRDefault="002D6B27">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C23"/>
    <w:rsid w:val="000E53C1"/>
    <w:rsid w:val="001608AA"/>
    <w:rsid w:val="002342A6"/>
    <w:rsid w:val="002D6B27"/>
    <w:rsid w:val="002F089D"/>
    <w:rsid w:val="00333D8C"/>
    <w:rsid w:val="00343A6A"/>
    <w:rsid w:val="003A25BF"/>
    <w:rsid w:val="00412FD1"/>
    <w:rsid w:val="004156A8"/>
    <w:rsid w:val="00422E65"/>
    <w:rsid w:val="00572FDB"/>
    <w:rsid w:val="005B1460"/>
    <w:rsid w:val="006024D8"/>
    <w:rsid w:val="006F707E"/>
    <w:rsid w:val="007168CD"/>
    <w:rsid w:val="007262BC"/>
    <w:rsid w:val="007A2B42"/>
    <w:rsid w:val="00940913"/>
    <w:rsid w:val="009454D4"/>
    <w:rsid w:val="0096398B"/>
    <w:rsid w:val="009C6B65"/>
    <w:rsid w:val="00A242B7"/>
    <w:rsid w:val="00A546D5"/>
    <w:rsid w:val="00A5679F"/>
    <w:rsid w:val="00CD382E"/>
    <w:rsid w:val="00D02E5C"/>
    <w:rsid w:val="00D66931"/>
    <w:rsid w:val="00D71C23"/>
    <w:rsid w:val="00D83CC2"/>
    <w:rsid w:val="00DA16D1"/>
    <w:rsid w:val="00E87815"/>
    <w:rsid w:val="00EA61AF"/>
    <w:rsid w:val="00F024CF"/>
    <w:rsid w:val="00F101E7"/>
    <w:rsid w:val="00F14C86"/>
    <w:rsid w:val="00F677E4"/>
    <w:rsid w:val="00F766A7"/>
    <w:rsid w:val="00FF2C7B"/>
    <w:rsid w:val="4EE12C5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CE6E"/>
  <w15:docId w15:val="{07A0BCC5-E4D0-4132-B542-B6F9AD29A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B27"/>
    <w:pPr>
      <w:spacing w:before="240" w:after="240" w:line="360" w:lineRule="auto"/>
      <w:jc w:val="both"/>
    </w:pPr>
    <w:rPr>
      <w:rFonts w:ascii="Arial" w:eastAsia="Arial" w:hAnsi="Arial" w:cs="Arial"/>
      <w:color w:val="111111"/>
      <w:sz w:val="24"/>
      <w:szCs w:val="24"/>
    </w:rPr>
  </w:style>
  <w:style w:type="paragraph" w:styleId="Heading1">
    <w:name w:val="heading 1"/>
    <w:basedOn w:val="Normal1"/>
    <w:next w:val="Normal1"/>
    <w:rsid w:val="002D6B27"/>
    <w:pPr>
      <w:keepNext/>
      <w:keepLines/>
      <w:outlineLvl w:val="0"/>
    </w:pPr>
    <w:rPr>
      <w:b/>
      <w:bCs/>
      <w:sz w:val="28"/>
      <w:szCs w:val="28"/>
    </w:rPr>
  </w:style>
  <w:style w:type="paragraph" w:styleId="Heading2">
    <w:name w:val="heading 2"/>
    <w:basedOn w:val="Normal1"/>
    <w:next w:val="Normal1"/>
    <w:rsid w:val="002D6B27"/>
    <w:pPr>
      <w:keepNext/>
      <w:keepLines/>
      <w:outlineLvl w:val="1"/>
    </w:pPr>
    <w:rPr>
      <w:b/>
      <w:bCs/>
      <w:sz w:val="26"/>
      <w:szCs w:val="26"/>
    </w:rPr>
  </w:style>
  <w:style w:type="paragraph" w:styleId="Heading3">
    <w:name w:val="heading 3"/>
    <w:basedOn w:val="Normal1"/>
    <w:next w:val="Normal1"/>
    <w:rsid w:val="002D6B27"/>
    <w:pPr>
      <w:keepNext/>
      <w:keepLines/>
      <w:outlineLvl w:val="2"/>
    </w:pPr>
    <w:rPr>
      <w:b/>
      <w:bCs/>
      <w:i/>
      <w:iCs/>
    </w:rPr>
  </w:style>
  <w:style w:type="paragraph" w:styleId="Heading4">
    <w:name w:val="heading 4"/>
    <w:basedOn w:val="Normal1"/>
    <w:next w:val="Normal1"/>
    <w:rsid w:val="002D6B27"/>
    <w:pPr>
      <w:keepNext/>
      <w:keepLines/>
      <w:spacing w:before="280" w:after="80"/>
      <w:outlineLvl w:val="3"/>
    </w:pPr>
    <w:rPr>
      <w:color w:val="666666"/>
    </w:rPr>
  </w:style>
  <w:style w:type="paragraph" w:styleId="Heading5">
    <w:name w:val="heading 5"/>
    <w:basedOn w:val="Normal1"/>
    <w:next w:val="Normal1"/>
    <w:rsid w:val="002D6B27"/>
    <w:pPr>
      <w:keepNext/>
      <w:keepLines/>
      <w:spacing w:after="80"/>
      <w:outlineLvl w:val="4"/>
    </w:pPr>
    <w:rPr>
      <w:color w:val="666666"/>
      <w:sz w:val="22"/>
      <w:szCs w:val="22"/>
    </w:rPr>
  </w:style>
  <w:style w:type="paragraph" w:styleId="Heading6">
    <w:name w:val="heading 6"/>
    <w:basedOn w:val="Normal1"/>
    <w:next w:val="Normal1"/>
    <w:rsid w:val="002D6B27"/>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D6B27"/>
    <w:pPr>
      <w:spacing w:before="240" w:after="240" w:line="360" w:lineRule="auto"/>
      <w:jc w:val="both"/>
    </w:pPr>
    <w:rPr>
      <w:rFonts w:ascii="Arial" w:eastAsia="Arial" w:hAnsi="Arial" w:cs="Arial"/>
      <w:color w:val="111111"/>
      <w:sz w:val="24"/>
      <w:szCs w:val="24"/>
    </w:rPr>
  </w:style>
  <w:style w:type="paragraph" w:styleId="BalloonText">
    <w:name w:val="Balloon Text"/>
    <w:basedOn w:val="Normal"/>
    <w:link w:val="BalloonTextChar"/>
    <w:uiPriority w:val="99"/>
    <w:semiHidden/>
    <w:unhideWhenUsed/>
    <w:rsid w:val="002D6B27"/>
    <w:pPr>
      <w:spacing w:before="0" w:after="0" w:line="240" w:lineRule="auto"/>
    </w:pPr>
    <w:rPr>
      <w:rFonts w:ascii="Tahoma" w:hAnsi="Tahoma" w:cs="Tahoma"/>
      <w:sz w:val="16"/>
      <w:szCs w:val="16"/>
    </w:rPr>
  </w:style>
  <w:style w:type="character" w:styleId="Hyperlink">
    <w:name w:val="Hyperlink"/>
    <w:basedOn w:val="DefaultParagraphFont"/>
    <w:uiPriority w:val="99"/>
    <w:unhideWhenUsed/>
    <w:rsid w:val="002D6B27"/>
    <w:rPr>
      <w:color w:val="0000FF" w:themeColor="hyperlink"/>
      <w:u w:val="single"/>
    </w:rPr>
  </w:style>
  <w:style w:type="paragraph" w:styleId="Subtitle">
    <w:name w:val="Subtitle"/>
    <w:basedOn w:val="Normal1"/>
    <w:next w:val="Normal1"/>
    <w:rsid w:val="002D6B27"/>
    <w:pPr>
      <w:keepNext/>
      <w:keepLines/>
      <w:spacing w:before="0" w:after="320"/>
    </w:pPr>
    <w:rPr>
      <w:color w:val="666666"/>
      <w:sz w:val="30"/>
      <w:szCs w:val="30"/>
    </w:rPr>
  </w:style>
  <w:style w:type="paragraph" w:styleId="Title">
    <w:name w:val="Title"/>
    <w:basedOn w:val="Normal1"/>
    <w:next w:val="Normal1"/>
    <w:rsid w:val="002D6B27"/>
    <w:pPr>
      <w:keepNext/>
      <w:keepLines/>
      <w:spacing w:before="0" w:after="60"/>
    </w:pPr>
    <w:rPr>
      <w:sz w:val="52"/>
      <w:szCs w:val="52"/>
    </w:rPr>
  </w:style>
  <w:style w:type="paragraph" w:styleId="TOC1">
    <w:name w:val="toc 1"/>
    <w:basedOn w:val="Normal"/>
    <w:next w:val="Normal"/>
    <w:autoRedefine/>
    <w:uiPriority w:val="39"/>
    <w:unhideWhenUsed/>
    <w:rsid w:val="002D6B27"/>
    <w:pPr>
      <w:spacing w:after="100"/>
    </w:pPr>
  </w:style>
  <w:style w:type="paragraph" w:styleId="TOC2">
    <w:name w:val="toc 2"/>
    <w:basedOn w:val="Normal"/>
    <w:next w:val="Normal"/>
    <w:autoRedefine/>
    <w:uiPriority w:val="39"/>
    <w:unhideWhenUsed/>
    <w:rsid w:val="002D6B27"/>
    <w:pPr>
      <w:spacing w:after="100"/>
      <w:ind w:left="240"/>
    </w:pPr>
  </w:style>
  <w:style w:type="paragraph" w:styleId="TOC3">
    <w:name w:val="toc 3"/>
    <w:basedOn w:val="Normal"/>
    <w:next w:val="Normal"/>
    <w:autoRedefine/>
    <w:uiPriority w:val="39"/>
    <w:unhideWhenUsed/>
    <w:rsid w:val="002D6B27"/>
    <w:pPr>
      <w:spacing w:after="100"/>
      <w:ind w:left="480"/>
    </w:pPr>
  </w:style>
  <w:style w:type="table" w:customStyle="1" w:styleId="TableNormal0">
    <w:name w:val="TableNormal"/>
    <w:rsid w:val="002D6B27"/>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rsid w:val="002D6B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eader" Target="header2.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eader" Target="header1.xml" /><Relationship Id="rId5" Type="http://schemas.openxmlformats.org/officeDocument/2006/relationships/endnotes" Target="endnotes.xml" /><Relationship Id="rId15" Type="http://schemas.openxmlformats.org/officeDocument/2006/relationships/fontTable" Target="fontTable.xm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3629</Words>
  <Characters>20687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RACHIT BAROT</cp:lastModifiedBy>
  <cp:revision>5</cp:revision>
  <dcterms:created xsi:type="dcterms:W3CDTF">2026-03-26T14:57:00Z</dcterms:created>
  <dcterms:modified xsi:type="dcterms:W3CDTF">2026-03-26T15:00:00Z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2057-12.2.0.23197</vt:lpwstr>
  </property>
  <property fmtid="{D5CDD505-2E9C-101B-9397-08002B2CF9AE}" pid="3" name="ICV">
    <vt:lpwstr>E0875A320C474184B7D5E13AAFDB7733_12</vt:lpwstr>
  </property>
</Properties>
</file>