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bCs/>
          <w:color w:val="000000"/>
          <w:spacing w:val="-3"/>
        </w:rPr>
      </w:pPr>
      <w:proofErr w:type="spellStart"/>
      <w:r w:rsidRPr="00905668">
        <w:rPr>
          <w:rFonts w:cs="Times"/>
          <w:b/>
          <w:color w:val="000000"/>
          <w:spacing w:val="-3"/>
        </w:rPr>
        <w:t>Angevin</w:t>
      </w:r>
      <w:proofErr w:type="spellEnd"/>
      <w:r w:rsidRPr="00905668">
        <w:rPr>
          <w:rFonts w:cs="Times"/>
          <w:b/>
          <w:color w:val="000000"/>
          <w:spacing w:val="-3"/>
        </w:rPr>
        <w:t xml:space="preserve"> England</w:t>
      </w:r>
    </w:p>
    <w:p w:rsidR="006C4882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</w:p>
    <w:p w:rsidR="006C4882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</w:p>
    <w:p w:rsidR="006C4882" w:rsidRPr="00905668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  <w:proofErr w:type="spellStart"/>
      <w:r w:rsidRPr="00905668">
        <w:rPr>
          <w:bCs/>
          <w:color w:val="000000"/>
          <w:lang w:val="en-US"/>
        </w:rPr>
        <w:t>Bachrach</w:t>
      </w:r>
      <w:proofErr w:type="spellEnd"/>
      <w:r w:rsidRPr="00905668">
        <w:rPr>
          <w:bCs/>
          <w:color w:val="000000"/>
          <w:lang w:val="en-US"/>
        </w:rPr>
        <w:t xml:space="preserve">, Bernard S, ‘Henry II and the </w:t>
      </w:r>
      <w:proofErr w:type="spellStart"/>
      <w:r w:rsidRPr="00905668">
        <w:rPr>
          <w:bCs/>
          <w:color w:val="000000"/>
          <w:lang w:val="en-US"/>
        </w:rPr>
        <w:t>Angevin</w:t>
      </w:r>
      <w:proofErr w:type="spellEnd"/>
      <w:r w:rsidRPr="00905668">
        <w:rPr>
          <w:bCs/>
          <w:color w:val="000000"/>
          <w:lang w:val="en-US"/>
        </w:rPr>
        <w:t xml:space="preserve"> tradition of family hostility’, </w:t>
      </w:r>
      <w:r w:rsidRPr="00905668">
        <w:rPr>
          <w:bCs/>
          <w:i/>
          <w:iCs/>
          <w:color w:val="000000"/>
          <w:lang w:val="en-US"/>
        </w:rPr>
        <w:t>Albion</w:t>
      </w:r>
      <w:r w:rsidRPr="00905668">
        <w:rPr>
          <w:bCs/>
          <w:color w:val="000000"/>
          <w:lang w:val="en-US"/>
        </w:rPr>
        <w:t>, 16 (1984), 111-30</w:t>
      </w:r>
    </w:p>
    <w:p w:rsidR="006C4882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</w:p>
    <w:p w:rsidR="006C4882" w:rsidRPr="00905668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Barber, Richard, </w:t>
      </w:r>
      <w:r w:rsidRPr="00905668">
        <w:rPr>
          <w:bCs/>
          <w:i/>
          <w:color w:val="000000"/>
          <w:lang w:val="en-US"/>
        </w:rPr>
        <w:t xml:space="preserve">Henry Plantagenet </w:t>
      </w:r>
      <w:r w:rsidRPr="00905668">
        <w:rPr>
          <w:bCs/>
          <w:color w:val="000000"/>
          <w:lang w:val="en-US"/>
        </w:rPr>
        <w:t>(2001)</w:t>
      </w:r>
    </w:p>
    <w:p w:rsidR="006C4882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</w:p>
    <w:p w:rsidR="006C4882" w:rsidRPr="00905668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____________, </w:t>
      </w:r>
      <w:r w:rsidRPr="00905668">
        <w:rPr>
          <w:bCs/>
          <w:i/>
          <w:color w:val="000000"/>
          <w:lang w:val="en-US"/>
        </w:rPr>
        <w:t xml:space="preserve">The Devil’s Crown: A History of Henry II and his Sons </w:t>
      </w:r>
      <w:r w:rsidRPr="00905668">
        <w:rPr>
          <w:bCs/>
          <w:color w:val="000000"/>
          <w:lang w:val="en-US"/>
        </w:rPr>
        <w:t>(1978)</w:t>
      </w: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Crouch, D., </w:t>
      </w:r>
      <w:r w:rsidRPr="00905668">
        <w:rPr>
          <w:rFonts w:cs="Times"/>
          <w:i/>
          <w:iCs/>
          <w:color w:val="000000"/>
          <w:spacing w:val="-3"/>
        </w:rPr>
        <w:t xml:space="preserve">William Marshal: Court, Career and Chivalry in the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Empire, 1147-1219</w:t>
      </w:r>
      <w:r w:rsidRPr="00905668">
        <w:rPr>
          <w:rFonts w:cs="Times"/>
          <w:color w:val="000000"/>
          <w:spacing w:val="-3"/>
        </w:rPr>
        <w:t xml:space="preserve"> (London, </w:t>
      </w:r>
    </w:p>
    <w:p w:rsidR="006C4882" w:rsidRPr="00905668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>1990)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Gillingham, J., </w:t>
      </w:r>
      <w:proofErr w:type="gramStart"/>
      <w:r w:rsidRPr="00905668">
        <w:rPr>
          <w:rFonts w:cs="Times"/>
          <w:i/>
          <w:iCs/>
          <w:color w:val="000000"/>
          <w:spacing w:val="-3"/>
        </w:rPr>
        <w:t>The</w:t>
      </w:r>
      <w:proofErr w:type="gramEnd"/>
      <w:r w:rsidRPr="00905668">
        <w:rPr>
          <w:rFonts w:cs="Times"/>
          <w:i/>
          <w:iCs/>
          <w:color w:val="000000"/>
          <w:spacing w:val="-3"/>
        </w:rPr>
        <w:t xml:space="preserve">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Empire</w:t>
      </w:r>
      <w:r w:rsidRPr="00905668">
        <w:rPr>
          <w:rFonts w:cs="Times"/>
          <w:color w:val="000000"/>
          <w:spacing w:val="-3"/>
        </w:rPr>
        <w:t xml:space="preserve"> (1984)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>Gillingham, J. and Holt, J.C. (</w:t>
      </w:r>
      <w:proofErr w:type="spellStart"/>
      <w:proofErr w:type="gramStart"/>
      <w:r w:rsidRPr="00905668">
        <w:rPr>
          <w:rFonts w:cs="Times"/>
          <w:color w:val="000000"/>
          <w:spacing w:val="-3"/>
        </w:rPr>
        <w:t>eds</w:t>
      </w:r>
      <w:proofErr w:type="spellEnd"/>
      <w:proofErr w:type="gramEnd"/>
      <w:r w:rsidRPr="00905668">
        <w:rPr>
          <w:rFonts w:cs="Times"/>
          <w:color w:val="000000"/>
          <w:spacing w:val="-3"/>
        </w:rPr>
        <w:t xml:space="preserve">), </w:t>
      </w:r>
      <w:r w:rsidRPr="00905668">
        <w:rPr>
          <w:rFonts w:cs="Times"/>
          <w:i/>
          <w:iCs/>
          <w:color w:val="000000"/>
          <w:spacing w:val="-3"/>
        </w:rPr>
        <w:t xml:space="preserve">War and Government in the Middle Ages </w:t>
      </w:r>
      <w:r w:rsidRPr="00905668">
        <w:rPr>
          <w:rFonts w:cs="Times"/>
          <w:color w:val="000000"/>
          <w:spacing w:val="-3"/>
        </w:rPr>
        <w:t>(Woodbridge, 1984)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proofErr w:type="spellStart"/>
      <w:r w:rsidRPr="00905668">
        <w:rPr>
          <w:rFonts w:cs="Times"/>
          <w:color w:val="000000"/>
          <w:spacing w:val="-3"/>
        </w:rPr>
        <w:t>Jolliffe</w:t>
      </w:r>
      <w:proofErr w:type="spellEnd"/>
      <w:r w:rsidRPr="00905668">
        <w:rPr>
          <w:rFonts w:cs="Times"/>
          <w:color w:val="000000"/>
          <w:spacing w:val="-3"/>
        </w:rPr>
        <w:t xml:space="preserve">, J.E.A.,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Kingship</w:t>
      </w:r>
      <w:r w:rsidRPr="00905668">
        <w:rPr>
          <w:rFonts w:cs="Times"/>
          <w:color w:val="000000"/>
          <w:spacing w:val="-3"/>
        </w:rPr>
        <w:t xml:space="preserve"> (London, 1955, 2nd </w:t>
      </w:r>
      <w:proofErr w:type="spellStart"/>
      <w:r w:rsidRPr="00905668">
        <w:rPr>
          <w:rFonts w:cs="Times"/>
          <w:color w:val="000000"/>
          <w:spacing w:val="-3"/>
        </w:rPr>
        <w:t>edn</w:t>
      </w:r>
      <w:proofErr w:type="spellEnd"/>
      <w:r w:rsidRPr="00905668">
        <w:rPr>
          <w:rFonts w:cs="Times"/>
          <w:color w:val="000000"/>
          <w:spacing w:val="-3"/>
        </w:rPr>
        <w:t>., 1963)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Le </w:t>
      </w:r>
      <w:proofErr w:type="spellStart"/>
      <w:r w:rsidRPr="00905668">
        <w:rPr>
          <w:rFonts w:cs="Times"/>
          <w:color w:val="000000"/>
          <w:spacing w:val="-3"/>
        </w:rPr>
        <w:t>Patourel</w:t>
      </w:r>
      <w:proofErr w:type="spellEnd"/>
      <w:r w:rsidRPr="00905668">
        <w:rPr>
          <w:rFonts w:cs="Times"/>
          <w:color w:val="000000"/>
          <w:spacing w:val="-3"/>
        </w:rPr>
        <w:t>, J.,</w:t>
      </w:r>
      <w:r w:rsidRPr="00905668">
        <w:rPr>
          <w:rFonts w:cs="Times"/>
          <w:i/>
          <w:iCs/>
          <w:color w:val="000000"/>
          <w:spacing w:val="-3"/>
        </w:rPr>
        <w:t xml:space="preserve"> Feudal Empires, Norman and Plantagenet</w:t>
      </w:r>
      <w:r w:rsidRPr="00905668">
        <w:rPr>
          <w:rFonts w:cs="Times"/>
          <w:color w:val="000000"/>
          <w:spacing w:val="-3"/>
        </w:rPr>
        <w:t xml:space="preserve"> (London, 1984)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Mortimer, R.,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England, 1154-1258</w:t>
      </w:r>
      <w:r w:rsidRPr="00905668">
        <w:rPr>
          <w:rFonts w:cs="Times"/>
          <w:color w:val="000000"/>
          <w:spacing w:val="-3"/>
        </w:rPr>
        <w:t xml:space="preserve"> (1994)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Owen, D.R., </w:t>
      </w:r>
      <w:r w:rsidRPr="00905668">
        <w:rPr>
          <w:rFonts w:cs="Times"/>
          <w:i/>
          <w:iCs/>
          <w:color w:val="000000"/>
          <w:spacing w:val="-3"/>
        </w:rPr>
        <w:t>Eleanor of Aquitaine</w:t>
      </w:r>
      <w:r w:rsidRPr="00905668">
        <w:rPr>
          <w:rFonts w:cs="Times"/>
          <w:color w:val="000000"/>
          <w:spacing w:val="-3"/>
        </w:rPr>
        <w:t xml:space="preserve"> (Oxford, 1993)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Painter, S., </w:t>
      </w:r>
      <w:r w:rsidRPr="00905668">
        <w:rPr>
          <w:rFonts w:cs="Times"/>
          <w:i/>
          <w:iCs/>
          <w:color w:val="000000"/>
          <w:spacing w:val="-3"/>
        </w:rPr>
        <w:t>William Marshal</w:t>
      </w:r>
      <w:r w:rsidRPr="00905668">
        <w:rPr>
          <w:rFonts w:cs="Times"/>
          <w:color w:val="000000"/>
          <w:spacing w:val="-3"/>
        </w:rPr>
        <w:t xml:space="preserve"> (1933)</w:t>
      </w:r>
    </w:p>
    <w:p w:rsidR="006C4882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</w:p>
    <w:p w:rsidR="006C4882" w:rsidRPr="00905668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color w:val="000000"/>
          <w:lang w:val="en-US"/>
        </w:rPr>
        <w:t xml:space="preserve">Prestwich, J.O., ‘Henry II, 1154-89’, </w:t>
      </w:r>
      <w:r w:rsidRPr="00905668">
        <w:rPr>
          <w:bCs/>
          <w:i/>
          <w:iCs/>
          <w:color w:val="000000"/>
          <w:lang w:val="en-US"/>
        </w:rPr>
        <w:t>History Today</w:t>
      </w:r>
      <w:r w:rsidRPr="00905668">
        <w:rPr>
          <w:bCs/>
          <w:color w:val="000000"/>
          <w:lang w:val="en-US"/>
        </w:rPr>
        <w:t>, 5 (1955), 752-61</w:t>
      </w: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Thomas, H.M., </w:t>
      </w:r>
      <w:r w:rsidRPr="00905668">
        <w:rPr>
          <w:rFonts w:cs="Times"/>
          <w:i/>
          <w:iCs/>
          <w:color w:val="000000"/>
          <w:spacing w:val="-3"/>
        </w:rPr>
        <w:t xml:space="preserve">Vassals, Heiresses, Crusaders and Thugs: the Gentry of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Yorkshire 1154-1216</w:t>
      </w:r>
      <w:r w:rsidRPr="00905668">
        <w:rPr>
          <w:rFonts w:cs="Times"/>
          <w:color w:val="000000"/>
          <w:spacing w:val="-3"/>
        </w:rPr>
        <w:t xml:space="preserve"> </w:t>
      </w:r>
    </w:p>
    <w:p w:rsidR="006C4882" w:rsidRPr="00905668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>(1993)</w:t>
      </w:r>
    </w:p>
    <w:p w:rsidR="006C4882" w:rsidRDefault="006C4882" w:rsidP="006C4882">
      <w:pPr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Default="006C4882" w:rsidP="006C4882">
      <w:pPr>
        <w:spacing w:after="0" w:line="240" w:lineRule="auto"/>
        <w:jc w:val="both"/>
        <w:rPr>
          <w:bCs/>
          <w:i/>
          <w:iCs/>
          <w:color w:val="000000"/>
          <w:lang w:val="en-US"/>
        </w:rPr>
      </w:pPr>
      <w:r w:rsidRPr="00905668">
        <w:rPr>
          <w:rFonts w:cs="Times"/>
          <w:color w:val="000000"/>
          <w:spacing w:val="-3"/>
        </w:rPr>
        <w:t>Turner, R.V.</w:t>
      </w:r>
      <w:proofErr w:type="gramStart"/>
      <w:r w:rsidRPr="00905668">
        <w:rPr>
          <w:rFonts w:cs="Times"/>
          <w:color w:val="000000"/>
          <w:spacing w:val="-3"/>
        </w:rPr>
        <w:t xml:space="preserve">, </w:t>
      </w:r>
      <w:r w:rsidRPr="00905668">
        <w:rPr>
          <w:rFonts w:cs="Times"/>
          <w:iCs/>
          <w:color w:val="000000"/>
          <w:spacing w:val="-3"/>
        </w:rPr>
        <w:t xml:space="preserve"> </w:t>
      </w:r>
      <w:r w:rsidRPr="00905668">
        <w:rPr>
          <w:bCs/>
          <w:color w:val="000000"/>
          <w:lang w:val="en-US"/>
        </w:rPr>
        <w:t>‘Henry</w:t>
      </w:r>
      <w:proofErr w:type="gramEnd"/>
      <w:r w:rsidRPr="00905668">
        <w:rPr>
          <w:bCs/>
          <w:color w:val="000000"/>
          <w:lang w:val="en-US"/>
        </w:rPr>
        <w:t xml:space="preserve"> II’s and his sons’ territories: an </w:t>
      </w:r>
      <w:proofErr w:type="spellStart"/>
      <w:r w:rsidRPr="00905668">
        <w:rPr>
          <w:bCs/>
          <w:color w:val="000000"/>
          <w:lang w:val="en-US"/>
        </w:rPr>
        <w:t>Angevin</w:t>
      </w:r>
      <w:proofErr w:type="spellEnd"/>
      <w:r w:rsidRPr="00905668">
        <w:rPr>
          <w:bCs/>
          <w:color w:val="000000"/>
          <w:lang w:val="en-US"/>
        </w:rPr>
        <w:t xml:space="preserve"> ‘empire’?’, </w:t>
      </w:r>
      <w:r w:rsidRPr="00905668">
        <w:rPr>
          <w:bCs/>
          <w:i/>
          <w:iCs/>
          <w:color w:val="000000"/>
          <w:lang w:val="en-US"/>
        </w:rPr>
        <w:t xml:space="preserve">Proceedings of the Annual </w:t>
      </w:r>
    </w:p>
    <w:p w:rsidR="006C4882" w:rsidRPr="00905668" w:rsidRDefault="006C4882" w:rsidP="006C4882">
      <w:pPr>
        <w:spacing w:after="0" w:line="240" w:lineRule="auto"/>
        <w:jc w:val="both"/>
        <w:rPr>
          <w:bCs/>
          <w:color w:val="000000"/>
          <w:lang w:val="en-US"/>
        </w:rPr>
      </w:pPr>
      <w:r w:rsidRPr="00905668">
        <w:rPr>
          <w:bCs/>
          <w:i/>
          <w:iCs/>
          <w:color w:val="000000"/>
          <w:lang w:val="en-US"/>
        </w:rPr>
        <w:t>Meeting of the Western Society for French history</w:t>
      </w:r>
      <w:r w:rsidRPr="00905668">
        <w:rPr>
          <w:bCs/>
          <w:color w:val="000000"/>
          <w:lang w:val="en-US"/>
        </w:rPr>
        <w:t>, 21 (1994), 1-14</w:t>
      </w: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iCs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iCs/>
          <w:color w:val="000000"/>
          <w:spacing w:val="-3"/>
        </w:rPr>
        <w:t xml:space="preserve">______________, </w:t>
      </w:r>
      <w:r w:rsidRPr="00905668">
        <w:rPr>
          <w:rFonts w:cs="Times"/>
          <w:i/>
          <w:iCs/>
          <w:color w:val="000000"/>
          <w:spacing w:val="-3"/>
        </w:rPr>
        <w:t xml:space="preserve">Men </w:t>
      </w:r>
      <w:proofErr w:type="gramStart"/>
      <w:r w:rsidRPr="00905668">
        <w:rPr>
          <w:rFonts w:cs="Times"/>
          <w:i/>
          <w:iCs/>
          <w:color w:val="000000"/>
          <w:spacing w:val="-3"/>
        </w:rPr>
        <w:t>Raised</w:t>
      </w:r>
      <w:proofErr w:type="gramEnd"/>
      <w:r w:rsidRPr="00905668">
        <w:rPr>
          <w:rFonts w:cs="Times"/>
          <w:i/>
          <w:iCs/>
          <w:color w:val="000000"/>
          <w:spacing w:val="-3"/>
        </w:rPr>
        <w:t xml:space="preserve"> from the Dust: Administrative Service and Upward Mobility in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England</w:t>
      </w:r>
      <w:r w:rsidRPr="00905668">
        <w:rPr>
          <w:rFonts w:cs="Times"/>
          <w:color w:val="000000"/>
          <w:spacing w:val="-3"/>
        </w:rPr>
        <w:t xml:space="preserve"> (University of Pennsylvania, 1988)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iCs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iCs/>
          <w:color w:val="000000"/>
          <w:spacing w:val="-3"/>
        </w:rPr>
        <w:t xml:space="preserve">______________, </w:t>
      </w:r>
      <w:r w:rsidRPr="00905668">
        <w:rPr>
          <w:rFonts w:cs="Times"/>
          <w:i/>
          <w:iCs/>
          <w:color w:val="000000"/>
          <w:spacing w:val="-3"/>
        </w:rPr>
        <w:t xml:space="preserve">The English Judiciary in the age of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Glanvill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and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Bracton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</w:t>
      </w:r>
      <w:r w:rsidRPr="00905668">
        <w:rPr>
          <w:rFonts w:cs="Times"/>
          <w:color w:val="000000"/>
          <w:spacing w:val="-3"/>
        </w:rPr>
        <w:t>(Cambridge, 1985)</w:t>
      </w:r>
    </w:p>
    <w:p w:rsidR="006C4882" w:rsidRPr="00905668" w:rsidRDefault="006C4882" w:rsidP="006C4882">
      <w:pPr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bCs/>
          <w:color w:val="000000"/>
          <w:lang w:val="en-US"/>
        </w:rPr>
        <w:t xml:space="preserve">Walker, David, ‘Crown and episcopacy under the Normans and </w:t>
      </w:r>
      <w:proofErr w:type="spellStart"/>
      <w:r w:rsidRPr="00905668">
        <w:rPr>
          <w:bCs/>
          <w:color w:val="000000"/>
          <w:lang w:val="en-US"/>
        </w:rPr>
        <w:t>Angevins</w:t>
      </w:r>
      <w:proofErr w:type="spellEnd"/>
      <w:r w:rsidRPr="00905668">
        <w:rPr>
          <w:bCs/>
          <w:color w:val="000000"/>
          <w:lang w:val="en-US"/>
        </w:rPr>
        <w:t xml:space="preserve">’, </w:t>
      </w:r>
      <w:r w:rsidRPr="00905668">
        <w:rPr>
          <w:bCs/>
          <w:i/>
          <w:iCs/>
          <w:color w:val="000000"/>
          <w:lang w:val="en-US"/>
        </w:rPr>
        <w:t>Anglo-Norman Studies</w:t>
      </w:r>
      <w:r w:rsidRPr="00905668">
        <w:rPr>
          <w:bCs/>
          <w:color w:val="000000"/>
          <w:lang w:val="en-US"/>
        </w:rPr>
        <w:t>, 5 (1982), 220-33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Warren, W.L., </w:t>
      </w:r>
      <w:r w:rsidRPr="00905668">
        <w:rPr>
          <w:rFonts w:cs="Times"/>
          <w:i/>
          <w:iCs/>
          <w:color w:val="000000"/>
          <w:spacing w:val="-3"/>
        </w:rPr>
        <w:t xml:space="preserve">Henry II </w:t>
      </w:r>
      <w:r w:rsidRPr="00905668">
        <w:rPr>
          <w:rFonts w:cs="Times"/>
          <w:color w:val="000000"/>
          <w:spacing w:val="-3"/>
        </w:rPr>
        <w:t>(London, 1973)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bCs/>
          <w:color w:val="000000"/>
          <w:spacing w:val="-3"/>
        </w:rPr>
      </w:pP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bCs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b/>
          <w:bCs/>
          <w:color w:val="000000"/>
          <w:spacing w:val="-3"/>
        </w:rPr>
        <w:t>The Church</w:t>
      </w: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Alexander, J.W., ‘The Becket Controversy in Recent Historiography’, </w:t>
      </w:r>
      <w:r w:rsidRPr="00905668">
        <w:rPr>
          <w:rFonts w:cs="Times"/>
          <w:i/>
          <w:iCs/>
          <w:color w:val="000000"/>
          <w:spacing w:val="-3"/>
        </w:rPr>
        <w:t>Journal of British Studies</w:t>
      </w:r>
      <w:r w:rsidRPr="00905668">
        <w:rPr>
          <w:rFonts w:cs="Times"/>
          <w:iCs/>
          <w:color w:val="000000"/>
          <w:spacing w:val="-3"/>
        </w:rPr>
        <w:t>,</w:t>
      </w:r>
      <w:r w:rsidRPr="00905668">
        <w:rPr>
          <w:rFonts w:cs="Times"/>
          <w:i/>
          <w:iCs/>
          <w:color w:val="000000"/>
          <w:spacing w:val="-3"/>
        </w:rPr>
        <w:t xml:space="preserve"> </w:t>
      </w:r>
      <w:r w:rsidRPr="00905668">
        <w:rPr>
          <w:rFonts w:cs="Times"/>
          <w:color w:val="000000"/>
          <w:spacing w:val="-3"/>
        </w:rPr>
        <w:t>9 (1970),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Barlow, F., </w:t>
      </w:r>
      <w:r w:rsidRPr="00905668">
        <w:rPr>
          <w:rFonts w:cs="Times"/>
          <w:i/>
          <w:iCs/>
          <w:color w:val="000000"/>
          <w:spacing w:val="-3"/>
        </w:rPr>
        <w:t xml:space="preserve">Thomas Becket </w:t>
      </w:r>
      <w:r w:rsidRPr="00905668">
        <w:rPr>
          <w:rFonts w:cs="Times"/>
          <w:color w:val="000000"/>
          <w:spacing w:val="-3"/>
        </w:rPr>
        <w:t>(1986)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lastRenderedPageBreak/>
        <w:t xml:space="preserve">Brooke, Z.N., </w:t>
      </w:r>
      <w:proofErr w:type="gramStart"/>
      <w:r w:rsidRPr="00905668">
        <w:rPr>
          <w:rFonts w:cs="Times"/>
          <w:i/>
          <w:iCs/>
          <w:color w:val="000000"/>
          <w:spacing w:val="-3"/>
        </w:rPr>
        <w:t>The</w:t>
      </w:r>
      <w:proofErr w:type="gramEnd"/>
      <w:r w:rsidRPr="00905668">
        <w:rPr>
          <w:rFonts w:cs="Times"/>
          <w:i/>
          <w:iCs/>
          <w:color w:val="000000"/>
          <w:spacing w:val="-3"/>
        </w:rPr>
        <w:t xml:space="preserve"> English Church and the Papacy</w:t>
      </w:r>
      <w:r w:rsidRPr="00905668">
        <w:rPr>
          <w:rFonts w:cs="Times"/>
          <w:color w:val="000000"/>
          <w:spacing w:val="-3"/>
        </w:rPr>
        <w:t xml:space="preserve"> (Cambridge, 1990)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Burton, Janet, </w:t>
      </w:r>
      <w:r w:rsidRPr="00905668">
        <w:rPr>
          <w:rFonts w:cs="Times"/>
          <w:i/>
          <w:iCs/>
          <w:color w:val="000000"/>
          <w:spacing w:val="-3"/>
        </w:rPr>
        <w:t>Monastic and Religious Orders in Britain 1000-1300</w:t>
      </w:r>
      <w:r w:rsidRPr="00905668">
        <w:rPr>
          <w:rFonts w:cs="Times"/>
          <w:color w:val="000000"/>
          <w:spacing w:val="-3"/>
        </w:rPr>
        <w:t xml:space="preserve"> (Cambridge, 1994)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Duggan, C., </w:t>
      </w:r>
      <w:r w:rsidRPr="00905668">
        <w:rPr>
          <w:rFonts w:cs="Times"/>
          <w:i/>
          <w:iCs/>
          <w:color w:val="000000"/>
          <w:spacing w:val="-3"/>
        </w:rPr>
        <w:t>Canon Law in Medieval England</w:t>
      </w:r>
      <w:r w:rsidRPr="00905668">
        <w:rPr>
          <w:rFonts w:cs="Times"/>
          <w:color w:val="000000"/>
          <w:spacing w:val="-3"/>
        </w:rPr>
        <w:t xml:space="preserve"> (London, 1982)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Hill, B.D., </w:t>
      </w:r>
      <w:r w:rsidRPr="00905668">
        <w:rPr>
          <w:rFonts w:cs="Times"/>
          <w:i/>
          <w:iCs/>
          <w:color w:val="000000"/>
          <w:spacing w:val="-3"/>
        </w:rPr>
        <w:t xml:space="preserve">English Cistercian Monasteries and their Patrons in the Twelfth Century </w:t>
      </w:r>
      <w:r w:rsidRPr="00905668">
        <w:rPr>
          <w:rFonts w:cs="Times"/>
          <w:color w:val="000000"/>
          <w:spacing w:val="-3"/>
        </w:rPr>
        <w:t>(1968)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Knowles, D., </w:t>
      </w:r>
      <w:proofErr w:type="gramStart"/>
      <w:r w:rsidRPr="00905668">
        <w:rPr>
          <w:rFonts w:cs="Times"/>
          <w:i/>
          <w:iCs/>
          <w:color w:val="000000"/>
          <w:spacing w:val="-3"/>
        </w:rPr>
        <w:t>The</w:t>
      </w:r>
      <w:proofErr w:type="gramEnd"/>
      <w:r w:rsidRPr="00905668">
        <w:rPr>
          <w:rFonts w:cs="Times"/>
          <w:i/>
          <w:iCs/>
          <w:color w:val="000000"/>
          <w:spacing w:val="-3"/>
        </w:rPr>
        <w:t xml:space="preserve"> Monastic Order in England </w:t>
      </w:r>
      <w:r w:rsidRPr="00905668">
        <w:rPr>
          <w:rFonts w:cs="Times"/>
          <w:color w:val="000000"/>
          <w:spacing w:val="-3"/>
        </w:rPr>
        <w:t xml:space="preserve">(2nd </w:t>
      </w:r>
      <w:proofErr w:type="spellStart"/>
      <w:r w:rsidRPr="00905668">
        <w:rPr>
          <w:rFonts w:cs="Times"/>
          <w:color w:val="000000"/>
          <w:spacing w:val="-3"/>
        </w:rPr>
        <w:t>edn</w:t>
      </w:r>
      <w:proofErr w:type="spellEnd"/>
      <w:r w:rsidRPr="00905668">
        <w:rPr>
          <w:rFonts w:cs="Times"/>
          <w:color w:val="000000"/>
          <w:spacing w:val="-3"/>
        </w:rPr>
        <w:t>, Cambridge, 1963)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Staunton, M., </w:t>
      </w:r>
      <w:proofErr w:type="gramStart"/>
      <w:r w:rsidRPr="00905668">
        <w:rPr>
          <w:rFonts w:cs="Times"/>
          <w:i/>
          <w:color w:val="000000"/>
          <w:spacing w:val="-3"/>
        </w:rPr>
        <w:t>The</w:t>
      </w:r>
      <w:proofErr w:type="gramEnd"/>
      <w:r w:rsidRPr="00905668">
        <w:rPr>
          <w:rFonts w:cs="Times"/>
          <w:i/>
          <w:color w:val="000000"/>
          <w:spacing w:val="-3"/>
        </w:rPr>
        <w:t xml:space="preserve"> Lives of Thomas Becket</w:t>
      </w:r>
      <w:r w:rsidRPr="00905668">
        <w:rPr>
          <w:rFonts w:cs="Times"/>
          <w:color w:val="000000"/>
          <w:spacing w:val="-3"/>
        </w:rPr>
        <w:t xml:space="preserve"> (Manchester, 2001)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proofErr w:type="spellStart"/>
      <w:r w:rsidRPr="00905668">
        <w:rPr>
          <w:rFonts w:cs="Times"/>
          <w:color w:val="000000"/>
          <w:spacing w:val="-3"/>
        </w:rPr>
        <w:t>Urry</w:t>
      </w:r>
      <w:proofErr w:type="spellEnd"/>
      <w:r w:rsidRPr="00905668">
        <w:rPr>
          <w:rFonts w:cs="Times"/>
          <w:color w:val="000000"/>
          <w:spacing w:val="-3"/>
        </w:rPr>
        <w:t xml:space="preserve">, W., </w:t>
      </w:r>
      <w:r w:rsidRPr="00905668">
        <w:rPr>
          <w:rFonts w:cs="Times"/>
          <w:i/>
          <w:iCs/>
          <w:color w:val="000000"/>
          <w:spacing w:val="-3"/>
        </w:rPr>
        <w:t xml:space="preserve">Canterbury under </w:t>
      </w:r>
      <w:proofErr w:type="spellStart"/>
      <w:r w:rsidRPr="00905668">
        <w:rPr>
          <w:rFonts w:cs="Times"/>
          <w:i/>
          <w:iCs/>
          <w:color w:val="000000"/>
          <w:spacing w:val="-3"/>
        </w:rPr>
        <w:t>Angevin</w:t>
      </w:r>
      <w:proofErr w:type="spellEnd"/>
      <w:r w:rsidRPr="00905668">
        <w:rPr>
          <w:rFonts w:cs="Times"/>
          <w:i/>
          <w:iCs/>
          <w:color w:val="000000"/>
          <w:spacing w:val="-3"/>
        </w:rPr>
        <w:t xml:space="preserve"> kings </w:t>
      </w:r>
      <w:r w:rsidRPr="00905668">
        <w:rPr>
          <w:rFonts w:cs="Times"/>
          <w:color w:val="000000"/>
          <w:spacing w:val="-3"/>
        </w:rPr>
        <w:t>(1967)</w:t>
      </w: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  <w:r w:rsidRPr="00905668">
        <w:rPr>
          <w:rFonts w:cs="Times"/>
          <w:b/>
          <w:color w:val="000000"/>
          <w:spacing w:val="-3"/>
        </w:rPr>
        <w:t>Eleanor of Aquitaine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Brooke, C., ‘The Marriage of Henry II and Eleanor of Aquitaine’, </w:t>
      </w:r>
      <w:proofErr w:type="gramStart"/>
      <w:r w:rsidRPr="00905668">
        <w:rPr>
          <w:rFonts w:cs="Times"/>
          <w:i/>
          <w:color w:val="000000"/>
          <w:spacing w:val="-3"/>
        </w:rPr>
        <w:t>The</w:t>
      </w:r>
      <w:proofErr w:type="gramEnd"/>
      <w:r w:rsidRPr="00905668">
        <w:rPr>
          <w:rFonts w:cs="Times"/>
          <w:i/>
          <w:color w:val="000000"/>
          <w:spacing w:val="-3"/>
        </w:rPr>
        <w:t xml:space="preserve"> Historian</w:t>
      </w:r>
      <w:r w:rsidRPr="00905668">
        <w:rPr>
          <w:rFonts w:cs="Times"/>
          <w:color w:val="000000"/>
          <w:spacing w:val="-3"/>
        </w:rPr>
        <w:t>, 20 (1988)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color w:val="000000"/>
          <w:spacing w:val="-3"/>
        </w:rPr>
        <w:t xml:space="preserve">Crawford, Anne, </w:t>
      </w:r>
      <w:r w:rsidRPr="00905668">
        <w:rPr>
          <w:rFonts w:cs="Times"/>
          <w:i/>
          <w:color w:val="000000"/>
          <w:spacing w:val="-3"/>
        </w:rPr>
        <w:t xml:space="preserve">Letters of the Queens of England </w:t>
      </w:r>
      <w:r w:rsidRPr="00905668">
        <w:rPr>
          <w:rFonts w:cs="Times"/>
          <w:color w:val="000000"/>
          <w:spacing w:val="-3"/>
        </w:rPr>
        <w:t>(Stroud, 1994)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i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rFonts w:cs="Times"/>
          <w:i/>
          <w:color w:val="000000"/>
          <w:spacing w:val="-3"/>
        </w:rPr>
        <w:t>Eleanor of Aquitaine: Patron and Politician</w:t>
      </w:r>
      <w:r w:rsidRPr="00905668">
        <w:rPr>
          <w:rFonts w:cs="Times"/>
          <w:color w:val="000000"/>
          <w:spacing w:val="-3"/>
        </w:rPr>
        <w:t xml:space="preserve">, ed. </w:t>
      </w:r>
      <w:proofErr w:type="spellStart"/>
      <w:r w:rsidRPr="00905668">
        <w:rPr>
          <w:rFonts w:cs="Times"/>
          <w:color w:val="000000"/>
          <w:spacing w:val="-3"/>
        </w:rPr>
        <w:t>Kibler</w:t>
      </w:r>
      <w:proofErr w:type="spellEnd"/>
      <w:r w:rsidRPr="00905668">
        <w:rPr>
          <w:rFonts w:cs="Times"/>
          <w:color w:val="000000"/>
          <w:spacing w:val="-3"/>
        </w:rPr>
        <w:t>, W. W. (Austin, Texas, 1976)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lang w:val="en-US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Meade, Marion, </w:t>
      </w:r>
      <w:r w:rsidRPr="00905668">
        <w:rPr>
          <w:bCs/>
          <w:i/>
          <w:color w:val="000000"/>
          <w:lang w:val="en-US"/>
        </w:rPr>
        <w:t xml:space="preserve">Eleanor of Aquitaine: A Biography </w:t>
      </w:r>
      <w:r w:rsidRPr="00905668">
        <w:rPr>
          <w:bCs/>
          <w:color w:val="000000"/>
          <w:lang w:val="en-US"/>
        </w:rPr>
        <w:t>(London, 2002)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lang w:val="en-US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color w:val="000000"/>
          <w:lang w:val="en-US"/>
        </w:rPr>
        <w:t xml:space="preserve">Owen, D.D.R., </w:t>
      </w:r>
      <w:r w:rsidRPr="00905668">
        <w:rPr>
          <w:i/>
          <w:color w:val="000000"/>
          <w:lang w:val="en-US"/>
        </w:rPr>
        <w:t>Eleanor of Aquitaine: queen and legend</w:t>
      </w:r>
      <w:r w:rsidRPr="00905668">
        <w:rPr>
          <w:color w:val="000000"/>
          <w:lang w:val="en-US"/>
        </w:rPr>
        <w:t xml:space="preserve"> (Oxford, 1993)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color w:val="000000"/>
          <w:lang w:val="en-US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r w:rsidRPr="00905668">
        <w:rPr>
          <w:color w:val="000000"/>
          <w:lang w:val="en-US"/>
        </w:rPr>
        <w:t xml:space="preserve">Seward, Desmond, </w:t>
      </w:r>
      <w:r w:rsidRPr="00905668">
        <w:rPr>
          <w:i/>
          <w:color w:val="000000"/>
          <w:lang w:val="en-US"/>
        </w:rPr>
        <w:t>Eleanor of Aquitaine: the mother queen</w:t>
      </w:r>
      <w:r w:rsidRPr="00905668">
        <w:rPr>
          <w:color w:val="000000"/>
          <w:lang w:val="en-US"/>
        </w:rPr>
        <w:t xml:space="preserve"> (New York, 1978)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color w:val="000000"/>
          <w:spacing w:val="-3"/>
        </w:rPr>
      </w:pPr>
      <w:bookmarkStart w:id="0" w:name="_GoBack"/>
      <w:bookmarkEnd w:id="0"/>
      <w:r w:rsidRPr="00905668">
        <w:rPr>
          <w:rFonts w:cs="Times"/>
          <w:color w:val="000000"/>
          <w:spacing w:val="-3"/>
        </w:rPr>
        <w:t xml:space="preserve">Weir, Alison, </w:t>
      </w:r>
      <w:r w:rsidRPr="00905668">
        <w:rPr>
          <w:rFonts w:cs="Times"/>
          <w:i/>
          <w:color w:val="000000"/>
          <w:spacing w:val="-3"/>
        </w:rPr>
        <w:t xml:space="preserve">Eleanor of Aquitaine </w:t>
      </w:r>
      <w:r w:rsidRPr="00905668">
        <w:rPr>
          <w:rFonts w:cs="Times"/>
          <w:color w:val="000000"/>
          <w:spacing w:val="-3"/>
        </w:rPr>
        <w:t>(London, 1999)</w:t>
      </w: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  <w:r w:rsidRPr="00905668">
        <w:rPr>
          <w:rFonts w:cs="Times"/>
          <w:b/>
          <w:color w:val="000000"/>
          <w:spacing w:val="-3"/>
        </w:rPr>
        <w:t xml:space="preserve"> </w:t>
      </w: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</w:p>
    <w:p w:rsidR="006C4882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</w:p>
    <w:p w:rsidR="006C4882" w:rsidRPr="00905668" w:rsidRDefault="006C4882" w:rsidP="006C4882">
      <w:pPr>
        <w:tabs>
          <w:tab w:val="left" w:pos="-720"/>
        </w:tabs>
        <w:suppressAutoHyphens/>
        <w:spacing w:after="0" w:line="240" w:lineRule="auto"/>
        <w:jc w:val="both"/>
        <w:rPr>
          <w:rFonts w:cs="Times"/>
          <w:b/>
          <w:color w:val="000000"/>
          <w:spacing w:val="-3"/>
        </w:rPr>
      </w:pPr>
    </w:p>
    <w:p w:rsidR="00812A07" w:rsidRDefault="00812A07"/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882"/>
    <w:rsid w:val="006C4882"/>
    <w:rsid w:val="008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882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882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2015-02-17T16:52:00Z</dcterms:created>
  <dcterms:modified xsi:type="dcterms:W3CDTF">2015-02-17T16:55:00Z</dcterms:modified>
</cp:coreProperties>
</file>