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Georgia" w:cs="Georgia" w:eastAsia="Georgia" w:hAnsi="Georgia"/>
          <w:sz w:val="21"/>
          <w:szCs w:val="21"/>
        </w:rPr>
      </w:pPr>
      <w:r w:rsidDel="00000000" w:rsidR="00000000" w:rsidRPr="00000000">
        <w:rPr>
          <w:rFonts w:ascii="Georgia" w:cs="Georgia" w:eastAsia="Georgia" w:hAnsi="Georgia"/>
          <w:sz w:val="21"/>
          <w:szCs w:val="21"/>
        </w:rPr>
        <w:drawing>
          <wp:inline distB="0" distT="0" distL="114300" distR="114300">
            <wp:extent cx="1908175" cy="63563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sz w:val="28"/>
          <w:szCs w:val="28"/>
        </w:rPr>
      </w:pPr>
      <w:r w:rsidDel="00000000" w:rsidR="00000000" w:rsidRPr="00000000">
        <w:rPr>
          <w:b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sz w:val="28"/>
          <w:szCs w:val="28"/>
        </w:rPr>
      </w:pPr>
      <w:r w:rsidDel="00000000" w:rsidR="00000000" w:rsidRPr="00000000">
        <w:rPr>
          <w:b w:val="1"/>
          <w:sz w:val="28"/>
          <w:szCs w:val="28"/>
          <w:rtl w:val="0"/>
        </w:rPr>
        <w:t xml:space="preserve">Assignment coversheet &amp; feedback form</w:t>
      </w:r>
      <w:r w:rsidDel="00000000" w:rsidR="00000000" w:rsidRPr="00000000">
        <w:rPr>
          <w:rtl w:val="0"/>
        </w:rPr>
      </w:r>
    </w:p>
    <w:p w:rsidR="00000000" w:rsidDel="00000000" w:rsidP="00000000" w:rsidRDefault="00000000" w:rsidRPr="00000000" w14:paraId="00000006">
      <w:pPr>
        <w:spacing w:line="240" w:lineRule="auto"/>
        <w:rPr>
          <w:sz w:val="28"/>
          <w:szCs w:val="28"/>
        </w:rPr>
      </w:pPr>
      <w:r w:rsidDel="00000000" w:rsidR="00000000" w:rsidRPr="00000000">
        <w:rPr>
          <w:rtl w:val="0"/>
        </w:rPr>
      </w:r>
    </w:p>
    <w:p w:rsidR="00000000" w:rsidDel="00000000" w:rsidP="00000000" w:rsidRDefault="00000000" w:rsidRPr="00000000" w14:paraId="00000007">
      <w:pPr>
        <w:pStyle w:val="Heading3"/>
        <w:keepLines w:val="0"/>
        <w:spacing w:after="0" w:before="0" w:line="240" w:lineRule="auto"/>
        <w:ind w:left="720" w:firstLine="0"/>
        <w:jc w:val="center"/>
        <w:rPr>
          <w:rFonts w:ascii="Tahoma" w:cs="Tahoma" w:eastAsia="Tahoma" w:hAnsi="Tahoma"/>
          <w:b w:val="1"/>
          <w:color w:val="000000"/>
          <w:sz w:val="20"/>
          <w:szCs w:val="20"/>
        </w:rPr>
      </w:pPr>
      <w:r w:rsidDel="00000000" w:rsidR="00000000" w:rsidRPr="00000000">
        <w:rPr>
          <w:rFonts w:ascii="Tahoma" w:cs="Tahoma" w:eastAsia="Tahoma" w:hAnsi="Tahoma"/>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Lines w:val="0"/>
        <w:spacing w:after="0" w:before="0" w:line="240" w:lineRule="auto"/>
        <w:ind w:left="720" w:firstLine="0"/>
        <w:jc w:val="center"/>
        <w:rPr>
          <w:rFonts w:ascii="Trebuchet MS" w:cs="Trebuchet MS" w:eastAsia="Trebuchet MS" w:hAnsi="Trebuchet MS"/>
          <w:b w:val="1"/>
          <w:color w:val="000000"/>
          <w:sz w:val="20"/>
          <w:szCs w:val="20"/>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spacing w:line="240" w:lineRule="auto"/>
              <w:ind w:right="34"/>
              <w:rPr/>
            </w:pPr>
            <w:r w:rsidDel="00000000" w:rsidR="00000000" w:rsidRPr="00000000">
              <w:rPr>
                <w:b w:val="1"/>
                <w:rtl w:val="0"/>
              </w:rPr>
              <w:t xml:space="preserve">For completion by the student</w:t>
            </w:r>
            <w:r w:rsidDel="00000000" w:rsidR="00000000" w:rsidRPr="00000000">
              <w:rPr>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34"/>
              <w:rPr/>
            </w:pPr>
            <w:r w:rsidDel="00000000" w:rsidR="00000000" w:rsidRPr="00000000">
              <w:rPr>
                <w:rtl w:val="0"/>
              </w:rPr>
              <w:t xml:space="preserve">Student Name: Katherine Azima</w:t>
            </w:r>
          </w:p>
          <w:p w:rsidR="00000000" w:rsidDel="00000000" w:rsidP="00000000" w:rsidRDefault="00000000" w:rsidRPr="00000000" w14:paraId="0000000F">
            <w:pPr>
              <w:spacing w:line="240" w:lineRule="auto"/>
              <w:ind w:right="34"/>
              <w:rPr/>
            </w:pPr>
            <w:r w:rsidDel="00000000" w:rsidR="00000000" w:rsidRPr="00000000">
              <w:rPr>
                <w:rtl w:val="0"/>
              </w:rPr>
            </w:r>
          </w:p>
          <w:p w:rsidR="00000000" w:rsidDel="00000000" w:rsidP="00000000" w:rsidRDefault="00000000" w:rsidRPr="00000000" w14:paraId="00000010">
            <w:pPr>
              <w:spacing w:line="240" w:lineRule="auto"/>
              <w:ind w:right="34"/>
              <w:rPr/>
            </w:pPr>
            <w:r w:rsidDel="00000000" w:rsidR="00000000" w:rsidRPr="00000000">
              <w:rPr>
                <w:rtl w:val="0"/>
              </w:rPr>
              <w:t xml:space="preserve">Student </w:t>
            </w:r>
            <w:r w:rsidDel="00000000" w:rsidR="00000000" w:rsidRPr="00000000">
              <w:rPr>
                <w:b w:val="1"/>
                <w:u w:val="single"/>
                <w:rtl w:val="0"/>
              </w:rPr>
              <w:t xml:space="preserve">University</w:t>
            </w:r>
            <w:r w:rsidDel="00000000" w:rsidR="00000000" w:rsidRPr="00000000">
              <w:rPr>
                <w:u w:val="single"/>
                <w:rtl w:val="0"/>
              </w:rPr>
              <w:t xml:space="preserve"> </w:t>
            </w:r>
            <w:r w:rsidDel="00000000" w:rsidR="00000000" w:rsidRPr="00000000">
              <w:rPr>
                <w:rtl w:val="0"/>
              </w:rPr>
              <w:t xml:space="preserve">Email:</w:t>
            </w:r>
            <w:r w:rsidDel="00000000" w:rsidR="00000000" w:rsidRPr="00000000">
              <w:rPr>
                <w:b w:val="1"/>
                <w:rtl w:val="0"/>
              </w:rPr>
              <w:t xml:space="preserve"> </w:t>
            </w:r>
            <w:r w:rsidDel="00000000" w:rsidR="00000000" w:rsidRPr="00000000">
              <w:rPr>
                <w:rtl w:val="0"/>
              </w:rPr>
              <w:t xml:space="preserve">2219013@student.uwtsd.ac.uk</w:t>
            </w:r>
            <w:r w:rsidDel="00000000" w:rsidR="00000000" w:rsidRPr="00000000">
              <w:rPr>
                <w:rtl w:val="0"/>
              </w:rPr>
            </w:r>
          </w:p>
        </w:tc>
      </w:tr>
      <w:tr>
        <w:trPr>
          <w:cantSplit w:val="0"/>
          <w:trHeight w:val="849" w:hRule="atLeast"/>
          <w:tblHeader w:val="0"/>
        </w:trPr>
        <w:tc>
          <w:tcPr>
            <w:vAlign w:val="top"/>
          </w:tcPr>
          <w:p w:rsidR="00000000" w:rsidDel="00000000" w:rsidP="00000000" w:rsidRDefault="00000000" w:rsidRPr="00000000" w14:paraId="00000015">
            <w:pPr>
              <w:spacing w:line="240" w:lineRule="auto"/>
              <w:ind w:right="34"/>
              <w:rPr>
                <w:b w:val="1"/>
              </w:rPr>
            </w:pPr>
            <w:r w:rsidDel="00000000" w:rsidR="00000000" w:rsidRPr="00000000">
              <w:rPr>
                <w:b w:val="1"/>
                <w:rtl w:val="0"/>
              </w:rPr>
              <w:t xml:space="preserve">Module code: </w:t>
            </w:r>
          </w:p>
          <w:p w:rsidR="00000000" w:rsidDel="00000000" w:rsidP="00000000" w:rsidRDefault="00000000" w:rsidRPr="00000000" w14:paraId="00000016">
            <w:pPr>
              <w:jc w:val="left"/>
              <w:rPr/>
            </w:pPr>
            <w:r w:rsidDel="00000000" w:rsidR="00000000" w:rsidRPr="00000000">
              <w:rPr>
                <w:rFonts w:ascii="Calibri" w:cs="Calibri" w:eastAsia="Calibri" w:hAnsi="Calibri"/>
                <w:sz w:val="24"/>
                <w:szCs w:val="24"/>
                <w:highlight w:val="white"/>
                <w:rtl w:val="0"/>
              </w:rPr>
              <w:t xml:space="preserve">HPCA7008</w:t>
            </w:r>
            <w:r w:rsidDel="00000000" w:rsidR="00000000" w:rsidRPr="00000000">
              <w:rPr>
                <w:rtl w:val="0"/>
              </w:rPr>
            </w:r>
          </w:p>
          <w:p w:rsidR="00000000" w:rsidDel="00000000" w:rsidP="00000000" w:rsidRDefault="00000000" w:rsidRPr="00000000" w14:paraId="00000017">
            <w:pPr>
              <w:spacing w:line="240" w:lineRule="auto"/>
              <w:ind w:right="34"/>
              <w:rPr>
                <w:b w:val="1"/>
              </w:rPr>
            </w:pPr>
            <w:r w:rsidDel="00000000" w:rsidR="00000000" w:rsidRPr="00000000">
              <w:rPr>
                <w:b w:val="1"/>
                <w:rtl w:val="0"/>
              </w:rPr>
              <w:t xml:space="preserve">Module title:</w:t>
            </w:r>
          </w:p>
          <w:p w:rsidR="00000000" w:rsidDel="00000000" w:rsidP="00000000" w:rsidRDefault="00000000" w:rsidRPr="00000000" w14:paraId="00000018">
            <w:pPr>
              <w:jc w:val="left"/>
              <w:rPr/>
            </w:pPr>
            <w:r w:rsidDel="00000000" w:rsidR="00000000" w:rsidRPr="00000000">
              <w:rPr>
                <w:rFonts w:ascii="Calibri" w:cs="Calibri" w:eastAsia="Calibri" w:hAnsi="Calibri"/>
                <w:sz w:val="24"/>
                <w:szCs w:val="24"/>
                <w:highlight w:val="white"/>
                <w:rtl w:val="0"/>
              </w:rPr>
              <w:t xml:space="preserve">Foundations of Cultural </w:t>
              <w:br w:type="textWrapping"/>
              <w:t xml:space="preserve">Astronomy and Astrology</w:t>
            </w:r>
            <w:r w:rsidDel="00000000" w:rsidR="00000000" w:rsidRPr="00000000">
              <w:rPr>
                <w:rtl w:val="0"/>
              </w:rPr>
            </w:r>
          </w:p>
          <w:p w:rsidR="00000000" w:rsidDel="00000000" w:rsidP="00000000" w:rsidRDefault="00000000" w:rsidRPr="00000000" w14:paraId="00000019">
            <w:pPr>
              <w:spacing w:line="240" w:lineRule="auto"/>
              <w:ind w:right="34"/>
              <w:rPr>
                <w:b w:val="1"/>
              </w:rPr>
            </w:pPr>
            <w:r w:rsidDel="00000000" w:rsidR="00000000" w:rsidRPr="00000000">
              <w:rPr>
                <w:rtl w:val="0"/>
              </w:rPr>
            </w:r>
          </w:p>
        </w:tc>
        <w:tc>
          <w:tcPr>
            <w:gridSpan w:val="3"/>
            <w:vAlign w:val="top"/>
          </w:tcPr>
          <w:p w:rsidR="00000000" w:rsidDel="00000000" w:rsidP="00000000" w:rsidRDefault="00000000" w:rsidRPr="00000000" w14:paraId="0000001A">
            <w:pPr>
              <w:spacing w:line="240" w:lineRule="auto"/>
              <w:ind w:right="34"/>
              <w:rPr>
                <w:b w:val="1"/>
              </w:rPr>
            </w:pPr>
            <w:r w:rsidDel="00000000" w:rsidR="00000000" w:rsidRPr="00000000">
              <w:rPr>
                <w:b w:val="1"/>
                <w:rtl w:val="0"/>
              </w:rPr>
              <w:t xml:space="preserve">Student ID number:</w:t>
            </w:r>
          </w:p>
          <w:p w:rsidR="00000000" w:rsidDel="00000000" w:rsidP="00000000" w:rsidRDefault="00000000" w:rsidRPr="00000000" w14:paraId="0000001B">
            <w:pPr>
              <w:spacing w:line="240" w:lineRule="auto"/>
              <w:ind w:right="34"/>
              <w:rPr>
                <w:b w:val="1"/>
              </w:rPr>
            </w:pPr>
            <w:r w:rsidDel="00000000" w:rsidR="00000000" w:rsidRPr="00000000">
              <w:rPr>
                <w:rtl w:val="0"/>
              </w:rPr>
            </w:r>
          </w:p>
          <w:p w:rsidR="00000000" w:rsidDel="00000000" w:rsidP="00000000" w:rsidRDefault="00000000" w:rsidRPr="00000000" w14:paraId="0000001C">
            <w:pPr>
              <w:spacing w:line="240" w:lineRule="auto"/>
              <w:ind w:right="34"/>
              <w:rPr>
                <w:b w:val="1"/>
              </w:rPr>
            </w:pPr>
            <w:r w:rsidDel="00000000" w:rsidR="00000000" w:rsidRPr="00000000">
              <w:rPr>
                <w:rtl w:val="0"/>
              </w:rPr>
            </w:r>
          </w:p>
          <w:p w:rsidR="00000000" w:rsidDel="00000000" w:rsidP="00000000" w:rsidRDefault="00000000" w:rsidRPr="00000000" w14:paraId="0000001D">
            <w:pPr>
              <w:spacing w:line="240" w:lineRule="auto"/>
              <w:ind w:right="34"/>
              <w:rPr/>
            </w:pPr>
            <w:r w:rsidDel="00000000" w:rsidR="00000000" w:rsidRPr="00000000">
              <w:rPr>
                <w:rtl w:val="0"/>
              </w:rPr>
              <w:t xml:space="preserve">2219013</w:t>
            </w:r>
          </w:p>
        </w:tc>
        <w:tc>
          <w:tcPr>
            <w:vAlign w:val="top"/>
          </w:tcPr>
          <w:p w:rsidR="00000000" w:rsidDel="00000000" w:rsidP="00000000" w:rsidRDefault="00000000" w:rsidRPr="00000000" w14:paraId="00000020">
            <w:pPr>
              <w:spacing w:line="240" w:lineRule="auto"/>
              <w:ind w:right="34"/>
              <w:rPr/>
            </w:pPr>
            <w:r w:rsidDel="00000000" w:rsidR="00000000" w:rsidRPr="00000000">
              <w:rPr>
                <w:rtl w:val="0"/>
              </w:rPr>
              <w:t xml:space="preserve">Educational support needs:</w:t>
            </w:r>
          </w:p>
          <w:p w:rsidR="00000000" w:rsidDel="00000000" w:rsidP="00000000" w:rsidRDefault="00000000" w:rsidRPr="00000000" w14:paraId="00000021">
            <w:pPr>
              <w:spacing w:line="240" w:lineRule="auto"/>
              <w:ind w:right="34"/>
              <w:rPr/>
            </w:pPr>
            <w:r w:rsidDel="00000000" w:rsidR="00000000" w:rsidRPr="00000000">
              <w:rPr>
                <w:rtl w:val="0"/>
              </w:rPr>
              <w:t xml:space="preserve">Yes/No</w:t>
            </w:r>
          </w:p>
          <w:p w:rsidR="00000000" w:rsidDel="00000000" w:rsidP="00000000" w:rsidRDefault="00000000" w:rsidRPr="00000000" w14:paraId="00000022">
            <w:pPr>
              <w:spacing w:line="240" w:lineRule="auto"/>
              <w:ind w:right="34"/>
              <w:rPr/>
            </w:pPr>
            <w:r w:rsidDel="00000000" w:rsidR="00000000" w:rsidRPr="00000000">
              <w:rPr>
                <w:rtl w:val="0"/>
              </w:rPr>
            </w:r>
          </w:p>
          <w:p w:rsidR="00000000" w:rsidDel="00000000" w:rsidP="00000000" w:rsidRDefault="00000000" w:rsidRPr="00000000" w14:paraId="00000023">
            <w:pPr>
              <w:spacing w:line="240" w:lineRule="auto"/>
              <w:ind w:right="34"/>
              <w:rPr/>
            </w:pPr>
            <w:r w:rsidDel="00000000" w:rsidR="00000000" w:rsidRPr="00000000">
              <w:rPr>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24">
            <w:pPr>
              <w:spacing w:line="240" w:lineRule="auto"/>
              <w:ind w:right="34"/>
              <w:rPr>
                <w:rFonts w:ascii="Calibri" w:cs="Calibri" w:eastAsia="Calibri" w:hAnsi="Calibri"/>
                <w:i w:val="1"/>
                <w:color w:val="202122"/>
                <w:sz w:val="24"/>
                <w:szCs w:val="24"/>
                <w:highlight w:val="white"/>
              </w:rPr>
            </w:pPr>
            <w:r w:rsidDel="00000000" w:rsidR="00000000" w:rsidRPr="00000000">
              <w:rPr>
                <w:rtl w:val="0"/>
              </w:rPr>
              <w:t xml:space="preserve">Assignment title: </w:t>
            </w:r>
            <w:r w:rsidDel="00000000" w:rsidR="00000000" w:rsidRPr="00000000">
              <w:rPr>
                <w:rFonts w:ascii="Calibri" w:cs="Calibri" w:eastAsia="Calibri" w:hAnsi="Calibri"/>
                <w:sz w:val="24"/>
                <w:szCs w:val="24"/>
                <w:highlight w:val="white"/>
                <w:rtl w:val="0"/>
              </w:rPr>
              <w:t xml:space="preserve">A Critical Comparison of Two JSTOR Papers</w:t>
            </w:r>
            <w:r w:rsidDel="00000000" w:rsidR="00000000" w:rsidRPr="00000000">
              <w:rPr>
                <w:rtl w:val="0"/>
              </w:rPr>
            </w:r>
          </w:p>
          <w:p w:rsidR="00000000" w:rsidDel="00000000" w:rsidP="00000000" w:rsidRDefault="00000000" w:rsidRPr="00000000" w14:paraId="00000025">
            <w:pPr>
              <w:spacing w:line="240" w:lineRule="auto"/>
              <w:ind w:right="34"/>
              <w:rPr/>
            </w:pPr>
            <w:r w:rsidDel="00000000" w:rsidR="00000000" w:rsidRPr="00000000">
              <w:rPr>
                <w:rtl w:val="0"/>
              </w:rPr>
            </w:r>
          </w:p>
          <w:p w:rsidR="00000000" w:rsidDel="00000000" w:rsidP="00000000" w:rsidRDefault="00000000" w:rsidRPr="00000000" w14:paraId="00000026">
            <w:pPr>
              <w:spacing w:line="240" w:lineRule="auto"/>
              <w:ind w:right="34"/>
              <w:rPr/>
            </w:pPr>
            <w:r w:rsidDel="00000000" w:rsidR="00000000" w:rsidRPr="00000000">
              <w:rPr>
                <w:rtl w:val="0"/>
              </w:rPr>
            </w:r>
          </w:p>
          <w:p w:rsidR="00000000" w:rsidDel="00000000" w:rsidP="00000000" w:rsidRDefault="00000000" w:rsidRPr="00000000" w14:paraId="00000027">
            <w:pPr>
              <w:spacing w:line="240" w:lineRule="auto"/>
              <w:ind w:right="34"/>
              <w:rPr/>
            </w:pPr>
            <w:r w:rsidDel="00000000" w:rsidR="00000000" w:rsidRPr="00000000">
              <w:rPr>
                <w:rtl w:val="0"/>
              </w:rPr>
              <w:t xml:space="preserve">Assignment due date: November 7th, 2022</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C">
            <w:pPr>
              <w:spacing w:line="240" w:lineRule="auto"/>
              <w:rPr/>
            </w:pPr>
            <w:r w:rsidDel="00000000" w:rsidR="00000000" w:rsidRPr="00000000">
              <w:rPr>
                <w:rtl w:val="0"/>
              </w:rPr>
              <w:t xml:space="preserve">This assignment is for the       1</w:t>
            </w:r>
            <w:r w:rsidDel="00000000" w:rsidR="00000000" w:rsidRPr="00000000">
              <w:rPr>
                <w:vertAlign w:val="superscript"/>
                <w:rtl w:val="0"/>
              </w:rPr>
              <w:t xml:space="preserve">st </w:t>
            </w:r>
            <w:bookmarkStart w:colFirst="0" w:colLast="0" w:name="kix.mfvpnu066aa" w:id="0"/>
            <w:bookmarkEnd w:id="0"/>
            <w:r w:rsidDel="00000000" w:rsidR="00000000" w:rsidRPr="00000000">
              <w:rPr>
                <w:rtl w:val="0"/>
              </w:rPr>
              <w:t xml:space="preserve">☐   </w:t>
            </w:r>
            <w:r w:rsidDel="00000000" w:rsidR="00000000" w:rsidRPr="00000000">
              <w:rPr>
                <w:b w:val="1"/>
                <w:rtl w:val="0"/>
              </w:rPr>
              <w:t xml:space="preserve">  </w:t>
            </w:r>
            <w:r w:rsidDel="00000000" w:rsidR="00000000" w:rsidRPr="00000000">
              <w:rPr>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31">
            <w:pPr>
              <w:spacing w:line="240" w:lineRule="auto"/>
              <w:ind w:right="34"/>
              <w:rPr/>
            </w:pPr>
            <w:r w:rsidDel="00000000" w:rsidR="00000000" w:rsidRPr="00000000">
              <w:rPr>
                <w:rtl w:val="0"/>
              </w:rPr>
              <w:t xml:space="preserve">I confirm that this is my original work and that I have adhered to the University policy on plagiarism.</w:t>
            </w:r>
          </w:p>
          <w:p w:rsidR="00000000" w:rsidDel="00000000" w:rsidP="00000000" w:rsidRDefault="00000000" w:rsidRPr="00000000" w14:paraId="00000032">
            <w:pPr>
              <w:spacing w:line="240" w:lineRule="auto"/>
              <w:ind w:right="34"/>
              <w:rPr>
                <w:rFonts w:ascii="Caveat" w:cs="Caveat" w:eastAsia="Caveat" w:hAnsi="Caveat"/>
              </w:rPr>
            </w:pPr>
            <w:r w:rsidDel="00000000" w:rsidR="00000000" w:rsidRPr="00000000">
              <w:rPr>
                <w:rtl w:val="0"/>
              </w:rPr>
              <w:t xml:space="preserve">Signed:</w:t>
            </w:r>
            <w:r w:rsidDel="00000000" w:rsidR="00000000" w:rsidRPr="00000000">
              <w:rPr>
                <w:rFonts w:ascii="Caveat" w:cs="Caveat" w:eastAsia="Caveat" w:hAnsi="Caveat"/>
                <w:rtl w:val="0"/>
              </w:rPr>
              <w:t xml:space="preserve">  Kat Azima</w:t>
            </w:r>
          </w:p>
          <w:p w:rsidR="00000000" w:rsidDel="00000000" w:rsidP="00000000" w:rsidRDefault="00000000" w:rsidRPr="00000000" w14:paraId="00000033">
            <w:pPr>
              <w:spacing w:line="240" w:lineRule="auto"/>
              <w:ind w:right="34"/>
              <w:rPr>
                <w:rFonts w:ascii="Calibri" w:cs="Calibri" w:eastAsia="Calibri" w:hAnsi="Calibri"/>
                <w:sz w:val="44"/>
                <w:szCs w:val="44"/>
              </w:rPr>
            </w:pPr>
            <w:r w:rsidDel="00000000" w:rsidR="00000000" w:rsidRPr="00000000">
              <w:rPr>
                <w:rFonts w:ascii="Calibri" w:cs="Calibri" w:eastAsia="Calibri" w:hAnsi="Calibri"/>
                <w:b w:val="1"/>
                <w:sz w:val="24"/>
                <w:szCs w:val="24"/>
                <w:rtl w:val="0"/>
              </w:rPr>
              <w:t xml:space="preserve">Email submission:if you are submitting this form via email, please tick this box </w:t>
            </w:r>
            <w:r w:rsidDel="00000000" w:rsidR="00000000" w:rsidRPr="00000000">
              <w:rPr>
                <w:rFonts w:ascii="Calibri" w:cs="Calibri" w:eastAsia="Calibri" w:hAnsi="Calibri"/>
                <w:b w:val="1"/>
                <w:sz w:val="44"/>
                <w:szCs w:val="44"/>
                <w:rtl w:val="0"/>
              </w:rPr>
              <w:t xml:space="preserve">□</w:t>
            </w:r>
            <w:r w:rsidDel="00000000" w:rsidR="00000000" w:rsidRPr="00000000">
              <w:rPr>
                <w:rtl w:val="0"/>
              </w:rPr>
            </w:r>
          </w:p>
          <w:p w:rsidR="00000000" w:rsidDel="00000000" w:rsidP="00000000" w:rsidRDefault="00000000" w:rsidRPr="00000000" w14:paraId="00000034">
            <w:pPr>
              <w:spacing w:line="240" w:lineRule="auto"/>
              <w:ind w:right="34"/>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9">
            <w:pPr>
              <w:spacing w:line="240" w:lineRule="auto"/>
              <w:rPr>
                <w:sz w:val="24"/>
                <w:szCs w:val="24"/>
              </w:rPr>
            </w:pPr>
            <w:r w:rsidDel="00000000" w:rsidR="00000000" w:rsidRPr="00000000">
              <w:rPr>
                <w:rtl w:val="0"/>
              </w:rPr>
            </w:r>
          </w:p>
          <w:p w:rsidR="00000000" w:rsidDel="00000000" w:rsidP="00000000" w:rsidRDefault="00000000" w:rsidRPr="00000000" w14:paraId="0000003A">
            <w:pPr>
              <w:spacing w:line="240" w:lineRule="auto"/>
              <w:rPr>
                <w:sz w:val="24"/>
                <w:szCs w:val="24"/>
              </w:rPr>
            </w:pPr>
            <w:r w:rsidDel="00000000" w:rsidR="00000000" w:rsidRPr="00000000">
              <w:rPr>
                <w:b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B">
                  <w:pPr>
                    <w:spacing w:line="240" w:lineRule="auto"/>
                    <w:rPr>
                      <w:sz w:val="20"/>
                      <w:szCs w:val="20"/>
                    </w:rPr>
                  </w:pPr>
                  <w:r w:rsidDel="00000000" w:rsidR="00000000" w:rsidRPr="00000000">
                    <w:rPr>
                      <w:rtl w:val="0"/>
                    </w:rPr>
                  </w:r>
                </w:p>
                <w:p w:rsidR="00000000" w:rsidDel="00000000" w:rsidP="00000000" w:rsidRDefault="00000000" w:rsidRPr="00000000" w14:paraId="0000003C">
                  <w:pPr>
                    <w:spacing w:line="240" w:lineRule="auto"/>
                    <w:rPr>
                      <w:sz w:val="20"/>
                      <w:szCs w:val="20"/>
                    </w:rPr>
                  </w:pPr>
                  <w:r w:rsidDel="00000000" w:rsidR="00000000" w:rsidRPr="00000000">
                    <w:rPr>
                      <w:sz w:val="20"/>
                      <w:szCs w:val="20"/>
                      <w:rtl w:val="0"/>
                    </w:rPr>
                    <w:t xml:space="preserve">1</w:t>
                  </w:r>
                  <w:r w:rsidDel="00000000" w:rsidR="00000000" w:rsidRPr="00000000">
                    <w:rPr>
                      <w:sz w:val="20"/>
                      <w:szCs w:val="20"/>
                      <w:vertAlign w:val="superscript"/>
                      <w:rtl w:val="0"/>
                    </w:rPr>
                    <w:t xml:space="preserve">st</w:t>
                  </w:r>
                  <w:r w:rsidDel="00000000" w:rsidR="00000000" w:rsidRPr="00000000">
                    <w:rPr>
                      <w:sz w:val="20"/>
                      <w:szCs w:val="20"/>
                      <w:rtl w:val="0"/>
                    </w:rPr>
                    <w:t xml:space="preserve"> Marker’s Provisional mark</w:t>
                  </w:r>
                </w:p>
              </w:tc>
              <w:tc>
                <w:tcPr>
                  <w:vAlign w:val="top"/>
                </w:tcPr>
                <w:p w:rsidR="00000000" w:rsidDel="00000000" w:rsidP="00000000" w:rsidRDefault="00000000" w:rsidRPr="00000000" w14:paraId="0000003D">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E">
                  <w:pPr>
                    <w:spacing w:line="240" w:lineRule="auto"/>
                    <w:rPr>
                      <w:sz w:val="20"/>
                      <w:szCs w:val="20"/>
                    </w:rPr>
                  </w:pPr>
                  <w:r w:rsidDel="00000000" w:rsidR="00000000" w:rsidRPr="00000000">
                    <w:rPr>
                      <w:rtl w:val="0"/>
                    </w:rPr>
                  </w:r>
                </w:p>
                <w:p w:rsidR="00000000" w:rsidDel="00000000" w:rsidP="00000000" w:rsidRDefault="00000000" w:rsidRPr="00000000" w14:paraId="0000003F">
                  <w:pPr>
                    <w:spacing w:line="240" w:lineRule="auto"/>
                    <w:rPr>
                      <w:sz w:val="20"/>
                      <w:szCs w:val="20"/>
                    </w:rPr>
                  </w:pPr>
                  <w:r w:rsidDel="00000000" w:rsidR="00000000" w:rsidRPr="00000000">
                    <w:rPr>
                      <w:sz w:val="20"/>
                      <w:szCs w:val="20"/>
                      <w:rtl w:val="0"/>
                    </w:rPr>
                    <w:t xml:space="preserve">2</w:t>
                  </w:r>
                  <w:r w:rsidDel="00000000" w:rsidR="00000000" w:rsidRPr="00000000">
                    <w:rPr>
                      <w:sz w:val="20"/>
                      <w:szCs w:val="20"/>
                      <w:vertAlign w:val="superscript"/>
                      <w:rtl w:val="0"/>
                    </w:rPr>
                    <w:t xml:space="preserve">nd</w:t>
                  </w:r>
                  <w:r w:rsidDel="00000000" w:rsidR="00000000" w:rsidRPr="00000000">
                    <w:rPr>
                      <w:sz w:val="20"/>
                      <w:szCs w:val="20"/>
                      <w:rtl w:val="0"/>
                    </w:rPr>
                    <w:t xml:space="preserve"> Marker’s/Moderator’s provisional mark</w:t>
                  </w:r>
                </w:p>
              </w:tc>
              <w:tc>
                <w:tcPr>
                  <w:vAlign w:val="top"/>
                </w:tcPr>
                <w:p w:rsidR="00000000" w:rsidDel="00000000" w:rsidP="00000000" w:rsidRDefault="00000000" w:rsidRPr="00000000" w14:paraId="00000040">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1">
                  <w:pPr>
                    <w:spacing w:line="240" w:lineRule="auto"/>
                    <w:rPr>
                      <w:sz w:val="20"/>
                      <w:szCs w:val="20"/>
                    </w:rPr>
                  </w:pPr>
                  <w:r w:rsidDel="00000000" w:rsidR="00000000" w:rsidRPr="00000000">
                    <w:rPr>
                      <w:rtl w:val="0"/>
                    </w:rPr>
                  </w:r>
                </w:p>
                <w:p w:rsidR="00000000" w:rsidDel="00000000" w:rsidP="00000000" w:rsidRDefault="00000000" w:rsidRPr="00000000" w14:paraId="00000042">
                  <w:pPr>
                    <w:spacing w:line="240" w:lineRule="auto"/>
                    <w:rPr>
                      <w:sz w:val="20"/>
                      <w:szCs w:val="20"/>
                    </w:rPr>
                  </w:pPr>
                  <w:r w:rsidDel="00000000" w:rsidR="00000000" w:rsidRPr="00000000">
                    <w:rPr>
                      <w:sz w:val="20"/>
                      <w:szCs w:val="20"/>
                      <w:rtl w:val="0"/>
                    </w:rPr>
                    <w:t xml:space="preserve">External Examiner’s mark (if relevant)</w:t>
                  </w:r>
                </w:p>
              </w:tc>
              <w:tc>
                <w:tcPr>
                  <w:vAlign w:val="top"/>
                </w:tcPr>
                <w:p w:rsidR="00000000" w:rsidDel="00000000" w:rsidP="00000000" w:rsidRDefault="00000000" w:rsidRPr="00000000" w14:paraId="00000043">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4">
                  <w:pPr>
                    <w:spacing w:line="240" w:lineRule="auto"/>
                    <w:rPr>
                      <w:sz w:val="20"/>
                      <w:szCs w:val="20"/>
                    </w:rPr>
                  </w:pPr>
                  <w:r w:rsidDel="00000000" w:rsidR="00000000" w:rsidRPr="00000000">
                    <w:rPr>
                      <w:rtl w:val="0"/>
                    </w:rPr>
                  </w:r>
                </w:p>
                <w:p w:rsidR="00000000" w:rsidDel="00000000" w:rsidP="00000000" w:rsidRDefault="00000000" w:rsidRPr="00000000" w14:paraId="00000045">
                  <w:pPr>
                    <w:spacing w:line="240" w:lineRule="auto"/>
                    <w:rPr>
                      <w:sz w:val="20"/>
                      <w:szCs w:val="20"/>
                    </w:rPr>
                  </w:pPr>
                  <w:r w:rsidDel="00000000" w:rsidR="00000000" w:rsidRPr="00000000">
                    <w:rPr>
                      <w:b w:val="1"/>
                      <w:sz w:val="20"/>
                      <w:szCs w:val="20"/>
                      <w:rtl w:val="0"/>
                    </w:rPr>
                    <w:t xml:space="preserve">Final Mark</w:t>
                  </w:r>
                  <w:r w:rsidDel="00000000" w:rsidR="00000000" w:rsidRPr="00000000">
                    <w:rPr>
                      <w:rtl w:val="0"/>
                    </w:rPr>
                  </w:r>
                </w:p>
                <w:p w:rsidR="00000000" w:rsidDel="00000000" w:rsidP="00000000" w:rsidRDefault="00000000" w:rsidRPr="00000000" w14:paraId="00000046">
                  <w:pPr>
                    <w:spacing w:line="240" w:lineRule="auto"/>
                    <w:rPr>
                      <w:sz w:val="20"/>
                      <w:szCs w:val="20"/>
                    </w:rPr>
                  </w:pPr>
                  <w:r w:rsidDel="00000000" w:rsidR="00000000" w:rsidRPr="00000000">
                    <w:rPr>
                      <w:rtl w:val="0"/>
                    </w:rPr>
                  </w:r>
                </w:p>
              </w:tc>
              <w:tc>
                <w:tcPr>
                  <w:vAlign w:val="top"/>
                </w:tcPr>
                <w:p w:rsidR="00000000" w:rsidDel="00000000" w:rsidP="00000000" w:rsidRDefault="00000000" w:rsidRPr="00000000" w14:paraId="00000047">
                  <w:pPr>
                    <w:spacing w:line="240" w:lineRule="auto"/>
                    <w:rPr>
                      <w:sz w:val="20"/>
                      <w:szCs w:val="20"/>
                    </w:rPr>
                  </w:pPr>
                  <w:r w:rsidDel="00000000" w:rsidR="00000000" w:rsidRPr="00000000">
                    <w:rPr>
                      <w:rtl w:val="0"/>
                    </w:rPr>
                  </w:r>
                </w:p>
              </w:tc>
            </w:tr>
          </w:tbl>
          <w:p w:rsidR="00000000" w:rsidDel="00000000" w:rsidP="00000000" w:rsidRDefault="00000000" w:rsidRPr="00000000" w14:paraId="00000048">
            <w:pPr>
              <w:spacing w:line="240" w:lineRule="auto"/>
              <w:ind w:left="142" w:right="34" w:firstLine="0"/>
              <w:rPr/>
            </w:pPr>
            <w:r w:rsidDel="00000000" w:rsidR="00000000" w:rsidRPr="00000000">
              <w:rPr>
                <w:rtl w:val="0"/>
              </w:rPr>
            </w:r>
          </w:p>
          <w:p w:rsidR="00000000" w:rsidDel="00000000" w:rsidP="00000000" w:rsidRDefault="00000000" w:rsidRPr="00000000" w14:paraId="00000049">
            <w:pPr>
              <w:spacing w:line="240" w:lineRule="auto"/>
              <w:ind w:left="142" w:right="34" w:firstLine="0"/>
              <w:rPr/>
            </w:pPr>
            <w:r w:rsidDel="00000000" w:rsidR="00000000" w:rsidRPr="00000000">
              <w:rPr>
                <w:b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4A">
            <w:pPr>
              <w:spacing w:line="240" w:lineRule="auto"/>
              <w:rPr/>
            </w:pPr>
            <w:r w:rsidDel="00000000" w:rsidR="00000000" w:rsidRPr="00000000">
              <w:rPr>
                <w:rtl w:val="0"/>
              </w:rPr>
            </w:r>
          </w:p>
          <w:p w:rsidR="00000000" w:rsidDel="00000000" w:rsidP="00000000" w:rsidRDefault="00000000" w:rsidRPr="00000000" w14:paraId="0000004B">
            <w:pPr>
              <w:spacing w:line="240" w:lineRule="auto"/>
              <w:rPr/>
            </w:pPr>
            <w:r w:rsidDel="00000000" w:rsidR="00000000" w:rsidRPr="00000000">
              <w:rPr>
                <w:rtl w:val="0"/>
              </w:rPr>
            </w:r>
          </w:p>
          <w:p w:rsidR="00000000" w:rsidDel="00000000" w:rsidP="00000000" w:rsidRDefault="00000000" w:rsidRPr="00000000" w14:paraId="0000004C">
            <w:pPr>
              <w:spacing w:line="240" w:lineRule="auto"/>
              <w:rPr/>
            </w:pPr>
            <w:r w:rsidDel="00000000" w:rsidR="00000000" w:rsidRPr="00000000">
              <w:rPr>
                <w:rtl w:val="0"/>
              </w:rPr>
            </w:r>
          </w:p>
          <w:p w:rsidR="00000000" w:rsidDel="00000000" w:rsidP="00000000" w:rsidRDefault="00000000" w:rsidRPr="00000000" w14:paraId="0000004D">
            <w:pPr>
              <w:spacing w:line="240" w:lineRule="auto"/>
              <w:rPr/>
            </w:pPr>
            <w:r w:rsidDel="00000000" w:rsidR="00000000" w:rsidRPr="00000000">
              <w:rPr>
                <w:rtl w:val="0"/>
              </w:rPr>
            </w:r>
          </w:p>
          <w:p w:rsidR="00000000" w:rsidDel="00000000" w:rsidP="00000000" w:rsidRDefault="00000000" w:rsidRPr="00000000" w14:paraId="0000004E">
            <w:pPr>
              <w:spacing w:line="240" w:lineRule="auto"/>
              <w:rPr/>
            </w:pPr>
            <w:r w:rsidDel="00000000" w:rsidR="00000000" w:rsidRPr="00000000">
              <w:rPr>
                <w:rtl w:val="0"/>
              </w:rPr>
            </w:r>
          </w:p>
          <w:p w:rsidR="00000000" w:rsidDel="00000000" w:rsidP="00000000" w:rsidRDefault="00000000" w:rsidRPr="00000000" w14:paraId="0000004F">
            <w:pPr>
              <w:spacing w:line="240" w:lineRule="auto"/>
              <w:rPr/>
            </w:pPr>
            <w:r w:rsidDel="00000000" w:rsidR="00000000" w:rsidRPr="00000000">
              <w:rPr>
                <w:b w:val="1"/>
                <w:rtl w:val="0"/>
              </w:rPr>
              <w:t xml:space="preserve">For completion by Marker 1 :</w:t>
            </w:r>
            <w:r w:rsidDel="00000000" w:rsidR="00000000" w:rsidRPr="00000000">
              <w:rPr>
                <w:rtl w:val="0"/>
              </w:rPr>
            </w:r>
          </w:p>
          <w:p w:rsidR="00000000" w:rsidDel="00000000" w:rsidP="00000000" w:rsidRDefault="00000000" w:rsidRPr="00000000" w14:paraId="00000050">
            <w:pPr>
              <w:spacing w:after="280" w:before="280" w:line="240" w:lineRule="auto"/>
              <w:rPr/>
            </w:pPr>
            <w:r w:rsidDel="00000000" w:rsidR="00000000" w:rsidRPr="00000000">
              <w:rPr>
                <w:rtl w:val="0"/>
              </w:rPr>
              <w:t xml:space="preserve">Comments:</w:t>
            </w:r>
          </w:p>
          <w:p w:rsidR="00000000" w:rsidDel="00000000" w:rsidP="00000000" w:rsidRDefault="00000000" w:rsidRPr="00000000" w14:paraId="00000051">
            <w:pPr>
              <w:spacing w:before="280" w:line="240" w:lineRule="auto"/>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6">
            <w:pPr>
              <w:spacing w:line="240" w:lineRule="auto"/>
              <w:ind w:left="142" w:right="34" w:firstLine="0"/>
              <w:rPr/>
            </w:pPr>
            <w:r w:rsidDel="00000000" w:rsidR="00000000" w:rsidRPr="00000000">
              <w:rPr>
                <w:rtl w:val="0"/>
              </w:rPr>
              <w:t xml:space="preserve">Marker’s signature:</w:t>
            </w:r>
          </w:p>
        </w:tc>
        <w:tc>
          <w:tcPr>
            <w:gridSpan w:val="2"/>
            <w:vAlign w:val="top"/>
          </w:tcPr>
          <w:p w:rsidR="00000000" w:rsidDel="00000000" w:rsidP="00000000" w:rsidRDefault="00000000" w:rsidRPr="00000000" w14:paraId="00000059">
            <w:pPr>
              <w:spacing w:line="240" w:lineRule="auto"/>
              <w:ind w:left="142" w:right="34" w:firstLine="0"/>
              <w:rPr/>
            </w:pPr>
            <w:r w:rsidDel="00000000" w:rsidR="00000000" w:rsidRPr="00000000">
              <w:rPr>
                <w:rtl w:val="0"/>
              </w:rPr>
              <w:t xml:space="preserve">Date:</w:t>
            </w:r>
          </w:p>
        </w:tc>
      </w:tr>
      <w:tr>
        <w:trPr>
          <w:cantSplit w:val="0"/>
          <w:tblHeader w:val="0"/>
        </w:trPr>
        <w:tc>
          <w:tcPr>
            <w:gridSpan w:val="5"/>
            <w:vAlign w:val="top"/>
          </w:tcPr>
          <w:p w:rsidR="00000000" w:rsidDel="00000000" w:rsidP="00000000" w:rsidRDefault="00000000" w:rsidRPr="00000000" w14:paraId="0000005B">
            <w:pPr>
              <w:spacing w:line="240" w:lineRule="auto"/>
              <w:ind w:right="-334"/>
              <w:rPr/>
            </w:pPr>
            <w:r w:rsidDel="00000000" w:rsidR="00000000" w:rsidRPr="00000000">
              <w:rPr>
                <w:rtl w:val="0"/>
              </w:rPr>
            </w:r>
          </w:p>
          <w:p w:rsidR="00000000" w:rsidDel="00000000" w:rsidP="00000000" w:rsidRDefault="00000000" w:rsidRPr="00000000" w14:paraId="0000005C">
            <w:pPr>
              <w:spacing w:line="240" w:lineRule="auto"/>
              <w:ind w:right="-334"/>
              <w:rPr/>
            </w:pPr>
            <w:r w:rsidDel="00000000" w:rsidR="00000000" w:rsidRPr="00000000">
              <w:rPr>
                <w:b w:val="1"/>
                <w:rtl w:val="0"/>
              </w:rPr>
              <w:t xml:space="preserve">For completion by Marker 2/Moderator:</w:t>
            </w:r>
            <w:r w:rsidDel="00000000" w:rsidR="00000000" w:rsidRPr="00000000">
              <w:rPr>
                <w:rtl w:val="0"/>
              </w:rPr>
            </w:r>
          </w:p>
          <w:p w:rsidR="00000000" w:rsidDel="00000000" w:rsidP="00000000" w:rsidRDefault="00000000" w:rsidRPr="00000000" w14:paraId="0000005D">
            <w:pPr>
              <w:spacing w:line="240" w:lineRule="auto"/>
              <w:ind w:right="-334"/>
              <w:rPr/>
            </w:pPr>
            <w:r w:rsidDel="00000000" w:rsidR="00000000" w:rsidRPr="00000000">
              <w:rPr>
                <w:rtl w:val="0"/>
              </w:rPr>
            </w:r>
          </w:p>
          <w:p w:rsidR="00000000" w:rsidDel="00000000" w:rsidP="00000000" w:rsidRDefault="00000000" w:rsidRPr="00000000" w14:paraId="0000005E">
            <w:pPr>
              <w:spacing w:line="240" w:lineRule="auto"/>
              <w:ind w:right="-334"/>
              <w:rPr/>
            </w:pPr>
            <w:r w:rsidDel="00000000" w:rsidR="00000000" w:rsidRPr="00000000">
              <w:rPr>
                <w:rtl w:val="0"/>
              </w:rPr>
              <w:t xml:space="preserve">Comments:</w:t>
            </w:r>
          </w:p>
          <w:p w:rsidR="00000000" w:rsidDel="00000000" w:rsidP="00000000" w:rsidRDefault="00000000" w:rsidRPr="00000000" w14:paraId="0000005F">
            <w:pPr>
              <w:spacing w:line="240" w:lineRule="auto"/>
              <w:ind w:right="-334"/>
              <w:rPr/>
            </w:pPr>
            <w:r w:rsidDel="00000000" w:rsidR="00000000" w:rsidRPr="00000000">
              <w:rPr>
                <w:rtl w:val="0"/>
              </w:rPr>
            </w:r>
          </w:p>
          <w:p w:rsidR="00000000" w:rsidDel="00000000" w:rsidP="00000000" w:rsidRDefault="00000000" w:rsidRPr="00000000" w14:paraId="00000060">
            <w:pPr>
              <w:spacing w:line="240" w:lineRule="auto"/>
              <w:ind w:right="-334"/>
              <w:rPr/>
            </w:pPr>
            <w:r w:rsidDel="00000000" w:rsidR="00000000" w:rsidRPr="00000000">
              <w:rPr>
                <w:rtl w:val="0"/>
              </w:rPr>
            </w:r>
          </w:p>
          <w:p w:rsidR="00000000" w:rsidDel="00000000" w:rsidP="00000000" w:rsidRDefault="00000000" w:rsidRPr="00000000" w14:paraId="00000061">
            <w:pPr>
              <w:spacing w:line="240" w:lineRule="auto"/>
              <w:ind w:right="-334"/>
              <w:rPr/>
            </w:pPr>
            <w:r w:rsidDel="00000000" w:rsidR="00000000" w:rsidRPr="00000000">
              <w:rPr>
                <w:rtl w:val="0"/>
              </w:rPr>
            </w:r>
          </w:p>
          <w:p w:rsidR="00000000" w:rsidDel="00000000" w:rsidP="00000000" w:rsidRDefault="00000000" w:rsidRPr="00000000" w14:paraId="00000062">
            <w:pPr>
              <w:spacing w:line="240" w:lineRule="auto"/>
              <w:ind w:right="-334"/>
              <w:rPr/>
            </w:pPr>
            <w:r w:rsidDel="00000000" w:rsidR="00000000" w:rsidRPr="00000000">
              <w:rPr>
                <w:rtl w:val="0"/>
              </w:rPr>
            </w:r>
          </w:p>
          <w:p w:rsidR="00000000" w:rsidDel="00000000" w:rsidP="00000000" w:rsidRDefault="00000000" w:rsidRPr="00000000" w14:paraId="00000063">
            <w:pPr>
              <w:spacing w:line="240" w:lineRule="auto"/>
              <w:ind w:right="-334"/>
              <w:rPr/>
            </w:pPr>
            <w:r w:rsidDel="00000000" w:rsidR="00000000" w:rsidRPr="00000000">
              <w:rPr>
                <w:rtl w:val="0"/>
              </w:rPr>
            </w:r>
          </w:p>
          <w:p w:rsidR="00000000" w:rsidDel="00000000" w:rsidP="00000000" w:rsidRDefault="00000000" w:rsidRPr="00000000" w14:paraId="00000064">
            <w:pPr>
              <w:spacing w:line="240" w:lineRule="auto"/>
              <w:ind w:right="-334"/>
              <w:rPr/>
            </w:pPr>
            <w:r w:rsidDel="00000000" w:rsidR="00000000" w:rsidRPr="00000000">
              <w:rPr>
                <w:rtl w:val="0"/>
              </w:rPr>
            </w:r>
          </w:p>
          <w:p w:rsidR="00000000" w:rsidDel="00000000" w:rsidP="00000000" w:rsidRDefault="00000000" w:rsidRPr="00000000" w14:paraId="00000065">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A">
            <w:pPr>
              <w:spacing w:line="240" w:lineRule="auto"/>
              <w:ind w:right="-334"/>
              <w:rPr/>
            </w:pPr>
            <w:r w:rsidDel="00000000" w:rsidR="00000000" w:rsidRPr="00000000">
              <w:rPr>
                <w:rtl w:val="0"/>
              </w:rPr>
              <w:t xml:space="preserve">Marker’s Signature:</w:t>
            </w:r>
          </w:p>
        </w:tc>
        <w:tc>
          <w:tcPr>
            <w:gridSpan w:val="3"/>
            <w:vAlign w:val="top"/>
          </w:tcPr>
          <w:p w:rsidR="00000000" w:rsidDel="00000000" w:rsidP="00000000" w:rsidRDefault="00000000" w:rsidRPr="00000000" w14:paraId="0000006C">
            <w:pPr>
              <w:spacing w:line="240" w:lineRule="auto"/>
              <w:ind w:right="-334"/>
              <w:rPr/>
            </w:pPr>
            <w:r w:rsidDel="00000000" w:rsidR="00000000" w:rsidRPr="00000000">
              <w:rPr>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6F">
            <w:pPr>
              <w:spacing w:line="240" w:lineRule="auto"/>
              <w:rPr/>
            </w:pPr>
            <w:r w:rsidDel="00000000" w:rsidR="00000000" w:rsidRPr="00000000">
              <w:rPr>
                <w:b w:val="1"/>
                <w:rtl w:val="0"/>
              </w:rPr>
              <w:t xml:space="preserve">External Examiner’s comments (if relevant)</w:t>
            </w:r>
            <w:r w:rsidDel="00000000" w:rsidR="00000000" w:rsidRPr="00000000">
              <w:rPr>
                <w:rtl w:val="0"/>
              </w:rPr>
            </w:r>
          </w:p>
          <w:p w:rsidR="00000000" w:rsidDel="00000000" w:rsidP="00000000" w:rsidRDefault="00000000" w:rsidRPr="00000000" w14:paraId="00000070">
            <w:pPr>
              <w:spacing w:line="240" w:lineRule="auto"/>
              <w:ind w:right="-334"/>
              <w:rPr/>
            </w:pPr>
            <w:r w:rsidDel="00000000" w:rsidR="00000000" w:rsidRPr="00000000">
              <w:rPr>
                <w:rtl w:val="0"/>
              </w:rPr>
            </w:r>
          </w:p>
          <w:p w:rsidR="00000000" w:rsidDel="00000000" w:rsidP="00000000" w:rsidRDefault="00000000" w:rsidRPr="00000000" w14:paraId="00000071">
            <w:pPr>
              <w:spacing w:line="240" w:lineRule="auto"/>
              <w:ind w:right="-334"/>
              <w:rPr/>
            </w:pPr>
            <w:r w:rsidDel="00000000" w:rsidR="00000000" w:rsidRPr="00000000">
              <w:rPr>
                <w:rtl w:val="0"/>
              </w:rPr>
            </w:r>
          </w:p>
          <w:p w:rsidR="00000000" w:rsidDel="00000000" w:rsidP="00000000" w:rsidRDefault="00000000" w:rsidRPr="00000000" w14:paraId="00000072">
            <w:pPr>
              <w:spacing w:line="240" w:lineRule="auto"/>
              <w:ind w:right="-334"/>
              <w:rPr/>
            </w:pPr>
            <w:r w:rsidDel="00000000" w:rsidR="00000000" w:rsidRPr="00000000">
              <w:rPr>
                <w:rtl w:val="0"/>
              </w:rPr>
            </w:r>
          </w:p>
          <w:p w:rsidR="00000000" w:rsidDel="00000000" w:rsidP="00000000" w:rsidRDefault="00000000" w:rsidRPr="00000000" w14:paraId="00000073">
            <w:pPr>
              <w:spacing w:line="240" w:lineRule="auto"/>
              <w:ind w:right="-334"/>
              <w:rPr/>
            </w:pPr>
            <w:r w:rsidDel="00000000" w:rsidR="00000000" w:rsidRPr="00000000">
              <w:rPr>
                <w:rtl w:val="0"/>
              </w:rPr>
            </w:r>
          </w:p>
          <w:p w:rsidR="00000000" w:rsidDel="00000000" w:rsidP="00000000" w:rsidRDefault="00000000" w:rsidRPr="00000000" w14:paraId="00000074">
            <w:pPr>
              <w:spacing w:line="240" w:lineRule="auto"/>
              <w:ind w:right="-334"/>
              <w:rPr/>
            </w:pPr>
            <w:r w:rsidDel="00000000" w:rsidR="00000000" w:rsidRPr="00000000">
              <w:rPr>
                <w:rtl w:val="0"/>
              </w:rPr>
            </w:r>
          </w:p>
          <w:p w:rsidR="00000000" w:rsidDel="00000000" w:rsidP="00000000" w:rsidRDefault="00000000" w:rsidRPr="00000000" w14:paraId="00000075">
            <w:pPr>
              <w:spacing w:line="240" w:lineRule="auto"/>
              <w:ind w:right="-334"/>
              <w:rPr/>
            </w:pPr>
            <w:r w:rsidDel="00000000" w:rsidR="00000000" w:rsidRPr="00000000">
              <w:rPr>
                <w:rtl w:val="0"/>
              </w:rPr>
            </w:r>
          </w:p>
          <w:p w:rsidR="00000000" w:rsidDel="00000000" w:rsidP="00000000" w:rsidRDefault="00000000" w:rsidRPr="00000000" w14:paraId="00000076">
            <w:pPr>
              <w:spacing w:line="240" w:lineRule="auto"/>
              <w:ind w:right="-334"/>
              <w:rPr/>
            </w:pPr>
            <w:r w:rsidDel="00000000" w:rsidR="00000000" w:rsidRPr="00000000">
              <w:rPr>
                <w:rtl w:val="0"/>
              </w:rPr>
            </w:r>
          </w:p>
          <w:p w:rsidR="00000000" w:rsidDel="00000000" w:rsidP="00000000" w:rsidRDefault="00000000" w:rsidRPr="00000000" w14:paraId="00000077">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7C">
            <w:pPr>
              <w:spacing w:line="240" w:lineRule="auto"/>
              <w:rPr/>
            </w:pPr>
            <w:r w:rsidDel="00000000" w:rsidR="00000000" w:rsidRPr="00000000">
              <w:rPr>
                <w:rtl w:val="0"/>
              </w:rPr>
              <w:t xml:space="preserve">External Examiner’s Signature:</w:t>
            </w:r>
          </w:p>
        </w:tc>
        <w:tc>
          <w:tcPr>
            <w:gridSpan w:val="3"/>
            <w:vAlign w:val="top"/>
          </w:tcPr>
          <w:p w:rsidR="00000000" w:rsidDel="00000000" w:rsidP="00000000" w:rsidRDefault="00000000" w:rsidRPr="00000000" w14:paraId="0000007E">
            <w:pPr>
              <w:spacing w:line="240" w:lineRule="auto"/>
              <w:rPr/>
            </w:pPr>
            <w:r w:rsidDel="00000000" w:rsidR="00000000" w:rsidRPr="00000000">
              <w:rPr>
                <w:rtl w:val="0"/>
              </w:rPr>
              <w:t xml:space="preserve">Date:</w:t>
            </w:r>
          </w:p>
        </w:tc>
      </w:tr>
    </w:tbl>
    <w:p w:rsidR="00000000" w:rsidDel="00000000" w:rsidP="00000000" w:rsidRDefault="00000000" w:rsidRPr="00000000" w14:paraId="00000081">
      <w:pPr>
        <w:spacing w:line="240" w:lineRule="auto"/>
        <w:ind w:right="-334"/>
        <w:rPr>
          <w:rFonts w:ascii="Trebuchet MS" w:cs="Trebuchet MS" w:eastAsia="Trebuchet MS" w:hAnsi="Trebuchet MS"/>
          <w:sz w:val="24"/>
          <w:szCs w:val="24"/>
        </w:rPr>
      </w:pPr>
      <w:r w:rsidDel="00000000" w:rsidR="00000000" w:rsidRPr="00000000">
        <w:rPr>
          <w:rtl w:val="0"/>
        </w:rPr>
      </w:r>
    </w:p>
    <w:p w:rsidR="00000000" w:rsidDel="00000000" w:rsidP="00000000" w:rsidRDefault="00000000" w:rsidRPr="00000000" w14:paraId="00000082">
      <w:pPr>
        <w:ind w:left="2160" w:firstLine="720"/>
        <w:jc w:val="left"/>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Katherine Azima – HPCA7008– Essay 1</w:t>
      </w:r>
    </w:p>
    <w:p w:rsidR="00000000" w:rsidDel="00000000" w:rsidP="00000000" w:rsidRDefault="00000000" w:rsidRPr="00000000" w14:paraId="00000083">
      <w:pPr>
        <w:jc w:val="center"/>
        <w:rPr>
          <w:rFonts w:ascii="Calibri" w:cs="Calibri" w:eastAsia="Calibri" w:hAnsi="Calibri"/>
          <w:b w:val="1"/>
          <w:sz w:val="24"/>
          <w:szCs w:val="24"/>
          <w:highlight w:val="white"/>
        </w:rPr>
      </w:pPr>
      <w:r w:rsidDel="00000000" w:rsidR="00000000" w:rsidRPr="00000000">
        <w:rPr>
          <w:rtl w:val="0"/>
        </w:rPr>
      </w:r>
    </w:p>
    <w:p w:rsidR="00000000" w:rsidDel="00000000" w:rsidP="00000000" w:rsidRDefault="00000000" w:rsidRPr="00000000" w14:paraId="00000084">
      <w:pPr>
        <w:jc w:val="center"/>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A Critical Comparison of Two JSTOR Papers’</w:t>
      </w:r>
    </w:p>
    <w:p w:rsidR="00000000" w:rsidDel="00000000" w:rsidP="00000000" w:rsidRDefault="00000000" w:rsidRPr="00000000" w14:paraId="00000085">
      <w:pPr>
        <w:jc w:val="center"/>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Word Count: 1476</w:t>
      </w:r>
    </w:p>
    <w:p w:rsidR="00000000" w:rsidDel="00000000" w:rsidP="00000000" w:rsidRDefault="00000000" w:rsidRPr="00000000" w14:paraId="00000086">
      <w:pPr>
        <w:jc w:val="center"/>
        <w:rPr>
          <w:rFonts w:ascii="Calibri" w:cs="Calibri" w:eastAsia="Calibri" w:hAnsi="Calibri"/>
          <w:i w:val="1"/>
          <w:color w:val="202122"/>
          <w:sz w:val="24"/>
          <w:szCs w:val="24"/>
          <w:highlight w:val="white"/>
        </w:rPr>
      </w:pPr>
      <w:r w:rsidDel="00000000" w:rsidR="00000000" w:rsidRPr="00000000">
        <w:rPr>
          <w:rtl w:val="0"/>
        </w:rPr>
      </w:r>
    </w:p>
    <w:p w:rsidR="00000000" w:rsidDel="00000000" w:rsidP="00000000" w:rsidRDefault="00000000" w:rsidRPr="00000000" w14:paraId="00000087">
      <w:pPr>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essay critically compares and contrasts two JSTOR papers. The two papers chosen are Raymond Head, ‘Holst - Astrology and Modernism in ‘The Planets’, Tempo, New Series, nº187 (Dec. 1993), pp.15-22</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and of Eleanor R. Long, ‘How the Dog Got Its Days: A Skeptical Inquiry into Traditional Star and Weather Lore’, Western Folklore, 43 (1984), pp.256-264. </w:t>
      </w:r>
    </w:p>
    <w:p w:rsidR="00000000" w:rsidDel="00000000" w:rsidP="00000000" w:rsidRDefault="00000000" w:rsidRPr="00000000" w14:paraId="00000088">
      <w:pPr>
        <w:ind w:firstLine="720"/>
        <w:rPr>
          <w:rFonts w:ascii="Calibri" w:cs="Calibri" w:eastAsia="Calibri" w:hAnsi="Calibri"/>
          <w:color w:val="202122"/>
          <w:sz w:val="24"/>
          <w:szCs w:val="24"/>
          <w:highlight w:val="white"/>
        </w:rPr>
      </w:pPr>
      <w:r w:rsidDel="00000000" w:rsidR="00000000" w:rsidRPr="00000000">
        <w:rPr>
          <w:rFonts w:ascii="Calibri" w:cs="Calibri" w:eastAsia="Calibri" w:hAnsi="Calibri"/>
          <w:sz w:val="24"/>
          <w:szCs w:val="24"/>
          <w:rtl w:val="0"/>
        </w:rPr>
        <w:t xml:space="preserve">From a macro perspective both papers are an investigation into cultural astronomy. As British astronomer and scholar Clive Ruggles explains, ‘the study of cultural astronomies is concerned with the diversities of ways in which cultures, both ancient and modern, perceive celestial objects and integrate them into their view of the world.’</w:t>
      </w:r>
      <w:r w:rsidDel="00000000" w:rsidR="00000000" w:rsidRPr="00000000">
        <w:rPr>
          <w:rFonts w:ascii="Calibri" w:cs="Calibri" w:eastAsia="Calibri" w:hAnsi="Calibri"/>
          <w:sz w:val="24"/>
          <w:szCs w:val="24"/>
          <w:vertAlign w:val="superscript"/>
        </w:rPr>
        <w:footnoteReference w:customMarkFollows="0" w:id="0"/>
      </w:r>
      <w:r w:rsidDel="00000000" w:rsidR="00000000" w:rsidRPr="00000000">
        <w:rPr>
          <w:rFonts w:ascii="Calibri" w:cs="Calibri" w:eastAsia="Calibri" w:hAnsi="Calibri"/>
          <w:sz w:val="24"/>
          <w:szCs w:val="24"/>
          <w:rtl w:val="0"/>
        </w:rPr>
        <w:t xml:space="preserve"> In his paper,  </w:t>
      </w:r>
      <w:r w:rsidDel="00000000" w:rsidR="00000000" w:rsidRPr="00000000">
        <w:rPr>
          <w:rFonts w:ascii="Calibri" w:cs="Calibri" w:eastAsia="Calibri" w:hAnsi="Calibri"/>
          <w:color w:val="202122"/>
          <w:sz w:val="24"/>
          <w:szCs w:val="24"/>
          <w:highlight w:val="white"/>
          <w:rtl w:val="0"/>
        </w:rPr>
        <w:t xml:space="preserve">Raymond Head examines the influence of Modernism and Astrology in relation to 20th century English composer Gustav Holst’s (1874-1934) seven movement orchestral piece, ‘The Planets’. In her paper, Eleanor R. Long provides a ‘skeptical inquiry’ into how the term “dog days” became known in popular tradition with the ‘aberrations and tabus’</w:t>
      </w:r>
      <w:r w:rsidDel="00000000" w:rsidR="00000000" w:rsidRPr="00000000">
        <w:rPr>
          <w:rFonts w:ascii="Calibri" w:cs="Calibri" w:eastAsia="Calibri" w:hAnsi="Calibri"/>
          <w:color w:val="202122"/>
          <w:sz w:val="24"/>
          <w:szCs w:val="24"/>
          <w:highlight w:val="white"/>
          <w:vertAlign w:val="superscript"/>
        </w:rPr>
        <w:footnoteReference w:customMarkFollows="0" w:id="1"/>
      </w:r>
      <w:r w:rsidDel="00000000" w:rsidR="00000000" w:rsidRPr="00000000">
        <w:rPr>
          <w:rFonts w:ascii="Calibri" w:cs="Calibri" w:eastAsia="Calibri" w:hAnsi="Calibri"/>
          <w:color w:val="202122"/>
          <w:sz w:val="24"/>
          <w:szCs w:val="24"/>
          <w:highlight w:val="white"/>
          <w:rtl w:val="0"/>
        </w:rPr>
        <w:t xml:space="preserve"> during the period following the ascendancy of the star Sirius (Canis Major). </w:t>
      </w:r>
    </w:p>
    <w:p w:rsidR="00000000" w:rsidDel="00000000" w:rsidP="00000000" w:rsidRDefault="00000000" w:rsidRPr="00000000" w14:paraId="00000089">
      <w:pPr>
        <w:ind w:firstLine="720"/>
        <w:rPr>
          <w:rFonts w:ascii="Calibri" w:cs="Calibri" w:eastAsia="Calibri" w:hAnsi="Calibri"/>
          <w:sz w:val="24"/>
          <w:szCs w:val="24"/>
        </w:rPr>
      </w:pPr>
      <w:r w:rsidDel="00000000" w:rsidR="00000000" w:rsidRPr="00000000">
        <w:rPr>
          <w:rFonts w:ascii="Calibri" w:cs="Calibri" w:eastAsia="Calibri" w:hAnsi="Calibri"/>
          <w:color w:val="202122"/>
          <w:sz w:val="24"/>
          <w:szCs w:val="24"/>
          <w:highlight w:val="white"/>
          <w:rtl w:val="0"/>
        </w:rPr>
        <w:t xml:space="preserve">It is helpful to ground the papers in their respective contexts. Head’s paper was published in 1993 in the </w:t>
      </w:r>
      <w:r w:rsidDel="00000000" w:rsidR="00000000" w:rsidRPr="00000000">
        <w:rPr>
          <w:rFonts w:ascii="Calibri" w:cs="Calibri" w:eastAsia="Calibri" w:hAnsi="Calibri"/>
          <w:sz w:val="24"/>
          <w:szCs w:val="24"/>
          <w:highlight w:val="white"/>
          <w:rtl w:val="0"/>
        </w:rPr>
        <w:t xml:space="preserve">English peer reviewed journal ‘Tempo’ by a respected scholarly publisher, Cambridge University Press. ‘Tempo’ is a 20th-century contemporary concert music journal featuring scholarly articles often illustrated with music examples and explores the work of composers throughout the world in publication since 1939.</w:t>
      </w:r>
      <w:r w:rsidDel="00000000" w:rsidR="00000000" w:rsidRPr="00000000">
        <w:rPr>
          <w:rFonts w:ascii="Calibri" w:cs="Calibri" w:eastAsia="Calibri" w:hAnsi="Calibri"/>
          <w:sz w:val="24"/>
          <w:szCs w:val="24"/>
          <w:highlight w:val="white"/>
          <w:vertAlign w:val="superscript"/>
        </w:rPr>
        <w:footnoteReference w:customMarkFollows="0" w:id="2"/>
      </w:r>
      <w:r w:rsidDel="00000000" w:rsidR="00000000" w:rsidRPr="00000000">
        <w:rPr>
          <w:rFonts w:ascii="Calibri" w:cs="Calibri" w:eastAsia="Calibri" w:hAnsi="Calibri"/>
          <w:sz w:val="24"/>
          <w:szCs w:val="24"/>
          <w:highlight w:val="white"/>
          <w:rtl w:val="0"/>
        </w:rPr>
        <w:t xml:space="preserve"> </w:t>
      </w:r>
      <w:r w:rsidDel="00000000" w:rsidR="00000000" w:rsidRPr="00000000">
        <w:rPr>
          <w:rFonts w:ascii="Calibri" w:cs="Calibri" w:eastAsia="Calibri" w:hAnsi="Calibri"/>
          <w:color w:val="202122"/>
          <w:sz w:val="24"/>
          <w:szCs w:val="24"/>
          <w:highlight w:val="white"/>
          <w:rtl w:val="0"/>
        </w:rPr>
        <w:t xml:space="preserve"> Similar to Head’s paper, Long’s paper was also published in a respected scholarly </w:t>
      </w:r>
      <w:r w:rsidDel="00000000" w:rsidR="00000000" w:rsidRPr="00000000">
        <w:rPr>
          <w:rFonts w:ascii="Calibri" w:cs="Calibri" w:eastAsia="Calibri" w:hAnsi="Calibri"/>
          <w:sz w:val="24"/>
          <w:szCs w:val="24"/>
          <w:highlight w:val="white"/>
          <w:rtl w:val="0"/>
        </w:rPr>
        <w:t xml:space="preserve">journal. Long’s paper was featured in ‘Western Folklore’ published by the Western States Folklore Society, in publication since 1942. According to the journal description, the papers featured in the journal analyse regional, national, and international folklore and customs as well as focusing on the development and critique of folklore theory.  </w:t>
      </w:r>
      <w:r w:rsidDel="00000000" w:rsidR="00000000" w:rsidRPr="00000000">
        <w:rPr>
          <w:rtl w:val="0"/>
        </w:rPr>
      </w:r>
    </w:p>
    <w:p w:rsidR="00000000" w:rsidDel="00000000" w:rsidP="00000000" w:rsidRDefault="00000000" w:rsidRPr="00000000" w14:paraId="0000008A">
      <w:pPr>
        <w:ind w:left="0" w:firstLine="720"/>
        <w:rPr>
          <w:rFonts w:ascii="Calibri" w:cs="Calibri" w:eastAsia="Calibri" w:hAnsi="Calibri"/>
          <w:sz w:val="24"/>
          <w:szCs w:val="24"/>
          <w:highlight w:val="white"/>
        </w:rPr>
      </w:pPr>
      <w:r w:rsidDel="00000000" w:rsidR="00000000" w:rsidRPr="00000000">
        <w:rPr>
          <w:rFonts w:ascii="Calibri" w:cs="Calibri" w:eastAsia="Calibri" w:hAnsi="Calibri"/>
          <w:sz w:val="24"/>
          <w:szCs w:val="24"/>
          <w:rtl w:val="0"/>
        </w:rPr>
        <w:t xml:space="preserve">The personal biographical context of the paper's authors is also important to highlight as it can inform their position on the subject matter and potential biases. Head was born in 1948 and currently lives in Oxfordshire, UK. Like Holst, Head is a British composer and teacher of piano and voice. Head is also a scholar of Holst.</w:t>
      </w:r>
      <w:r w:rsidDel="00000000" w:rsidR="00000000" w:rsidRPr="00000000">
        <w:rPr>
          <w:rFonts w:ascii="Calibri" w:cs="Calibri" w:eastAsia="Calibri" w:hAnsi="Calibri"/>
          <w:sz w:val="24"/>
          <w:szCs w:val="24"/>
          <w:vertAlign w:val="superscript"/>
        </w:rPr>
        <w:footnoteReference w:customMarkFollows="0" w:id="3"/>
      </w:r>
      <w:r w:rsidDel="00000000" w:rsidR="00000000" w:rsidRPr="00000000">
        <w:rPr>
          <w:rFonts w:ascii="Calibri" w:cs="Calibri" w:eastAsia="Calibri" w:hAnsi="Calibri"/>
          <w:sz w:val="24"/>
          <w:szCs w:val="24"/>
          <w:rtl w:val="0"/>
        </w:rPr>
        <w:t xml:space="preserve"> Head’s intention was to show how Holst’s ‘understanding of astrology, his friendships of the time, and his Theosophical upbringing’ influenced the composition of ‘The Planets’. Head is connected with the Indian philosophical movement he speaks of made evident when he says in his biography on his personal website that he was disillusioned with the path of contemporary music and began an investigation into Indian influences on Western culture which was a long time interest of his. </w:t>
      </w:r>
      <w:r w:rsidDel="00000000" w:rsidR="00000000" w:rsidRPr="00000000">
        <w:rPr>
          <w:rFonts w:ascii="Calibri" w:cs="Calibri" w:eastAsia="Calibri" w:hAnsi="Calibri"/>
          <w:sz w:val="24"/>
          <w:szCs w:val="24"/>
          <w:rtl w:val="0"/>
        </w:rPr>
        <w:t xml:space="preserve">This led to post-graduate work at the Royal College of Art, London, travel to the United States on a British Academy scholarship and a short-stay Yale Fellowship.</w:t>
      </w:r>
      <w:r w:rsidDel="00000000" w:rsidR="00000000" w:rsidRPr="00000000">
        <w:rPr>
          <w:rFonts w:ascii="Calibri" w:cs="Calibri" w:eastAsia="Calibri" w:hAnsi="Calibri"/>
          <w:sz w:val="24"/>
          <w:szCs w:val="24"/>
          <w:vertAlign w:val="superscript"/>
        </w:rPr>
        <w:footnoteReference w:customMarkFollows="0" w:id="4"/>
      </w:r>
      <w:r w:rsidDel="00000000" w:rsidR="00000000" w:rsidRPr="00000000">
        <w:rPr>
          <w:rFonts w:ascii="Calibri" w:cs="Calibri" w:eastAsia="Calibri" w:hAnsi="Calibri"/>
          <w:sz w:val="24"/>
          <w:szCs w:val="24"/>
          <w:rtl w:val="0"/>
        </w:rPr>
        <w:t xml:space="preserve"> In 1986 he published a book titled ‘The Indian Style’</w:t>
      </w:r>
      <w:r w:rsidDel="00000000" w:rsidR="00000000" w:rsidRPr="00000000">
        <w:rPr>
          <w:rFonts w:ascii="Calibri" w:cs="Calibri" w:eastAsia="Calibri" w:hAnsi="Calibri"/>
          <w:sz w:val="24"/>
          <w:szCs w:val="24"/>
          <w:vertAlign w:val="superscript"/>
        </w:rPr>
        <w:footnoteReference w:customMarkFollows="0" w:id="5"/>
      </w:r>
      <w:r w:rsidDel="00000000" w:rsidR="00000000" w:rsidRPr="00000000">
        <w:rPr>
          <w:rFonts w:ascii="Calibri" w:cs="Calibri" w:eastAsia="Calibri" w:hAnsi="Calibri"/>
          <w:sz w:val="24"/>
          <w:szCs w:val="24"/>
          <w:rtl w:val="0"/>
        </w:rPr>
        <w:t xml:space="preserve"> which traces the influence of Indian influence of art and architecture on the West.</w:t>
      </w:r>
      <w:r w:rsidDel="00000000" w:rsidR="00000000" w:rsidRPr="00000000">
        <w:rPr>
          <w:rFonts w:ascii="Calibri" w:cs="Calibri" w:eastAsia="Calibri" w:hAnsi="Calibri"/>
          <w:sz w:val="24"/>
          <w:szCs w:val="24"/>
          <w:vertAlign w:val="superscript"/>
        </w:rPr>
        <w:footnoteReference w:customMarkFollows="0" w:id="6"/>
      </w:r>
      <w:r w:rsidDel="00000000" w:rsidR="00000000" w:rsidRPr="00000000">
        <w:rPr>
          <w:rFonts w:ascii="Calibri" w:cs="Calibri" w:eastAsia="Calibri" w:hAnsi="Calibri"/>
          <w:sz w:val="24"/>
          <w:szCs w:val="24"/>
          <w:rtl w:val="0"/>
        </w:rPr>
        <w:t xml:space="preserve"> As he further states on his personal website, he is a musical adviser to the Holst Birthplace Museum in Cheltenham, Gloucestershire. He received a Holst Foundation Award 1984 to pursue original work on Holst and was a Trustee of the Holst Birthplace Museum from 2003 to 2006. On April 4th 2008 Raymond's Fanfare for Gustav Holst was played at the unveiling of Holst's Statue in Cheltenham.</w:t>
      </w:r>
      <w:r w:rsidDel="00000000" w:rsidR="00000000" w:rsidRPr="00000000">
        <w:rPr>
          <w:rFonts w:ascii="Calibri" w:cs="Calibri" w:eastAsia="Calibri" w:hAnsi="Calibri"/>
          <w:sz w:val="24"/>
          <w:szCs w:val="24"/>
          <w:vertAlign w:val="superscript"/>
        </w:rPr>
        <w:footnoteReference w:customMarkFollows="0" w:id="7"/>
      </w:r>
      <w:r w:rsidDel="00000000" w:rsidR="00000000" w:rsidRPr="00000000">
        <w:rPr>
          <w:rFonts w:ascii="Calibri" w:cs="Calibri" w:eastAsia="Calibri" w:hAnsi="Calibri"/>
          <w:sz w:val="24"/>
          <w:szCs w:val="24"/>
          <w:rtl w:val="0"/>
        </w:rPr>
        <w:t xml:space="preserve"> These connections all indicate a strong and intimate connection and interest in Gustav Holst on a personal level and in regards to his musical approach and influences.</w:t>
      </w:r>
      <w:r w:rsidDel="00000000" w:rsidR="00000000" w:rsidRPr="00000000">
        <w:rPr>
          <w:rFonts w:ascii="Calibri" w:cs="Calibri" w:eastAsia="Calibri" w:hAnsi="Calibri"/>
          <w:sz w:val="24"/>
          <w:szCs w:val="24"/>
          <w:highlight w:val="white"/>
          <w:rtl w:val="0"/>
        </w:rPr>
        <w:t xml:space="preserve"> The intended audience of the paper can be deduced from the subscribers of the journal which include ‘</w:t>
      </w:r>
      <w:r w:rsidDel="00000000" w:rsidR="00000000" w:rsidRPr="00000000">
        <w:rPr>
          <w:rFonts w:ascii="Calibri" w:cs="Calibri" w:eastAsia="Calibri" w:hAnsi="Calibri"/>
          <w:sz w:val="24"/>
          <w:szCs w:val="24"/>
          <w:highlight w:val="white"/>
          <w:rtl w:val="0"/>
        </w:rPr>
        <w:t xml:space="preserve">musicians, music journalists, researchers and teachers in music, composers and performers, music librarians, music historians, critics, listeners and concert goers</w:t>
      </w:r>
      <w:r w:rsidDel="00000000" w:rsidR="00000000" w:rsidRPr="00000000">
        <w:rPr>
          <w:rFonts w:ascii="Calibri" w:cs="Calibri" w:eastAsia="Calibri" w:hAnsi="Calibri"/>
          <w:sz w:val="24"/>
          <w:szCs w:val="24"/>
          <w:highlight w:val="white"/>
          <w:rtl w:val="0"/>
        </w:rPr>
        <w:t xml:space="preserve">’.</w:t>
      </w:r>
      <w:r w:rsidDel="00000000" w:rsidR="00000000" w:rsidRPr="00000000">
        <w:rPr>
          <w:rFonts w:ascii="Calibri" w:cs="Calibri" w:eastAsia="Calibri" w:hAnsi="Calibri"/>
          <w:sz w:val="24"/>
          <w:szCs w:val="24"/>
          <w:highlight w:val="white"/>
          <w:vertAlign w:val="superscript"/>
        </w:rPr>
        <w:footnoteReference w:customMarkFollows="0" w:id="8"/>
      </w:r>
      <w:r w:rsidDel="00000000" w:rsidR="00000000" w:rsidRPr="00000000">
        <w:rPr>
          <w:rFonts w:ascii="Calibri" w:cs="Calibri" w:eastAsia="Calibri" w:hAnsi="Calibri"/>
          <w:sz w:val="24"/>
          <w:szCs w:val="24"/>
          <w:highlight w:val="white"/>
          <w:rtl w:val="0"/>
        </w:rPr>
        <w:t xml:space="preserve">  </w:t>
      </w:r>
    </w:p>
    <w:p w:rsidR="00000000" w:rsidDel="00000000" w:rsidP="00000000" w:rsidRDefault="00000000" w:rsidRPr="00000000" w14:paraId="0000008B">
      <w:pPr>
        <w:ind w:firstLine="720"/>
        <w:rPr>
          <w:rFonts w:ascii="Calibri" w:cs="Calibri" w:eastAsia="Calibri" w:hAnsi="Calibri"/>
          <w:color w:val="202122"/>
          <w:sz w:val="24"/>
          <w:szCs w:val="24"/>
          <w:highlight w:val="yellow"/>
        </w:rPr>
      </w:pPr>
      <w:r w:rsidDel="00000000" w:rsidR="00000000" w:rsidRPr="00000000">
        <w:rPr>
          <w:rFonts w:ascii="Calibri" w:cs="Calibri" w:eastAsia="Calibri" w:hAnsi="Calibri"/>
          <w:color w:val="202122"/>
          <w:sz w:val="24"/>
          <w:szCs w:val="24"/>
          <w:highlight w:val="white"/>
          <w:rtl w:val="0"/>
        </w:rPr>
        <w:t xml:space="preserve">According to her obituary, Eleanor R. Long (</w:t>
      </w:r>
      <w:r w:rsidDel="00000000" w:rsidR="00000000" w:rsidRPr="00000000">
        <w:rPr>
          <w:rFonts w:ascii="Calibri" w:cs="Calibri" w:eastAsia="Calibri" w:hAnsi="Calibri"/>
          <w:sz w:val="24"/>
          <w:szCs w:val="24"/>
          <w:highlight w:val="white"/>
          <w:rtl w:val="0"/>
        </w:rPr>
        <w:t xml:space="preserve">1923 - 2005) </w:t>
      </w:r>
      <w:r w:rsidDel="00000000" w:rsidR="00000000" w:rsidRPr="00000000">
        <w:rPr>
          <w:rFonts w:ascii="Calibri" w:cs="Calibri" w:eastAsia="Calibri" w:hAnsi="Calibri"/>
          <w:sz w:val="24"/>
          <w:szCs w:val="24"/>
          <w:rtl w:val="0"/>
        </w:rPr>
        <w:t xml:space="preserve">was born in Seattle, Washington and was an award winning</w:t>
      </w:r>
      <w:r w:rsidDel="00000000" w:rsidR="00000000" w:rsidRPr="00000000">
        <w:rPr>
          <w:rFonts w:ascii="Calibri" w:cs="Calibri" w:eastAsia="Calibri" w:hAnsi="Calibri"/>
          <w:sz w:val="24"/>
          <w:szCs w:val="24"/>
          <w:vertAlign w:val="superscript"/>
        </w:rPr>
        <w:footnoteReference w:customMarkFollows="0" w:id="9"/>
      </w:r>
      <w:r w:rsidDel="00000000" w:rsidR="00000000" w:rsidRPr="00000000">
        <w:rPr>
          <w:rFonts w:ascii="Calibri" w:cs="Calibri" w:eastAsia="Calibri" w:hAnsi="Calibri"/>
          <w:sz w:val="24"/>
          <w:szCs w:val="24"/>
          <w:rtl w:val="0"/>
        </w:rPr>
        <w:t xml:space="preserve"> folklore and balladry scholar from the United States. She received her Ph.D. in English literature and folklore in 1968 from the University of California at Los Angeles and taught folklore, comparative mythology and Mediaeval literature at various college institutions in California and Canada.</w:t>
      </w:r>
      <w:r w:rsidDel="00000000" w:rsidR="00000000" w:rsidRPr="00000000">
        <w:rPr>
          <w:rFonts w:ascii="Calibri" w:cs="Calibri" w:eastAsia="Calibri" w:hAnsi="Calibri"/>
          <w:sz w:val="24"/>
          <w:szCs w:val="24"/>
          <w:vertAlign w:val="superscript"/>
        </w:rPr>
        <w:footnoteReference w:customMarkFollows="0" w:id="10"/>
      </w:r>
      <w:r w:rsidDel="00000000" w:rsidR="00000000" w:rsidRPr="00000000">
        <w:rPr>
          <w:rFonts w:ascii="Calibri" w:cs="Calibri" w:eastAsia="Calibri" w:hAnsi="Calibri"/>
          <w:sz w:val="24"/>
          <w:szCs w:val="24"/>
          <w:rtl w:val="0"/>
        </w:rPr>
        <w:t xml:space="preserve"> Like Head, Long also has connections to the subject matter of the paper she writes about. According to Norm Cohen who penned Long’s obituary, a major focus of her scholarly career was the comparative study of narrative folksong and popular traditions which was influenced by her two teachers, one of whom, D.K. Wilgus, she in fact married. After the death of her husband, Long  moved to Chapel Hill, North Carolina in the US where she became an active member of the local folklore community. </w:t>
      </w:r>
      <w:r w:rsidDel="00000000" w:rsidR="00000000" w:rsidRPr="00000000">
        <w:rPr>
          <w:rFonts w:ascii="Calibri" w:cs="Calibri" w:eastAsia="Calibri" w:hAnsi="Calibri"/>
          <w:sz w:val="24"/>
          <w:szCs w:val="24"/>
          <w:highlight w:val="white"/>
          <w:rtl w:val="0"/>
        </w:rPr>
        <w:t xml:space="preserve">The intended audience of the paper can be deduced from the description of subscribers of the journal which include’ folklorists, anthropologists, sociologists, historians, university and public libraries, historical societies, and museums’.</w:t>
      </w:r>
      <w:r w:rsidDel="00000000" w:rsidR="00000000" w:rsidRPr="00000000">
        <w:rPr>
          <w:rFonts w:ascii="Calibri" w:cs="Calibri" w:eastAsia="Calibri" w:hAnsi="Calibri"/>
          <w:sz w:val="24"/>
          <w:szCs w:val="24"/>
          <w:highlight w:val="white"/>
          <w:vertAlign w:val="superscript"/>
        </w:rPr>
        <w:footnoteReference w:customMarkFollows="0" w:id="11"/>
      </w:r>
      <w:r w:rsidDel="00000000" w:rsidR="00000000" w:rsidRPr="00000000">
        <w:rPr>
          <w:rFonts w:ascii="Calibri" w:cs="Calibri" w:eastAsia="Calibri" w:hAnsi="Calibri"/>
          <w:color w:val="202122"/>
          <w:sz w:val="24"/>
          <w:szCs w:val="24"/>
          <w:highlight w:val="white"/>
          <w:rtl w:val="0"/>
        </w:rPr>
        <w:t xml:space="preserve">  </w:t>
      </w:r>
      <w:r w:rsidDel="00000000" w:rsidR="00000000" w:rsidRPr="00000000">
        <w:rPr>
          <w:rtl w:val="0"/>
        </w:rPr>
      </w:r>
    </w:p>
    <w:p w:rsidR="00000000" w:rsidDel="00000000" w:rsidP="00000000" w:rsidRDefault="00000000" w:rsidRPr="00000000" w14:paraId="0000008C">
      <w:pPr>
        <w:ind w:firstLine="720"/>
        <w:rPr>
          <w:rFonts w:ascii="Calibri" w:cs="Calibri" w:eastAsia="Calibri" w:hAnsi="Calibri"/>
          <w:color w:val="202122"/>
          <w:sz w:val="24"/>
          <w:szCs w:val="24"/>
          <w:highlight w:val="white"/>
        </w:rPr>
      </w:pPr>
      <w:r w:rsidDel="00000000" w:rsidR="00000000" w:rsidRPr="00000000">
        <w:rPr>
          <w:rFonts w:ascii="Calibri" w:cs="Calibri" w:eastAsia="Calibri" w:hAnsi="Calibri"/>
          <w:color w:val="202122"/>
          <w:sz w:val="24"/>
          <w:szCs w:val="24"/>
          <w:highlight w:val="white"/>
          <w:rtl w:val="0"/>
        </w:rPr>
        <w:t xml:space="preserve">A thesis statement can be identified in the paper’s of both Head and Long. Head states that he wishes to look at the modern movement inspired by Theosophy, in particular esoteric areas of Indian philosophy and Astrology as they relate to ‘The Planets’ which he claims was British music's first striking testament to the Modernist outlook.</w:t>
      </w:r>
      <w:r w:rsidDel="00000000" w:rsidR="00000000" w:rsidRPr="00000000">
        <w:rPr>
          <w:rFonts w:ascii="Calibri" w:cs="Calibri" w:eastAsia="Calibri" w:hAnsi="Calibri"/>
          <w:color w:val="202122"/>
          <w:sz w:val="24"/>
          <w:szCs w:val="24"/>
          <w:highlight w:val="white"/>
          <w:vertAlign w:val="superscript"/>
        </w:rPr>
        <w:footnoteReference w:customMarkFollows="0" w:id="12"/>
      </w:r>
      <w:r w:rsidDel="00000000" w:rsidR="00000000" w:rsidRPr="00000000">
        <w:rPr>
          <w:rFonts w:ascii="Calibri" w:cs="Calibri" w:eastAsia="Calibri" w:hAnsi="Calibri"/>
          <w:color w:val="202122"/>
          <w:sz w:val="24"/>
          <w:szCs w:val="24"/>
          <w:highlight w:val="white"/>
          <w:rtl w:val="0"/>
        </w:rPr>
        <w:t xml:space="preserve"> Long’s thesis statement is less clear and more rhetorical as she states ‘the question then arises as to the relationship of the canonical “dog days” to actual weather conditions: have all of these adjustments been made in response to observed shifts in the prevailing climate, or are they essentially arbitrary?’ </w:t>
      </w:r>
    </w:p>
    <w:p w:rsidR="00000000" w:rsidDel="00000000" w:rsidP="00000000" w:rsidRDefault="00000000" w:rsidRPr="00000000" w14:paraId="0000008D">
      <w:pPr>
        <w:ind w:left="0" w:firstLine="72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The sources that Head uses in the paper include primary sources such as original musical program notes and orchestral music score, secondary sources such as books and personal letters from Holst’s family and friends, tertiary sources such as newspapers.  Head includes a couple of images in the paper, the first is an image of Alan Leo</w:t>
      </w:r>
      <w:r w:rsidDel="00000000" w:rsidR="00000000" w:rsidRPr="00000000">
        <w:rPr>
          <w:rFonts w:ascii="Calibri" w:cs="Calibri" w:eastAsia="Calibri" w:hAnsi="Calibri"/>
          <w:sz w:val="24"/>
          <w:szCs w:val="24"/>
          <w:highlight w:val="white"/>
          <w:vertAlign w:val="superscript"/>
        </w:rPr>
        <w:footnoteReference w:customMarkFollows="0" w:id="13"/>
      </w:r>
      <w:r w:rsidDel="00000000" w:rsidR="00000000" w:rsidRPr="00000000">
        <w:rPr>
          <w:rFonts w:ascii="Calibri" w:cs="Calibri" w:eastAsia="Calibri" w:hAnsi="Calibri"/>
          <w:sz w:val="24"/>
          <w:szCs w:val="24"/>
          <w:highlight w:val="white"/>
          <w:rtl w:val="0"/>
        </w:rPr>
        <w:t xml:space="preserve"> with an incomplete reference below the image and the second is an image of an excerpt of musical score but does not provide a full source or bibliographic reference. </w:t>
      </w:r>
    </w:p>
    <w:p w:rsidR="00000000" w:rsidDel="00000000" w:rsidP="00000000" w:rsidRDefault="00000000" w:rsidRPr="00000000" w14:paraId="0000008E">
      <w:pPr>
        <w:ind w:left="0" w:firstLine="72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Head uses a persuasive writing style that is at times informal and conversational versus formal and scholarly. For example, a formal definition and scholarly reference to define ‘Modernism’ or ‘Astrology’ which are central to his discussion is left out. Head uses a sweeping statement when describing Modernism stating that it is ‘a  convenient umbrella term for the whole cultural avant-garde’</w:t>
      </w:r>
      <w:r w:rsidDel="00000000" w:rsidR="00000000" w:rsidRPr="00000000">
        <w:rPr>
          <w:rFonts w:ascii="Calibri" w:cs="Calibri" w:eastAsia="Calibri" w:hAnsi="Calibri"/>
          <w:sz w:val="24"/>
          <w:szCs w:val="24"/>
          <w:highlight w:val="white"/>
          <w:vertAlign w:val="superscript"/>
        </w:rPr>
        <w:footnoteReference w:customMarkFollows="0" w:id="14"/>
      </w:r>
      <w:r w:rsidDel="00000000" w:rsidR="00000000" w:rsidRPr="00000000">
        <w:rPr>
          <w:rFonts w:ascii="Calibri" w:cs="Calibri" w:eastAsia="Calibri" w:hAnsi="Calibri"/>
          <w:sz w:val="24"/>
          <w:szCs w:val="24"/>
          <w:highlight w:val="white"/>
          <w:rtl w:val="0"/>
        </w:rPr>
        <w:t xml:space="preserve">. He fails to provide a source or identify the exact time period of Modernism. In another passage, Heads says ‘Scriabin’s Theosophical orientation is well documented’</w:t>
      </w:r>
      <w:r w:rsidDel="00000000" w:rsidR="00000000" w:rsidRPr="00000000">
        <w:rPr>
          <w:rFonts w:ascii="Calibri" w:cs="Calibri" w:eastAsia="Calibri" w:hAnsi="Calibri"/>
          <w:sz w:val="24"/>
          <w:szCs w:val="24"/>
          <w:highlight w:val="white"/>
          <w:vertAlign w:val="superscript"/>
        </w:rPr>
        <w:footnoteReference w:customMarkFollows="0" w:id="15"/>
      </w:r>
      <w:r w:rsidDel="00000000" w:rsidR="00000000" w:rsidRPr="00000000">
        <w:rPr>
          <w:rFonts w:ascii="Calibri" w:cs="Calibri" w:eastAsia="Calibri" w:hAnsi="Calibri"/>
          <w:sz w:val="24"/>
          <w:szCs w:val="24"/>
          <w:highlight w:val="white"/>
          <w:rtl w:val="0"/>
        </w:rPr>
        <w:t xml:space="preserve"> but does not provide a reference with sources for the reader to refer to. In his final paragraph of his paper, Head provides feedback from sources that provide critiques of Hols’ first incomplete public performance from Ernest Newman, </w:t>
      </w:r>
      <w:r w:rsidDel="00000000" w:rsidR="00000000" w:rsidRPr="00000000">
        <w:rPr>
          <w:rFonts w:ascii="Calibri" w:cs="Calibri" w:eastAsia="Calibri" w:hAnsi="Calibri"/>
          <w:i w:val="1"/>
          <w:sz w:val="24"/>
          <w:szCs w:val="24"/>
          <w:highlight w:val="white"/>
          <w:rtl w:val="0"/>
        </w:rPr>
        <w:t xml:space="preserve">The Daily Mail </w:t>
      </w:r>
      <w:r w:rsidDel="00000000" w:rsidR="00000000" w:rsidRPr="00000000">
        <w:rPr>
          <w:rFonts w:ascii="Calibri" w:cs="Calibri" w:eastAsia="Calibri" w:hAnsi="Calibri"/>
          <w:sz w:val="24"/>
          <w:szCs w:val="24"/>
          <w:highlight w:val="white"/>
          <w:rtl w:val="0"/>
        </w:rPr>
        <w:t xml:space="preserve">and a reviewer in the </w:t>
      </w:r>
      <w:r w:rsidDel="00000000" w:rsidR="00000000" w:rsidRPr="00000000">
        <w:rPr>
          <w:rFonts w:ascii="Calibri" w:cs="Calibri" w:eastAsia="Calibri" w:hAnsi="Calibri"/>
          <w:i w:val="1"/>
          <w:sz w:val="24"/>
          <w:szCs w:val="24"/>
          <w:highlight w:val="white"/>
          <w:rtl w:val="0"/>
        </w:rPr>
        <w:t xml:space="preserve">The Queen </w:t>
      </w:r>
      <w:r w:rsidDel="00000000" w:rsidR="00000000" w:rsidRPr="00000000">
        <w:rPr>
          <w:rFonts w:ascii="Calibri" w:cs="Calibri" w:eastAsia="Calibri" w:hAnsi="Calibri"/>
          <w:sz w:val="24"/>
          <w:szCs w:val="24"/>
          <w:highlight w:val="white"/>
          <w:rtl w:val="0"/>
        </w:rPr>
        <w:t xml:space="preserve">but does not provide a full source. Head uses absolute and evaluative language when he states how there is ‘no doubt’ that Holst was very depressed because he told Cliifford Bax that he was looking forward to ‘devachan’.</w:t>
      </w:r>
      <w:r w:rsidDel="00000000" w:rsidR="00000000" w:rsidRPr="00000000">
        <w:rPr>
          <w:rFonts w:ascii="Calibri" w:cs="Calibri" w:eastAsia="Calibri" w:hAnsi="Calibri"/>
          <w:sz w:val="24"/>
          <w:szCs w:val="24"/>
          <w:highlight w:val="white"/>
          <w:vertAlign w:val="superscript"/>
        </w:rPr>
        <w:footnoteReference w:customMarkFollows="0" w:id="16"/>
      </w:r>
      <w:r w:rsidDel="00000000" w:rsidR="00000000" w:rsidRPr="00000000">
        <w:rPr>
          <w:rFonts w:ascii="Calibri" w:cs="Calibri" w:eastAsia="Calibri" w:hAnsi="Calibri"/>
          <w:sz w:val="24"/>
          <w:szCs w:val="24"/>
          <w:highlight w:val="white"/>
          <w:rtl w:val="0"/>
        </w:rPr>
        <w:t xml:space="preserve"> Head’s unequivocal statement leaves no room for doubt or disagreement. Head uses another sweeping statement in the footnote noting that ‘in 1992 astrology was proscribed by the Roman Catholic Church’ without providing a source for his assertion</w:t>
      </w:r>
      <w:r w:rsidDel="00000000" w:rsidR="00000000" w:rsidRPr="00000000">
        <w:rPr>
          <w:rFonts w:ascii="Calibri" w:cs="Calibri" w:eastAsia="Calibri" w:hAnsi="Calibri"/>
          <w:sz w:val="24"/>
          <w:szCs w:val="24"/>
          <w:highlight w:val="white"/>
          <w:vertAlign w:val="superscript"/>
        </w:rPr>
        <w:footnoteReference w:customMarkFollows="0" w:id="17"/>
      </w:r>
      <w:r w:rsidDel="00000000" w:rsidR="00000000" w:rsidRPr="00000000">
        <w:rPr>
          <w:rFonts w:ascii="Calibri" w:cs="Calibri" w:eastAsia="Calibri" w:hAnsi="Calibri"/>
          <w:sz w:val="24"/>
          <w:szCs w:val="24"/>
          <w:highlight w:val="white"/>
          <w:rtl w:val="0"/>
        </w:rPr>
        <w:t xml:space="preserve">. </w:t>
      </w:r>
      <w:r w:rsidDel="00000000" w:rsidR="00000000" w:rsidRPr="00000000">
        <w:rPr>
          <w:rFonts w:ascii="Calibri" w:cs="Calibri" w:eastAsia="Calibri" w:hAnsi="Calibri"/>
          <w:sz w:val="24"/>
          <w:szCs w:val="24"/>
          <w:rtl w:val="0"/>
        </w:rPr>
        <w:t xml:space="preserve">Head concludes his paper by saying that Holst had indeed created a ‘truly personal, modern work and gave his audience hope for the future and a delight in the new’.</w:t>
      </w:r>
      <w:r w:rsidDel="00000000" w:rsidR="00000000" w:rsidRPr="00000000">
        <w:rPr>
          <w:rFonts w:ascii="Calibri" w:cs="Calibri" w:eastAsia="Calibri" w:hAnsi="Calibri"/>
          <w:sz w:val="24"/>
          <w:szCs w:val="24"/>
          <w:vertAlign w:val="superscript"/>
        </w:rPr>
        <w:footnoteReference w:customMarkFollows="0" w:id="18"/>
      </w:r>
      <w:r w:rsidDel="00000000" w:rsidR="00000000" w:rsidRPr="00000000">
        <w:rPr>
          <w:rFonts w:ascii="Calibri" w:cs="Calibri" w:eastAsia="Calibri" w:hAnsi="Calibri"/>
          <w:sz w:val="24"/>
          <w:szCs w:val="24"/>
          <w:rtl w:val="0"/>
        </w:rPr>
        <w:t xml:space="preserve"> </w:t>
      </w:r>
      <w:r w:rsidDel="00000000" w:rsidR="00000000" w:rsidRPr="00000000">
        <w:rPr>
          <w:rtl w:val="0"/>
        </w:rPr>
      </w:r>
    </w:p>
    <w:p w:rsidR="00000000" w:rsidDel="00000000" w:rsidP="00000000" w:rsidRDefault="00000000" w:rsidRPr="00000000" w14:paraId="0000008F">
      <w:pPr>
        <w:ind w:left="0" w:firstLine="720"/>
        <w:rPr>
          <w:rFonts w:ascii="Calibri" w:cs="Calibri" w:eastAsia="Calibri" w:hAnsi="Calibri"/>
          <w:b w:val="1"/>
          <w:sz w:val="24"/>
          <w:szCs w:val="24"/>
        </w:rPr>
      </w:pPr>
      <w:r w:rsidDel="00000000" w:rsidR="00000000" w:rsidRPr="00000000">
        <w:rPr>
          <w:rFonts w:ascii="Calibri" w:cs="Calibri" w:eastAsia="Calibri" w:hAnsi="Calibri"/>
          <w:sz w:val="24"/>
          <w:szCs w:val="24"/>
          <w:highlight w:val="white"/>
          <w:rtl w:val="0"/>
        </w:rPr>
        <w:t xml:space="preserve">In contrast, the language and style of Long’s paper is scholarly. Long uses advanced and formal language choices such as, ‘etiological’, ‘aberrations’, ‘canonical’ ‘apothesis’, ‘prognosticator’</w:t>
      </w:r>
      <w:r w:rsidDel="00000000" w:rsidR="00000000" w:rsidRPr="00000000">
        <w:rPr>
          <w:rFonts w:ascii="Calibri" w:cs="Calibri" w:eastAsia="Calibri" w:hAnsi="Calibri"/>
          <w:sz w:val="24"/>
          <w:szCs w:val="24"/>
          <w:highlight w:val="white"/>
          <w:vertAlign w:val="superscript"/>
        </w:rPr>
        <w:footnoteReference w:customMarkFollows="0" w:id="19"/>
      </w:r>
      <w:r w:rsidDel="00000000" w:rsidR="00000000" w:rsidRPr="00000000">
        <w:rPr>
          <w:rFonts w:ascii="Calibri" w:cs="Calibri" w:eastAsia="Calibri" w:hAnsi="Calibri"/>
          <w:sz w:val="24"/>
          <w:szCs w:val="24"/>
          <w:highlight w:val="white"/>
          <w:rtl w:val="0"/>
        </w:rPr>
        <w:t xml:space="preserve">, with a style that is investigative and uses extensive footnotes to clarify or reference the points that are made. Long has 44 footnotes while Head has 22 footnotes over a similar page range. </w:t>
      </w:r>
      <w:r w:rsidDel="00000000" w:rsidR="00000000" w:rsidRPr="00000000">
        <w:rPr>
          <w:rFonts w:ascii="Calibri" w:cs="Calibri" w:eastAsia="Calibri" w:hAnsi="Calibri"/>
          <w:sz w:val="24"/>
          <w:szCs w:val="24"/>
          <w:rtl w:val="0"/>
        </w:rPr>
        <w:t xml:space="preserve">Long announces her bias in the title of the paper which states that this is not just an ‘inquiry’ but a ‘skeptical inquiry’ into ‘how the dog got its day’.</w:t>
      </w:r>
      <w:r w:rsidDel="00000000" w:rsidR="00000000" w:rsidRPr="00000000">
        <w:rPr>
          <w:rFonts w:ascii="Calibri" w:cs="Calibri" w:eastAsia="Calibri" w:hAnsi="Calibri"/>
          <w:sz w:val="24"/>
          <w:szCs w:val="24"/>
          <w:highlight w:val="white"/>
          <w:rtl w:val="0"/>
        </w:rPr>
        <w:t xml:space="preserve"> Norm Cohen, described Long in her obituary as “brilliant” and remarked that she had “remarkably high scholarly standards and tolerated nothing less from others.”</w:t>
      </w:r>
      <w:r w:rsidDel="00000000" w:rsidR="00000000" w:rsidRPr="00000000">
        <w:rPr>
          <w:rFonts w:ascii="Calibri" w:cs="Calibri" w:eastAsia="Calibri" w:hAnsi="Calibri"/>
          <w:sz w:val="24"/>
          <w:szCs w:val="24"/>
          <w:highlight w:val="white"/>
          <w:vertAlign w:val="superscript"/>
        </w:rPr>
        <w:footnoteReference w:customMarkFollows="0" w:id="20"/>
      </w:r>
      <w:r w:rsidDel="00000000" w:rsidR="00000000" w:rsidRPr="00000000">
        <w:rPr>
          <w:rFonts w:ascii="Calibri" w:cs="Calibri" w:eastAsia="Calibri" w:hAnsi="Calibri"/>
          <w:sz w:val="24"/>
          <w:szCs w:val="24"/>
          <w:highlight w:val="white"/>
          <w:rtl w:val="0"/>
        </w:rPr>
        <w:t xml:space="preserve"> Long does a fine job of taking the reader systematically through the etymology of the identifications of the ‘dog star’ in several ancient cultures including Babaloynian, Egyptian, Chinese, English, Persian, Greek and Hindu culture. Long supports her thesis by using a variety of secondary and tertiary sources such as scholarly books about mythology and folklore, journal articles, translated classical texts, dictionaries, encyclopaedia</w:t>
      </w:r>
      <w:r w:rsidDel="00000000" w:rsidR="00000000" w:rsidRPr="00000000">
        <w:rPr>
          <w:rFonts w:ascii="Calibri" w:cs="Calibri" w:eastAsia="Calibri" w:hAnsi="Calibri"/>
          <w:sz w:val="24"/>
          <w:szCs w:val="24"/>
          <w:highlight w:val="white"/>
          <w:vertAlign w:val="superscript"/>
        </w:rPr>
        <w:footnoteReference w:customMarkFollows="0" w:id="21"/>
      </w:r>
      <w:r w:rsidDel="00000000" w:rsidR="00000000" w:rsidRPr="00000000">
        <w:rPr>
          <w:rFonts w:ascii="Calibri" w:cs="Calibri" w:eastAsia="Calibri" w:hAnsi="Calibri"/>
          <w:sz w:val="24"/>
          <w:szCs w:val="24"/>
          <w:highlight w:val="white"/>
          <w:rtl w:val="0"/>
        </w:rPr>
        <w:t xml:space="preserve"> </w:t>
      </w:r>
      <w:r w:rsidDel="00000000" w:rsidR="00000000" w:rsidRPr="00000000">
        <w:rPr>
          <w:rFonts w:ascii="Calibri" w:cs="Calibri" w:eastAsia="Calibri" w:hAnsi="Calibri"/>
          <w:sz w:val="24"/>
          <w:szCs w:val="24"/>
          <w:rtl w:val="0"/>
        </w:rPr>
        <w:t xml:space="preserve">Despite all the evidence that Long puts forth, she surprisingly concludes her paper by saying that the question around how Sirius came to be known by Western Indo-Europeans as the emblem of the horrible season remains a matter for conjecture and that ultimately very few people can recognize the dog star when it appears or appeal to Hekate to spare them from disease.</w:t>
      </w:r>
      <w:r w:rsidDel="00000000" w:rsidR="00000000" w:rsidRPr="00000000">
        <w:rPr>
          <w:rFonts w:ascii="Calibri" w:cs="Calibri" w:eastAsia="Calibri" w:hAnsi="Calibri"/>
          <w:sz w:val="24"/>
          <w:szCs w:val="24"/>
          <w:vertAlign w:val="superscript"/>
        </w:rPr>
        <w:footnoteReference w:customMarkFollows="0" w:id="22"/>
      </w:r>
      <w:r w:rsidDel="00000000" w:rsidR="00000000" w:rsidRPr="00000000">
        <w:rPr>
          <w:rFonts w:ascii="Calibri" w:cs="Calibri" w:eastAsia="Calibri" w:hAnsi="Calibri"/>
          <w:sz w:val="24"/>
          <w:szCs w:val="24"/>
          <w:rtl w:val="0"/>
        </w:rPr>
        <w:t xml:space="preserve">  ADD MORE EXAMPLES</w:t>
      </w:r>
      <w:r w:rsidDel="00000000" w:rsidR="00000000" w:rsidRPr="00000000">
        <w:rPr>
          <w:rtl w:val="0"/>
        </w:rPr>
      </w:r>
    </w:p>
    <w:p w:rsidR="00000000" w:rsidDel="00000000" w:rsidP="00000000" w:rsidRDefault="00000000" w:rsidRPr="00000000" w14:paraId="00000090">
      <w:pPr>
        <w:ind w:firstLine="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conclusion, both papers provide a thought provoking investigation into their unique inquiries.  TO BE ADDED</w:t>
      </w:r>
    </w:p>
    <w:p w:rsidR="00000000" w:rsidDel="00000000" w:rsidP="00000000" w:rsidRDefault="00000000" w:rsidRPr="00000000" w14:paraId="00000091">
      <w:pPr>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ab/>
      </w:r>
    </w:p>
    <w:p w:rsidR="00000000" w:rsidDel="00000000" w:rsidP="00000000" w:rsidRDefault="00000000" w:rsidRPr="00000000" w14:paraId="00000092">
      <w:pPr>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ab/>
      </w:r>
    </w:p>
    <w:p w:rsidR="00000000" w:rsidDel="00000000" w:rsidP="00000000" w:rsidRDefault="00000000" w:rsidRPr="00000000" w14:paraId="00000093">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4">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5">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6">
      <w:pPr>
        <w:rPr>
          <w:rFonts w:ascii="Calibri" w:cs="Calibri" w:eastAsia="Calibri" w:hAnsi="Calibri"/>
          <w:b w:val="1"/>
          <w:sz w:val="24"/>
          <w:szCs w:val="24"/>
          <w:highlight w:val="yellow"/>
        </w:rPr>
      </w:pPr>
      <w:r w:rsidDel="00000000" w:rsidR="00000000" w:rsidRPr="00000000">
        <w:rPr>
          <w:rtl w:val="0"/>
        </w:rPr>
      </w:r>
    </w:p>
    <w:p w:rsidR="00000000" w:rsidDel="00000000" w:rsidP="00000000" w:rsidRDefault="00000000" w:rsidRPr="00000000" w14:paraId="00000097">
      <w:pPr>
        <w:rPr>
          <w:rFonts w:ascii="Calibri" w:cs="Calibri" w:eastAsia="Calibri" w:hAnsi="Calibri"/>
          <w:b w:val="1"/>
          <w:sz w:val="24"/>
          <w:szCs w:val="24"/>
          <w:highlight w:val="yellow"/>
        </w:rPr>
      </w:pPr>
      <w:r w:rsidDel="00000000" w:rsidR="00000000" w:rsidRPr="00000000">
        <w:rPr>
          <w:rFonts w:ascii="Calibri" w:cs="Calibri" w:eastAsia="Calibri" w:hAnsi="Calibri"/>
          <w:b w:val="1"/>
          <w:sz w:val="24"/>
          <w:szCs w:val="24"/>
          <w:highlight w:val="yellow"/>
          <w:rtl w:val="0"/>
        </w:rPr>
        <w:t xml:space="preserve">Bibliography</w:t>
      </w:r>
    </w:p>
    <w:p w:rsidR="00000000" w:rsidDel="00000000" w:rsidP="00000000" w:rsidRDefault="00000000" w:rsidRPr="00000000" w14:paraId="00000098">
      <w:pPr>
        <w:rPr>
          <w:rFonts w:ascii="Calibri" w:cs="Calibri" w:eastAsia="Calibri" w:hAnsi="Calibri"/>
          <w:b w:val="1"/>
          <w:i w:val="1"/>
          <w:sz w:val="24"/>
          <w:szCs w:val="24"/>
        </w:rPr>
      </w:pPr>
      <w:r w:rsidDel="00000000" w:rsidR="00000000" w:rsidRPr="00000000">
        <w:rPr>
          <w:rtl w:val="0"/>
        </w:rPr>
      </w:r>
    </w:p>
    <w:p w:rsidR="00000000" w:rsidDel="00000000" w:rsidP="00000000" w:rsidRDefault="00000000" w:rsidRPr="00000000" w14:paraId="00000099">
      <w:pPr>
        <w:spacing w:line="240" w:lineRule="auto"/>
        <w:rPr>
          <w:i w:val="1"/>
          <w:sz w:val="24"/>
          <w:szCs w:val="24"/>
        </w:rPr>
      </w:pPr>
      <w:r w:rsidDel="00000000" w:rsidR="00000000" w:rsidRPr="00000000">
        <w:rPr>
          <w:rFonts w:ascii="Calibri" w:cs="Calibri" w:eastAsia="Calibri" w:hAnsi="Calibri"/>
          <w:sz w:val="24"/>
          <w:szCs w:val="24"/>
          <w:rtl w:val="0"/>
        </w:rPr>
        <w:t xml:space="preserve">Campion, Nicholas, Patrick Curry and Michale York (ed.) Astrology and the Academy, papers from the inaugural conference of the Sophia Centre, Bath Spa University College, 12-14 June 2003, Bristol: Cinnabar Boko 2004, p. Xxiii.</w:t>
      </w:r>
      <w:r w:rsidDel="00000000" w:rsidR="00000000" w:rsidRPr="00000000">
        <w:rPr>
          <w:rtl w:val="0"/>
        </w:rPr>
      </w:r>
    </w:p>
    <w:p w:rsidR="00000000" w:rsidDel="00000000" w:rsidP="00000000" w:rsidRDefault="00000000" w:rsidRPr="00000000" w14:paraId="0000009A">
      <w:pPr>
        <w:spacing w:line="240" w:lineRule="auto"/>
        <w:rPr>
          <w:i w:val="1"/>
          <w:sz w:val="24"/>
          <w:szCs w:val="24"/>
        </w:rPr>
      </w:pPr>
      <w:r w:rsidDel="00000000" w:rsidR="00000000" w:rsidRPr="00000000">
        <w:rPr>
          <w:rtl w:val="0"/>
        </w:rPr>
      </w:r>
    </w:p>
    <w:p w:rsidR="00000000" w:rsidDel="00000000" w:rsidP="00000000" w:rsidRDefault="00000000" w:rsidRPr="00000000" w14:paraId="0000009B">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Cohen, Norm, ‘The Journal of American Folklore’, Vol. 119, No. 472 (University of Illinois Press, Spring, 2006), pp.236-237.</w:t>
      </w:r>
    </w:p>
    <w:p w:rsidR="00000000" w:rsidDel="00000000" w:rsidP="00000000" w:rsidRDefault="00000000" w:rsidRPr="00000000" w14:paraId="0000009C">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D">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Collins, Charles D., ‘The Indian Style by Raymond Head’, Journal of the American Oriental Society , Oct.- Dec., 1987, Vol. 107, No. 4 (Oct. - Dec., 1987), pp. 783-784.</w:t>
      </w:r>
    </w:p>
    <w:p w:rsidR="00000000" w:rsidDel="00000000" w:rsidP="00000000" w:rsidRDefault="00000000" w:rsidRPr="00000000" w14:paraId="0000009E">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9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Head, Raymond, ‘Holst - Astrology and Modernism in ‘The Planets’, Tempo, New Series, nº187 (Dec. 1993), pp.15-22.</w:t>
      </w:r>
      <w:r w:rsidDel="00000000" w:rsidR="00000000" w:rsidRPr="00000000">
        <w:rPr>
          <w:rtl w:val="0"/>
        </w:rPr>
      </w:r>
    </w:p>
    <w:p w:rsidR="00000000" w:rsidDel="00000000" w:rsidP="00000000" w:rsidRDefault="00000000" w:rsidRPr="00000000" w14:paraId="000000A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1">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Head, Raymond, </w:t>
      </w:r>
      <w:r w:rsidDel="00000000" w:rsidR="00000000" w:rsidRPr="00000000">
        <w:rPr>
          <w:rFonts w:ascii="Calibri" w:cs="Calibri" w:eastAsia="Calibri" w:hAnsi="Calibri"/>
          <w:i w:val="1"/>
          <w:sz w:val="24"/>
          <w:szCs w:val="24"/>
          <w:rtl w:val="0"/>
        </w:rPr>
        <w:t xml:space="preserve">The Indian Style</w:t>
      </w:r>
      <w:r w:rsidDel="00000000" w:rsidR="00000000" w:rsidRPr="00000000">
        <w:rPr>
          <w:rFonts w:ascii="Calibri" w:cs="Calibri" w:eastAsia="Calibri" w:hAnsi="Calibri"/>
          <w:sz w:val="24"/>
          <w:szCs w:val="24"/>
          <w:rtl w:val="0"/>
        </w:rPr>
        <w:t xml:space="preserve">, (Chicago University Press, 1986)</w:t>
      </w:r>
    </w:p>
    <w:p w:rsidR="00000000" w:rsidDel="00000000" w:rsidP="00000000" w:rsidRDefault="00000000" w:rsidRPr="00000000" w14:paraId="000000A2">
      <w:pPr>
        <w:spacing w:line="240" w:lineRule="auto"/>
        <w:ind w:left="72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3">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Raymond Head’s biography. Personal website - </w:t>
      </w:r>
      <w:hyperlink r:id="rId8">
        <w:r w:rsidDel="00000000" w:rsidR="00000000" w:rsidRPr="00000000">
          <w:rPr>
            <w:rFonts w:ascii="Calibri" w:cs="Calibri" w:eastAsia="Calibri" w:hAnsi="Calibri"/>
            <w:sz w:val="24"/>
            <w:szCs w:val="24"/>
            <w:rtl w:val="0"/>
          </w:rPr>
          <w:t xml:space="preserve">https://raymondhead.com/biography</w:t>
        </w:r>
      </w:hyperlink>
      <w:r w:rsidDel="00000000" w:rsidR="00000000" w:rsidRPr="00000000">
        <w:rPr>
          <w:rFonts w:ascii="Calibri" w:cs="Calibri" w:eastAsia="Calibri" w:hAnsi="Calibri"/>
          <w:sz w:val="24"/>
          <w:szCs w:val="24"/>
          <w:rtl w:val="0"/>
        </w:rPr>
        <w:t xml:space="preserve"> [accessed October 20th, 2022]</w:t>
      </w:r>
    </w:p>
    <w:p w:rsidR="00000000" w:rsidDel="00000000" w:rsidP="00000000" w:rsidRDefault="00000000" w:rsidRPr="00000000" w14:paraId="000000A4">
      <w:pPr>
        <w:ind w:left="72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5">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Long, Eleanor R., ‘How the Dog Got Its Days: A Skeptical Inquiry into Traditional Star and Weather Lore’, Western Folklore, 43 (1984), pp.256-264.</w:t>
      </w:r>
    </w:p>
    <w:p w:rsidR="00000000" w:rsidDel="00000000" w:rsidP="00000000" w:rsidRDefault="00000000" w:rsidRPr="00000000" w14:paraId="000000A6">
      <w:pPr>
        <w:spacing w:line="240" w:lineRule="auto"/>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7">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Western Folklore Journal Description - </w:t>
      </w:r>
      <w:hyperlink r:id="rId9">
        <w:r w:rsidDel="00000000" w:rsidR="00000000" w:rsidRPr="00000000">
          <w:rPr>
            <w:rFonts w:ascii="Calibri" w:cs="Calibri" w:eastAsia="Calibri" w:hAnsi="Calibri"/>
            <w:sz w:val="24"/>
            <w:szCs w:val="24"/>
            <w:rtl w:val="0"/>
          </w:rPr>
          <w:t xml:space="preserve">https://www-jstor-org.ezproxy.uwtsd.ac.uk/journal/westernfolklore</w:t>
        </w:r>
      </w:hyperlink>
      <w:r w:rsidDel="00000000" w:rsidR="00000000" w:rsidRPr="00000000">
        <w:rPr>
          <w:rFonts w:ascii="Calibri" w:cs="Calibri" w:eastAsia="Calibri" w:hAnsi="Calibri"/>
          <w:sz w:val="24"/>
          <w:szCs w:val="24"/>
          <w:rtl w:val="0"/>
        </w:rPr>
        <w:t xml:space="preserve"> [accessed October 20th, 2022)</w:t>
      </w:r>
    </w:p>
    <w:p w:rsidR="00000000" w:rsidDel="00000000" w:rsidP="00000000" w:rsidRDefault="00000000" w:rsidRPr="00000000" w14:paraId="000000A8">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9">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Tempo Journal Advertising Readership description - </w:t>
      </w:r>
      <w:hyperlink r:id="rId10">
        <w:r w:rsidDel="00000000" w:rsidR="00000000" w:rsidRPr="00000000">
          <w:rPr>
            <w:rFonts w:ascii="Calibri" w:cs="Calibri" w:eastAsia="Calibri" w:hAnsi="Calibri"/>
            <w:sz w:val="24"/>
            <w:szCs w:val="24"/>
            <w:rtl w:val="0"/>
          </w:rPr>
          <w:t xml:space="preserve">https://www.cambridge.org/core/journals/tempo/information/advertising-information</w:t>
        </w:r>
      </w:hyperlink>
      <w:r w:rsidDel="00000000" w:rsidR="00000000" w:rsidRPr="00000000">
        <w:rPr>
          <w:rFonts w:ascii="Calibri" w:cs="Calibri" w:eastAsia="Calibri" w:hAnsi="Calibri"/>
          <w:sz w:val="24"/>
          <w:szCs w:val="24"/>
          <w:rtl w:val="0"/>
        </w:rPr>
        <w:t xml:space="preserve">  [accessed October 20th, 2022)</w:t>
      </w:r>
    </w:p>
    <w:p w:rsidR="00000000" w:rsidDel="00000000" w:rsidP="00000000" w:rsidRDefault="00000000" w:rsidRPr="00000000" w14:paraId="000000AA">
      <w:pPr>
        <w:spacing w:line="240" w:lineRule="auto"/>
        <w:ind w:left="72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AB">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AC">
      <w:pPr>
        <w:rPr>
          <w:rFonts w:ascii="Calibri" w:cs="Calibri" w:eastAsia="Calibri" w:hAnsi="Calibri"/>
          <w:b w:val="1"/>
          <w:sz w:val="24"/>
          <w:szCs w:val="24"/>
          <w:highlight w:val="cyan"/>
        </w:rPr>
      </w:pPr>
      <w:r w:rsidDel="00000000" w:rsidR="00000000" w:rsidRPr="00000000">
        <w:rPr>
          <w:rtl w:val="0"/>
        </w:rPr>
      </w:r>
    </w:p>
    <w:sectPr>
      <w:headerReference r:id="rId11" w:type="default"/>
      <w:headerReference r:id="rId12" w:type="first"/>
      <w:footerReference r:id="rId13" w:type="firs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Calibri"/>
  <w:font w:name="Caveat">
    <w:embedRegular w:fontKey="{00000000-0000-0000-0000-000000000000}" r:id="rId1" w:subsetted="0"/>
    <w:embedBold w:fontKey="{00000000-0000-0000-0000-000000000000}" r:id="rId2" w:subsetted="0"/>
  </w:font>
  <w:font w:name="Tahoma">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8">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3">
    <w:p w:rsidR="00000000" w:rsidDel="00000000" w:rsidP="00000000" w:rsidRDefault="00000000" w:rsidRPr="00000000" w14:paraId="000000A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Raymond Head’s biography. Personal website - </w:t>
      </w:r>
      <w:hyperlink r:id="rId1">
        <w:r w:rsidDel="00000000" w:rsidR="00000000" w:rsidRPr="00000000">
          <w:rPr>
            <w:color w:val="1155cc"/>
            <w:sz w:val="20"/>
            <w:szCs w:val="20"/>
            <w:u w:val="single"/>
            <w:rtl w:val="0"/>
          </w:rPr>
          <w:t xml:space="preserve">https://raymondhead.com/biography</w:t>
        </w:r>
      </w:hyperlink>
      <w:r w:rsidDel="00000000" w:rsidR="00000000" w:rsidRPr="00000000">
        <w:rPr>
          <w:sz w:val="20"/>
          <w:szCs w:val="20"/>
          <w:rtl w:val="0"/>
        </w:rPr>
        <w:t xml:space="preserve"> [accessed October 20th, 2022]</w:t>
      </w:r>
    </w:p>
  </w:footnote>
  <w:footnote w:id="2">
    <w:p w:rsidR="00000000" w:rsidDel="00000000" w:rsidP="00000000" w:rsidRDefault="00000000" w:rsidRPr="00000000" w14:paraId="000000A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Tempo Journal Summary on JSTOR,  </w:t>
      </w:r>
      <w:hyperlink r:id="rId2">
        <w:r w:rsidDel="00000000" w:rsidR="00000000" w:rsidRPr="00000000">
          <w:rPr>
            <w:sz w:val="20"/>
            <w:szCs w:val="20"/>
            <w:rtl w:val="0"/>
          </w:rPr>
          <w:t xml:space="preserve">https://www-jstor-org.ezproxy.uwtsd.ac.uk/journal/temp</w:t>
        </w:r>
      </w:hyperlink>
      <w:r w:rsidDel="00000000" w:rsidR="00000000" w:rsidRPr="00000000">
        <w:rPr>
          <w:sz w:val="20"/>
          <w:szCs w:val="20"/>
          <w:rtl w:val="0"/>
        </w:rPr>
        <w:t xml:space="preserve">o</w:t>
      </w:r>
      <w:r w:rsidDel="00000000" w:rsidR="00000000" w:rsidRPr="00000000">
        <w:rPr>
          <w:sz w:val="20"/>
          <w:szCs w:val="20"/>
          <w:rtl w:val="0"/>
        </w:rPr>
        <w:t xml:space="preserve"> [accessed October 20, 2022]</w:t>
      </w:r>
      <w:r w:rsidDel="00000000" w:rsidR="00000000" w:rsidRPr="00000000">
        <w:rPr>
          <w:rtl w:val="0"/>
        </w:rPr>
      </w:r>
    </w:p>
  </w:footnote>
  <w:footnote w:id="9">
    <w:p w:rsidR="00000000" w:rsidDel="00000000" w:rsidP="00000000" w:rsidRDefault="00000000" w:rsidRPr="00000000" w14:paraId="000000A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Maid Freed from the Gallows, was awarded the Chicago Folklore Prize in 1971. Norm Cohen, </w:t>
      </w:r>
    </w:p>
    <w:p w:rsidR="00000000" w:rsidDel="00000000" w:rsidP="00000000" w:rsidRDefault="00000000" w:rsidRPr="00000000" w14:paraId="000000B0">
      <w:pPr>
        <w:spacing w:line="240" w:lineRule="auto"/>
        <w:rPr>
          <w:sz w:val="20"/>
          <w:szCs w:val="20"/>
        </w:rPr>
      </w:pPr>
      <w:r w:rsidDel="00000000" w:rsidR="00000000" w:rsidRPr="00000000">
        <w:rPr>
          <w:sz w:val="20"/>
          <w:szCs w:val="20"/>
          <w:rtl w:val="0"/>
        </w:rPr>
        <w:t xml:space="preserve">‘</w:t>
      </w:r>
      <w:r w:rsidDel="00000000" w:rsidR="00000000" w:rsidRPr="00000000">
        <w:rPr>
          <w:i w:val="1"/>
          <w:sz w:val="20"/>
          <w:szCs w:val="20"/>
          <w:rtl w:val="0"/>
        </w:rPr>
        <w:t xml:space="preserve">The Journal of American Folklore’, </w:t>
      </w:r>
      <w:r w:rsidDel="00000000" w:rsidR="00000000" w:rsidRPr="00000000">
        <w:rPr>
          <w:sz w:val="20"/>
          <w:szCs w:val="20"/>
          <w:rtl w:val="0"/>
        </w:rPr>
        <w:t xml:space="preserve">Vol. 119, No. 472 (University of Illinois Press, Spring, 2006), pp.236</w:t>
      </w:r>
    </w:p>
  </w:footnote>
  <w:footnote w:id="10">
    <w:p w:rsidR="00000000" w:rsidDel="00000000" w:rsidP="00000000" w:rsidRDefault="00000000" w:rsidRPr="00000000" w14:paraId="000000B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Norm Cohen, ‘</w:t>
      </w:r>
      <w:r w:rsidDel="00000000" w:rsidR="00000000" w:rsidRPr="00000000">
        <w:rPr>
          <w:i w:val="1"/>
          <w:sz w:val="20"/>
          <w:szCs w:val="20"/>
          <w:rtl w:val="0"/>
        </w:rPr>
        <w:t xml:space="preserve">The Journal of American Folklore’, </w:t>
      </w:r>
      <w:r w:rsidDel="00000000" w:rsidR="00000000" w:rsidRPr="00000000">
        <w:rPr>
          <w:sz w:val="20"/>
          <w:szCs w:val="20"/>
          <w:rtl w:val="0"/>
        </w:rPr>
        <w:t xml:space="preserve">Vol. 119, No. 472 (University of Illinois Press, Spring, 2006), pp.236</w:t>
      </w:r>
    </w:p>
  </w:footnote>
  <w:footnote w:id="4">
    <w:p w:rsidR="00000000" w:rsidDel="00000000" w:rsidP="00000000" w:rsidRDefault="00000000" w:rsidRPr="00000000" w14:paraId="000000B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Raymon Head’sbiography. Personal website - </w:t>
      </w:r>
      <w:hyperlink r:id="rId3">
        <w:r w:rsidDel="00000000" w:rsidR="00000000" w:rsidRPr="00000000">
          <w:rPr>
            <w:color w:val="1155cc"/>
            <w:sz w:val="20"/>
            <w:szCs w:val="20"/>
            <w:u w:val="single"/>
            <w:rtl w:val="0"/>
          </w:rPr>
          <w:t xml:space="preserve">https://raymondhead.com/biography</w:t>
        </w:r>
      </w:hyperlink>
      <w:r w:rsidDel="00000000" w:rsidR="00000000" w:rsidRPr="00000000">
        <w:rPr>
          <w:sz w:val="20"/>
          <w:szCs w:val="20"/>
          <w:rtl w:val="0"/>
        </w:rPr>
        <w:t xml:space="preserve"> [accessed October 20th, 2022]</w:t>
      </w:r>
    </w:p>
  </w:footnote>
  <w:footnote w:id="5">
    <w:p w:rsidR="00000000" w:rsidDel="00000000" w:rsidP="00000000" w:rsidRDefault="00000000" w:rsidRPr="00000000" w14:paraId="000000B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Raymond Head, </w:t>
      </w:r>
      <w:r w:rsidDel="00000000" w:rsidR="00000000" w:rsidRPr="00000000">
        <w:rPr>
          <w:i w:val="1"/>
          <w:sz w:val="20"/>
          <w:szCs w:val="20"/>
          <w:rtl w:val="0"/>
        </w:rPr>
        <w:t xml:space="preserve">The Indian Style, (Chicago University Press, </w:t>
      </w:r>
      <w:r w:rsidDel="00000000" w:rsidR="00000000" w:rsidRPr="00000000">
        <w:rPr>
          <w:sz w:val="20"/>
          <w:szCs w:val="20"/>
          <w:rtl w:val="0"/>
        </w:rPr>
        <w:t xml:space="preserve">1986)</w:t>
      </w:r>
    </w:p>
  </w:footnote>
  <w:footnote w:id="6">
    <w:p w:rsidR="00000000" w:rsidDel="00000000" w:rsidP="00000000" w:rsidRDefault="00000000" w:rsidRPr="00000000" w14:paraId="000000B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Charles D. Collins, ‘The Indian Style by Raymond Head’, Journal of the American Oriental Society , Oct. - Dec., 1987, Vol. 107, No. 4 (Oct. - Dec., 1987), pp. 783-784</w:t>
      </w:r>
    </w:p>
  </w:footnote>
  <w:footnote w:id="7">
    <w:p w:rsidR="00000000" w:rsidDel="00000000" w:rsidP="00000000" w:rsidRDefault="00000000" w:rsidRPr="00000000" w14:paraId="000000B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Raymond Head’s biography. Personal website - </w:t>
      </w:r>
      <w:hyperlink r:id="rId4">
        <w:r w:rsidDel="00000000" w:rsidR="00000000" w:rsidRPr="00000000">
          <w:rPr>
            <w:color w:val="1155cc"/>
            <w:sz w:val="20"/>
            <w:szCs w:val="20"/>
            <w:u w:val="single"/>
            <w:rtl w:val="0"/>
          </w:rPr>
          <w:t xml:space="preserve">https://raymondhead.com/biography</w:t>
        </w:r>
      </w:hyperlink>
      <w:r w:rsidDel="00000000" w:rsidR="00000000" w:rsidRPr="00000000">
        <w:rPr>
          <w:sz w:val="20"/>
          <w:szCs w:val="20"/>
          <w:rtl w:val="0"/>
        </w:rPr>
        <w:t xml:space="preserve"> [accessed October 20th, 2022]</w:t>
      </w:r>
    </w:p>
  </w:footnote>
  <w:footnote w:id="14">
    <w:p w:rsidR="00000000" w:rsidDel="00000000" w:rsidP="00000000" w:rsidRDefault="00000000" w:rsidRPr="00000000" w14:paraId="000000B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rtl w:val="0"/>
        </w:rPr>
        <w:t xml:space="preserve">Raymond Head, ‘</w:t>
      </w:r>
      <w:r w:rsidDel="00000000" w:rsidR="00000000" w:rsidRPr="00000000">
        <w:rPr>
          <w:rFonts w:ascii="Calibri" w:cs="Calibri" w:eastAsia="Calibri" w:hAnsi="Calibri"/>
          <w:i w:val="1"/>
          <w:rtl w:val="0"/>
        </w:rPr>
        <w:t xml:space="preserve">Holst - Astrology and Modernism in ‘The Planets</w:t>
      </w:r>
      <w:r w:rsidDel="00000000" w:rsidR="00000000" w:rsidRPr="00000000">
        <w:rPr>
          <w:rFonts w:ascii="Calibri" w:cs="Calibri" w:eastAsia="Calibri" w:hAnsi="Calibri"/>
          <w:rtl w:val="0"/>
        </w:rPr>
        <w:t xml:space="preserve">’, Tempo, New Series, nº187 (Dec. 1993), p.15</w:t>
      </w:r>
      <w:r w:rsidDel="00000000" w:rsidR="00000000" w:rsidRPr="00000000">
        <w:rPr>
          <w:rtl w:val="0"/>
        </w:rPr>
      </w:r>
    </w:p>
  </w:footnote>
  <w:footnote w:id="15">
    <w:p w:rsidR="00000000" w:rsidDel="00000000" w:rsidP="00000000" w:rsidRDefault="00000000" w:rsidRPr="00000000" w14:paraId="000000B7">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rtl w:val="0"/>
        </w:rPr>
        <w:t xml:space="preserve"> Head, ‘</w:t>
      </w:r>
      <w:r w:rsidDel="00000000" w:rsidR="00000000" w:rsidRPr="00000000">
        <w:rPr>
          <w:rFonts w:ascii="Calibri" w:cs="Calibri" w:eastAsia="Calibri" w:hAnsi="Calibri"/>
          <w:i w:val="1"/>
          <w:rtl w:val="0"/>
        </w:rPr>
        <w:t xml:space="preserve">Holst - Astrology and Modernism </w:t>
      </w:r>
      <w:r w:rsidDel="00000000" w:rsidR="00000000" w:rsidRPr="00000000">
        <w:rPr>
          <w:rFonts w:ascii="Calibri" w:cs="Calibri" w:eastAsia="Calibri" w:hAnsi="Calibri"/>
          <w:rtl w:val="0"/>
        </w:rPr>
        <w:t xml:space="preserve">(Dec. 1993), p.15</w:t>
      </w:r>
      <w:r w:rsidDel="00000000" w:rsidR="00000000" w:rsidRPr="00000000">
        <w:rPr>
          <w:rtl w:val="0"/>
        </w:rPr>
      </w:r>
    </w:p>
  </w:footnote>
  <w:footnote w:id="17">
    <w:p w:rsidR="00000000" w:rsidDel="00000000" w:rsidP="00000000" w:rsidRDefault="00000000" w:rsidRPr="00000000" w14:paraId="000000B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rtl w:val="0"/>
        </w:rPr>
        <w:t xml:space="preserve">Head, ‘</w:t>
      </w:r>
      <w:r w:rsidDel="00000000" w:rsidR="00000000" w:rsidRPr="00000000">
        <w:rPr>
          <w:rFonts w:ascii="Calibri" w:cs="Calibri" w:eastAsia="Calibri" w:hAnsi="Calibri"/>
          <w:i w:val="1"/>
          <w:rtl w:val="0"/>
        </w:rPr>
        <w:t xml:space="preserve">Holst - Astrology and Modernism </w:t>
      </w:r>
      <w:r w:rsidDel="00000000" w:rsidR="00000000" w:rsidRPr="00000000">
        <w:rPr>
          <w:rFonts w:ascii="Calibri" w:cs="Calibri" w:eastAsia="Calibri" w:hAnsi="Calibri"/>
          <w:rtl w:val="0"/>
        </w:rPr>
        <w:t xml:space="preserve">(Dec. 1993), p. 22</w:t>
      </w:r>
      <w:r w:rsidDel="00000000" w:rsidR="00000000" w:rsidRPr="00000000">
        <w:rPr>
          <w:rtl w:val="0"/>
        </w:rPr>
      </w:r>
    </w:p>
  </w:footnote>
  <w:footnote w:id="19">
    <w:p w:rsidR="00000000" w:rsidDel="00000000" w:rsidP="00000000" w:rsidRDefault="00000000" w:rsidRPr="00000000" w14:paraId="000000B9">
      <w:pPr>
        <w:spacing w:line="240" w:lineRule="auto"/>
        <w:rPr>
          <w:i w:val="1"/>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Eleanor R. Long, ‘How the Dog Got Its Days: A Skeptical Inquiry into Traditional Star and Weather Lore’, Western Folklore, 43 (1984), pp.257-8</w:t>
      </w:r>
      <w:r w:rsidDel="00000000" w:rsidR="00000000" w:rsidRPr="00000000">
        <w:rPr>
          <w:rtl w:val="0"/>
        </w:rPr>
      </w:r>
    </w:p>
  </w:footnote>
  <w:footnote w:id="12">
    <w:p w:rsidR="00000000" w:rsidDel="00000000" w:rsidP="00000000" w:rsidRDefault="00000000" w:rsidRPr="00000000" w14:paraId="000000BA">
      <w:pPr>
        <w:spacing w:line="240" w:lineRule="auto"/>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rFonts w:ascii="Calibri" w:cs="Calibri" w:eastAsia="Calibri" w:hAnsi="Calibri"/>
          <w:rtl w:val="0"/>
        </w:rPr>
        <w:t xml:space="preserve">Raymond Head, ‘</w:t>
      </w:r>
      <w:r w:rsidDel="00000000" w:rsidR="00000000" w:rsidRPr="00000000">
        <w:rPr>
          <w:rFonts w:ascii="Calibri" w:cs="Calibri" w:eastAsia="Calibri" w:hAnsi="Calibri"/>
          <w:i w:val="1"/>
          <w:rtl w:val="0"/>
        </w:rPr>
        <w:t xml:space="preserve">Holst - Astrology and Modernism in ‘The Planets</w:t>
      </w:r>
      <w:r w:rsidDel="00000000" w:rsidR="00000000" w:rsidRPr="00000000">
        <w:rPr>
          <w:rFonts w:ascii="Calibri" w:cs="Calibri" w:eastAsia="Calibri" w:hAnsi="Calibri"/>
          <w:rtl w:val="0"/>
        </w:rPr>
        <w:t xml:space="preserve">’, Tempo, New Series, nº187 (Dec. 1993), p.15</w:t>
      </w:r>
      <w:r w:rsidDel="00000000" w:rsidR="00000000" w:rsidRPr="00000000">
        <w:rPr>
          <w:rtl w:val="0"/>
        </w:rPr>
      </w:r>
    </w:p>
  </w:footnote>
  <w:footnote w:id="1">
    <w:p w:rsidR="00000000" w:rsidDel="00000000" w:rsidP="00000000" w:rsidRDefault="00000000" w:rsidRPr="00000000" w14:paraId="000000B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Eleanor R. Long,</w:t>
      </w:r>
      <w:r w:rsidDel="00000000" w:rsidR="00000000" w:rsidRPr="00000000">
        <w:rPr>
          <w:i w:val="1"/>
          <w:sz w:val="20"/>
          <w:szCs w:val="20"/>
          <w:rtl w:val="0"/>
        </w:rPr>
        <w:t xml:space="preserve"> ‘How the Dog Got Its Days: A Skeptical Inquiry into Traditional Star and Weather Lore’, Western Folklore,</w:t>
      </w:r>
      <w:r w:rsidDel="00000000" w:rsidR="00000000" w:rsidRPr="00000000">
        <w:rPr>
          <w:sz w:val="20"/>
          <w:szCs w:val="20"/>
          <w:rtl w:val="0"/>
        </w:rPr>
        <w:t xml:space="preserve"> 43 (1984), pp.256</w:t>
      </w:r>
      <w:r w:rsidDel="00000000" w:rsidR="00000000" w:rsidRPr="00000000">
        <w:rPr>
          <w:rtl w:val="0"/>
        </w:rPr>
      </w:r>
    </w:p>
  </w:footnote>
  <w:footnote w:id="0">
    <w:p w:rsidR="00000000" w:rsidDel="00000000" w:rsidP="00000000" w:rsidRDefault="00000000" w:rsidRPr="00000000" w14:paraId="000000B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Clive Ruggles and Nicholas Saunders, The Study of Cultural Astronomy’ in Clive Ruggles and NIcholas Saunders, </w:t>
      </w:r>
      <w:r w:rsidDel="00000000" w:rsidR="00000000" w:rsidRPr="00000000">
        <w:rPr>
          <w:i w:val="1"/>
          <w:sz w:val="20"/>
          <w:szCs w:val="20"/>
          <w:rtl w:val="0"/>
        </w:rPr>
        <w:t xml:space="preserve">Astronomies and Culture’, Niwot CA, University of Colorado Press, 1993, p.1 in </w:t>
      </w:r>
      <w:r w:rsidDel="00000000" w:rsidR="00000000" w:rsidRPr="00000000">
        <w:rPr>
          <w:sz w:val="20"/>
          <w:szCs w:val="20"/>
          <w:rtl w:val="0"/>
        </w:rPr>
        <w:t xml:space="preserve">Nicholas Campion</w:t>
      </w:r>
      <w:r w:rsidDel="00000000" w:rsidR="00000000" w:rsidRPr="00000000">
        <w:rPr>
          <w:i w:val="1"/>
          <w:sz w:val="20"/>
          <w:szCs w:val="20"/>
          <w:rtl w:val="0"/>
        </w:rPr>
        <w:t xml:space="preserve"> ‘Introduction: Cultural Astronomy; in </w:t>
      </w:r>
      <w:r w:rsidDel="00000000" w:rsidR="00000000" w:rsidRPr="00000000">
        <w:rPr>
          <w:sz w:val="20"/>
          <w:szCs w:val="20"/>
          <w:rtl w:val="0"/>
        </w:rPr>
        <w:t xml:space="preserve">Nicholas Campion, Patrick Curry and Michale York (ed.) </w:t>
      </w:r>
      <w:r w:rsidDel="00000000" w:rsidR="00000000" w:rsidRPr="00000000">
        <w:rPr>
          <w:i w:val="1"/>
          <w:sz w:val="20"/>
          <w:szCs w:val="20"/>
          <w:rtl w:val="0"/>
        </w:rPr>
        <w:t xml:space="preserve">Astrology and the Academy, </w:t>
      </w:r>
      <w:r w:rsidDel="00000000" w:rsidR="00000000" w:rsidRPr="00000000">
        <w:rPr>
          <w:sz w:val="20"/>
          <w:szCs w:val="20"/>
          <w:rtl w:val="0"/>
        </w:rPr>
        <w:t xml:space="preserve">papers from the inaugural conference of the Sophia Centre, Bath Spa University College, 12-14 June 2003, Bristol: Cinnabar Boko 2004, p. xxiii.</w:t>
      </w:r>
    </w:p>
  </w:footnote>
  <w:footnote w:id="11">
    <w:p w:rsidR="00000000" w:rsidDel="00000000" w:rsidP="00000000" w:rsidRDefault="00000000" w:rsidRPr="00000000" w14:paraId="000000BD">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Western Folklore Journal Description - </w:t>
      </w:r>
      <w:hyperlink r:id="rId5">
        <w:r w:rsidDel="00000000" w:rsidR="00000000" w:rsidRPr="00000000">
          <w:rPr>
            <w:rFonts w:ascii="Calibri" w:cs="Calibri" w:eastAsia="Calibri" w:hAnsi="Calibri"/>
            <w:color w:val="1155cc"/>
            <w:sz w:val="20"/>
            <w:szCs w:val="20"/>
            <w:highlight w:val="white"/>
            <w:u w:val="single"/>
            <w:rtl w:val="0"/>
          </w:rPr>
          <w:t xml:space="preserve">https://www-jstor-org.ezproxy.uwtsd.ac.uk/journal/westernfolklore</w:t>
        </w:r>
      </w:hyperlink>
      <w:r w:rsidDel="00000000" w:rsidR="00000000" w:rsidRPr="00000000">
        <w:rPr>
          <w:rFonts w:ascii="Calibri" w:cs="Calibri" w:eastAsia="Calibri" w:hAnsi="Calibri"/>
          <w:sz w:val="20"/>
          <w:szCs w:val="20"/>
          <w:highlight w:val="white"/>
          <w:rtl w:val="0"/>
        </w:rPr>
        <w:t xml:space="preserve"> [accessed October 20th, 2022)</w:t>
      </w:r>
      <w:r w:rsidDel="00000000" w:rsidR="00000000" w:rsidRPr="00000000">
        <w:rPr>
          <w:rtl w:val="0"/>
        </w:rPr>
      </w:r>
    </w:p>
  </w:footnote>
  <w:footnote w:id="8">
    <w:p w:rsidR="00000000" w:rsidDel="00000000" w:rsidP="00000000" w:rsidRDefault="00000000" w:rsidRPr="00000000" w14:paraId="000000BE">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Tempo Journal Advertising Readership description - </w:t>
      </w:r>
      <w:hyperlink r:id="rId6">
        <w:r w:rsidDel="00000000" w:rsidR="00000000" w:rsidRPr="00000000">
          <w:rPr>
            <w:color w:val="1155cc"/>
            <w:sz w:val="20"/>
            <w:szCs w:val="20"/>
            <w:u w:val="single"/>
            <w:rtl w:val="0"/>
          </w:rPr>
          <w:t xml:space="preserve">https://www.cambridge.org/core/journals/tempo/information/advertising-information</w:t>
        </w:r>
      </w:hyperlink>
      <w:r w:rsidDel="00000000" w:rsidR="00000000" w:rsidRPr="00000000">
        <w:rPr>
          <w:sz w:val="20"/>
          <w:szCs w:val="20"/>
          <w:rtl w:val="0"/>
        </w:rPr>
        <w:t xml:space="preserve"> </w:t>
      </w:r>
      <w:r w:rsidDel="00000000" w:rsidR="00000000" w:rsidRPr="00000000">
        <w:rPr>
          <w:rFonts w:ascii="Calibri" w:cs="Calibri" w:eastAsia="Calibri" w:hAnsi="Calibri"/>
          <w:sz w:val="20"/>
          <w:szCs w:val="20"/>
          <w:highlight w:val="white"/>
          <w:rtl w:val="0"/>
        </w:rPr>
        <w:t xml:space="preserve"> [accessed October 20th, 2022)</w:t>
      </w:r>
      <w:r w:rsidDel="00000000" w:rsidR="00000000" w:rsidRPr="00000000">
        <w:rPr>
          <w:rtl w:val="0"/>
        </w:rPr>
      </w:r>
    </w:p>
  </w:footnote>
  <w:footnote w:id="16">
    <w:p w:rsidR="00000000" w:rsidDel="00000000" w:rsidP="00000000" w:rsidRDefault="00000000" w:rsidRPr="00000000" w14:paraId="000000B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rtl w:val="0"/>
        </w:rPr>
        <w:t xml:space="preserve">Head, ‘</w:t>
      </w:r>
      <w:r w:rsidDel="00000000" w:rsidR="00000000" w:rsidRPr="00000000">
        <w:rPr>
          <w:rFonts w:ascii="Calibri" w:cs="Calibri" w:eastAsia="Calibri" w:hAnsi="Calibri"/>
          <w:i w:val="1"/>
          <w:rtl w:val="0"/>
        </w:rPr>
        <w:t xml:space="preserve">Holst - Astrology and Modernism </w:t>
      </w:r>
      <w:r w:rsidDel="00000000" w:rsidR="00000000" w:rsidRPr="00000000">
        <w:rPr>
          <w:rFonts w:ascii="Calibri" w:cs="Calibri" w:eastAsia="Calibri" w:hAnsi="Calibri"/>
          <w:rtl w:val="0"/>
        </w:rPr>
        <w:t xml:space="preserve">(Dec. 1993), p. 17</w:t>
      </w:r>
      <w:r w:rsidDel="00000000" w:rsidR="00000000" w:rsidRPr="00000000">
        <w:rPr>
          <w:rtl w:val="0"/>
        </w:rPr>
      </w:r>
    </w:p>
  </w:footnote>
  <w:footnote w:id="13">
    <w:p w:rsidR="00000000" w:rsidDel="00000000" w:rsidP="00000000" w:rsidRDefault="00000000" w:rsidRPr="00000000" w14:paraId="000000C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rtl w:val="0"/>
        </w:rPr>
        <w:t xml:space="preserve">Head, ‘</w:t>
      </w:r>
      <w:r w:rsidDel="00000000" w:rsidR="00000000" w:rsidRPr="00000000">
        <w:rPr>
          <w:rFonts w:ascii="Calibri" w:cs="Calibri" w:eastAsia="Calibri" w:hAnsi="Calibri"/>
          <w:i w:val="1"/>
          <w:rtl w:val="0"/>
        </w:rPr>
        <w:t xml:space="preserve">Holst - Astrology and Modernism </w:t>
      </w:r>
      <w:r w:rsidDel="00000000" w:rsidR="00000000" w:rsidRPr="00000000">
        <w:rPr>
          <w:rFonts w:ascii="Calibri" w:cs="Calibri" w:eastAsia="Calibri" w:hAnsi="Calibri"/>
          <w:rtl w:val="0"/>
        </w:rPr>
        <w:t xml:space="preserve">(Dec. 1993), p. 18</w:t>
      </w:r>
      <w:r w:rsidDel="00000000" w:rsidR="00000000" w:rsidRPr="00000000">
        <w:rPr>
          <w:rtl w:val="0"/>
        </w:rPr>
      </w:r>
    </w:p>
  </w:footnote>
  <w:footnote w:id="20">
    <w:p w:rsidR="00000000" w:rsidDel="00000000" w:rsidP="00000000" w:rsidRDefault="00000000" w:rsidRPr="00000000" w14:paraId="000000C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Cohen, ‘</w:t>
      </w:r>
      <w:r w:rsidDel="00000000" w:rsidR="00000000" w:rsidRPr="00000000">
        <w:rPr>
          <w:i w:val="1"/>
          <w:sz w:val="20"/>
          <w:szCs w:val="20"/>
          <w:rtl w:val="0"/>
        </w:rPr>
        <w:t xml:space="preserve">American Folklore’, </w:t>
      </w:r>
      <w:r w:rsidDel="00000000" w:rsidR="00000000" w:rsidRPr="00000000">
        <w:rPr>
          <w:sz w:val="20"/>
          <w:szCs w:val="20"/>
          <w:rtl w:val="0"/>
        </w:rPr>
        <w:t xml:space="preserve">p.237</w:t>
      </w:r>
    </w:p>
  </w:footnote>
  <w:footnote w:id="21">
    <w:p w:rsidR="00000000" w:rsidDel="00000000" w:rsidP="00000000" w:rsidRDefault="00000000" w:rsidRPr="00000000" w14:paraId="000000C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p>
  </w:footnote>
  <w:footnote w:id="18">
    <w:p w:rsidR="00000000" w:rsidDel="00000000" w:rsidP="00000000" w:rsidRDefault="00000000" w:rsidRPr="00000000" w14:paraId="000000C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w:t>
      </w:r>
      <w:r w:rsidDel="00000000" w:rsidR="00000000" w:rsidRPr="00000000">
        <w:rPr>
          <w:rFonts w:ascii="Calibri" w:cs="Calibri" w:eastAsia="Calibri" w:hAnsi="Calibri"/>
          <w:rtl w:val="0"/>
        </w:rPr>
        <w:t xml:space="preserve">aymond Head, ‘</w:t>
      </w:r>
      <w:r w:rsidDel="00000000" w:rsidR="00000000" w:rsidRPr="00000000">
        <w:rPr>
          <w:rFonts w:ascii="Calibri" w:cs="Calibri" w:eastAsia="Calibri" w:hAnsi="Calibri"/>
          <w:i w:val="1"/>
          <w:rtl w:val="0"/>
        </w:rPr>
        <w:t xml:space="preserve">Holst - Astrology and Modernism </w:t>
      </w:r>
      <w:r w:rsidDel="00000000" w:rsidR="00000000" w:rsidRPr="00000000">
        <w:rPr>
          <w:rFonts w:ascii="Calibri" w:cs="Calibri" w:eastAsia="Calibri" w:hAnsi="Calibri"/>
          <w:rtl w:val="0"/>
        </w:rPr>
        <w:t xml:space="preserve">(Dec. 1993), p. 22</w:t>
      </w:r>
      <w:r w:rsidDel="00000000" w:rsidR="00000000" w:rsidRPr="00000000">
        <w:rPr>
          <w:rtl w:val="0"/>
        </w:rPr>
      </w:r>
    </w:p>
    <w:p w:rsidR="00000000" w:rsidDel="00000000" w:rsidP="00000000" w:rsidRDefault="00000000" w:rsidRPr="00000000" w14:paraId="000000C4">
      <w:pPr>
        <w:spacing w:line="240" w:lineRule="auto"/>
        <w:rPr>
          <w:sz w:val="20"/>
          <w:szCs w:val="20"/>
        </w:rPr>
      </w:pPr>
      <w:r w:rsidDel="00000000" w:rsidR="00000000" w:rsidRPr="00000000">
        <w:rPr>
          <w:rtl w:val="0"/>
        </w:rPr>
      </w:r>
    </w:p>
  </w:footnote>
  <w:footnote w:id="22">
    <w:p w:rsidR="00000000" w:rsidDel="00000000" w:rsidP="00000000" w:rsidRDefault="00000000" w:rsidRPr="00000000" w14:paraId="000000C5">
      <w:pPr>
        <w:spacing w:line="240" w:lineRule="auto"/>
        <w:rPr>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 Long, ‘Dog Got Its Days’, p.264</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6">
    <w:pPr>
      <w:rPr/>
    </w:pPr>
    <w:r w:rsidDel="00000000" w:rsidR="00000000" w:rsidRPr="00000000">
      <w:rPr>
        <w:rtl w:val="0"/>
      </w:rPr>
      <w:t xml:space="preserve">Katherine Azima 2219013 </w:t>
      <w:tab/>
      <w:tab/>
      <w:tab/>
      <w:tab/>
      <w:tab/>
      <w:tab/>
      <w:tab/>
      <w:tab/>
      <w:tab/>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eader" Target="header1.xml"/><Relationship Id="rId10" Type="http://schemas.openxmlformats.org/officeDocument/2006/relationships/hyperlink" Target="https://www.cambridge.org/core/journals/tempo/information/advertising-information" TargetMode="External"/><Relationship Id="rId13" Type="http://schemas.openxmlformats.org/officeDocument/2006/relationships/footer" Target="footer1.xml"/><Relationship Id="rId12" Type="http://schemas.openxmlformats.org/officeDocument/2006/relationships/header" Target="head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jstor-org.ezproxy.uwtsd.ac.uk/journal/westernfolklore"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yperlink" Target="https://raymondhead.com/biograph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veat-regular.ttf"/><Relationship Id="rId2" Type="http://schemas.openxmlformats.org/officeDocument/2006/relationships/font" Target="fonts/Caveat-bold.ttf"/><Relationship Id="rId3" Type="http://schemas.openxmlformats.org/officeDocument/2006/relationships/font" Target="fonts/Tahoma-regular.ttf"/><Relationship Id="rId4" Type="http://schemas.openxmlformats.org/officeDocument/2006/relationships/font" Target="fonts/Tahoma-bold.ttf"/></Relationships>
</file>

<file path=word/_rels/footnotes.xml.rels><?xml version="1.0" encoding="UTF-8" standalone="yes"?><Relationships xmlns="http://schemas.openxmlformats.org/package/2006/relationships"><Relationship Id="rId1" Type="http://schemas.openxmlformats.org/officeDocument/2006/relationships/hyperlink" Target="https://raymondhead.com/biography" TargetMode="External"/><Relationship Id="rId2" Type="http://schemas.openxmlformats.org/officeDocument/2006/relationships/hyperlink" Target="https://www-jstor-org.ezproxy.uwtsd.ac.uk/journal/tempo" TargetMode="External"/><Relationship Id="rId3" Type="http://schemas.openxmlformats.org/officeDocument/2006/relationships/hyperlink" Target="https://raymondhead.com/biography" TargetMode="External"/><Relationship Id="rId4" Type="http://schemas.openxmlformats.org/officeDocument/2006/relationships/hyperlink" Target="https://raymondhead.com/biography" TargetMode="External"/><Relationship Id="rId5" Type="http://schemas.openxmlformats.org/officeDocument/2006/relationships/hyperlink" Target="https://www-jstor-org.ezproxy.uwtsd.ac.uk/journal/westernfolklore" TargetMode="External"/><Relationship Id="rId6" Type="http://schemas.openxmlformats.org/officeDocument/2006/relationships/hyperlink" Target="https://www.cambridge.org/core/journals/tempo/information/advertising-in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