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FF2D3" w14:textId="3690B420" w:rsidR="0096589D" w:rsidRPr="0096589D" w:rsidRDefault="0096589D" w:rsidP="00106928">
      <w:pPr>
        <w:jc w:val="center"/>
        <w:rPr>
          <w:sz w:val="24"/>
          <w:szCs w:val="24"/>
          <w:u w:val="single"/>
        </w:rPr>
      </w:pPr>
      <w:r w:rsidRPr="0096589D">
        <w:rPr>
          <w:sz w:val="24"/>
          <w:szCs w:val="24"/>
          <w:u w:val="single"/>
        </w:rPr>
        <w:t xml:space="preserve">Textual analysis and Glossary </w:t>
      </w:r>
    </w:p>
    <w:p w14:paraId="54BE31DE" w14:textId="09F82C19" w:rsidR="006B0263" w:rsidRDefault="00106928" w:rsidP="00106928">
      <w:pPr>
        <w:jc w:val="center"/>
        <w:rPr>
          <w:sz w:val="20"/>
          <w:szCs w:val="20"/>
        </w:rPr>
      </w:pPr>
      <w:r>
        <w:rPr>
          <w:sz w:val="20"/>
          <w:szCs w:val="20"/>
        </w:rPr>
        <w:t>‘’</w:t>
      </w:r>
      <w:r w:rsidRPr="00106928">
        <w:rPr>
          <w:sz w:val="20"/>
          <w:szCs w:val="20"/>
        </w:rPr>
        <w:t>Only God Is Essentially Good, but Creatures Are Good by Participation Therefore, the foregoing makes clear that God and creatures are differently related to goodness in the two kinds of goodness that we can consider in creatures. For inasmuch as good has the nature of perfection and end, we note a creature's two kinds of goodness by its two kinds of perfection and end. We note a certain perfection of a creature insofar as the creature persists in its nature, a</w:t>
      </w:r>
      <w:r>
        <w:rPr>
          <w:sz w:val="20"/>
          <w:szCs w:val="20"/>
        </w:rPr>
        <w:t>n</w:t>
      </w:r>
      <w:r w:rsidRPr="00106928">
        <w:rPr>
          <w:sz w:val="20"/>
          <w:szCs w:val="20"/>
        </w:rPr>
        <w:t xml:space="preserve">d this is the end of its generation or production. And we note another perfection that a creature obtains by its movement and activity, and this is the end of its movement and activity. The creature falls short of divine goodness in both of these ways. For although the form and existing of a thing is its good and perfection insofar as we consider it in its nature, a composite substance is neither its form nor its existing, and a simple created substance, although it is the form itself, is not its existing. But God is his essence and his existing, as I have shown before [I, 10-11J. Likewise, all creatures obtain perfect goodness from an extrinsic end. For the perfection of goodness consists of obtaining the final end, and the final end of any creature is something outside it (i.e, the divine goodness), which is not ordered to a further end. Therefore, the conclusion is that God is in every way his goodness and essentially good, while simple creatures are not altogether their goodness, both </w:t>
      </w:r>
      <w:bookmarkStart w:id="0" w:name="_Hlk33125862"/>
      <w:r w:rsidRPr="00106928">
        <w:rPr>
          <w:sz w:val="20"/>
          <w:szCs w:val="20"/>
        </w:rPr>
        <w:t>because they are not their existing, and because they are ordered to something extrinsic as their final end</w:t>
      </w:r>
      <w:bookmarkEnd w:id="0"/>
      <w:r w:rsidRPr="00106928">
        <w:rPr>
          <w:sz w:val="20"/>
          <w:szCs w:val="20"/>
        </w:rPr>
        <w:t>. And in composite substances. it is clear that they are in no way their goodness. Therefore, God alone is pure goodness and essentially good, while we call other things good by a sharing in him</w:t>
      </w:r>
      <w:r>
        <w:rPr>
          <w:sz w:val="20"/>
          <w:szCs w:val="20"/>
        </w:rPr>
        <w:t>’’.</w:t>
      </w:r>
      <w:r w:rsidR="0096589D">
        <w:rPr>
          <w:sz w:val="20"/>
          <w:szCs w:val="20"/>
        </w:rPr>
        <w:t xml:space="preserve"> </w:t>
      </w:r>
      <w:r w:rsidR="00D11E3C">
        <w:rPr>
          <w:rStyle w:val="FootnoteReference"/>
          <w:sz w:val="20"/>
          <w:szCs w:val="20"/>
        </w:rPr>
        <w:footnoteReference w:id="1"/>
      </w:r>
    </w:p>
    <w:p w14:paraId="2575E714" w14:textId="757C197C" w:rsidR="008C161A" w:rsidRDefault="008C161A" w:rsidP="008C161A">
      <w:pPr>
        <w:rPr>
          <w:sz w:val="24"/>
          <w:szCs w:val="24"/>
        </w:rPr>
      </w:pPr>
      <w:r>
        <w:rPr>
          <w:sz w:val="24"/>
          <w:szCs w:val="24"/>
        </w:rPr>
        <w:t xml:space="preserve">To summarise this text, I think Aquinas is </w:t>
      </w:r>
      <w:r w:rsidR="00C23FEE">
        <w:rPr>
          <w:sz w:val="24"/>
          <w:szCs w:val="24"/>
        </w:rPr>
        <w:t>trying to illustrate God as a definite goodness and is presented through t</w:t>
      </w:r>
      <w:r w:rsidR="009E00D3">
        <w:rPr>
          <w:sz w:val="24"/>
          <w:szCs w:val="24"/>
        </w:rPr>
        <w:t>wo kinds of goodness, which is the idea of perfection and end, which can be presented not only through God, but through creatures</w:t>
      </w:r>
      <w:r w:rsidR="008758E5">
        <w:rPr>
          <w:sz w:val="24"/>
          <w:szCs w:val="24"/>
        </w:rPr>
        <w:t>.</w:t>
      </w:r>
      <w:r w:rsidR="009E00D3">
        <w:rPr>
          <w:sz w:val="24"/>
          <w:szCs w:val="24"/>
        </w:rPr>
        <w:t xml:space="preserve"> </w:t>
      </w:r>
      <w:r w:rsidR="008758E5">
        <w:rPr>
          <w:sz w:val="24"/>
          <w:szCs w:val="24"/>
        </w:rPr>
        <w:t>H</w:t>
      </w:r>
      <w:r w:rsidR="009E00D3">
        <w:rPr>
          <w:sz w:val="24"/>
          <w:szCs w:val="24"/>
        </w:rPr>
        <w:t>owever</w:t>
      </w:r>
      <w:r w:rsidR="008758E5">
        <w:rPr>
          <w:sz w:val="24"/>
          <w:szCs w:val="24"/>
        </w:rPr>
        <w:t>,</w:t>
      </w:r>
      <w:r w:rsidR="009E00D3">
        <w:rPr>
          <w:sz w:val="24"/>
          <w:szCs w:val="24"/>
        </w:rPr>
        <w:t xml:space="preserve"> creatures are not divinely good like God. So, for Aquinas, God is purely and essentially good, but as creatures have a part of God, creatures are good, but haven’t got ‘pure goodness’</w:t>
      </w:r>
      <w:r w:rsidR="00D30D8E">
        <w:rPr>
          <w:sz w:val="24"/>
          <w:szCs w:val="24"/>
        </w:rPr>
        <w:t xml:space="preserve"> as from the title of th</w:t>
      </w:r>
      <w:r w:rsidR="00FD7D85">
        <w:rPr>
          <w:sz w:val="24"/>
          <w:szCs w:val="24"/>
        </w:rPr>
        <w:t>is</w:t>
      </w:r>
      <w:r w:rsidR="00D30D8E">
        <w:rPr>
          <w:sz w:val="24"/>
          <w:szCs w:val="24"/>
        </w:rPr>
        <w:t xml:space="preserve"> part</w:t>
      </w:r>
      <w:r w:rsidR="00D436BE">
        <w:rPr>
          <w:sz w:val="24"/>
          <w:szCs w:val="24"/>
        </w:rPr>
        <w:t xml:space="preserve"> </w:t>
      </w:r>
      <w:r w:rsidR="00D30D8E">
        <w:rPr>
          <w:sz w:val="24"/>
          <w:szCs w:val="24"/>
        </w:rPr>
        <w:t>God is the only thing that is essentially good whereas, beings can be good by participation, but still not fully good.</w:t>
      </w:r>
      <w:r w:rsidR="008758E5">
        <w:rPr>
          <w:sz w:val="24"/>
          <w:szCs w:val="24"/>
        </w:rPr>
        <w:t xml:space="preserve"> Also, beings can have goodness by having a final end that is extrinsic and they are existing but can’t achieve this as they can’t be extrinsic and existing like God.</w:t>
      </w:r>
      <w:r w:rsidR="00D30D8E">
        <w:rPr>
          <w:sz w:val="24"/>
          <w:szCs w:val="24"/>
        </w:rPr>
        <w:t xml:space="preserve"> </w:t>
      </w:r>
      <w:r w:rsidR="00804344">
        <w:rPr>
          <w:sz w:val="24"/>
          <w:szCs w:val="24"/>
        </w:rPr>
        <w:t xml:space="preserve">The context of this part </w:t>
      </w:r>
      <w:r w:rsidR="00D30D8E">
        <w:rPr>
          <w:sz w:val="24"/>
          <w:szCs w:val="24"/>
        </w:rPr>
        <w:t>is Thomas Aquinas’ idea of God and goodness.</w:t>
      </w:r>
      <w:r w:rsidR="00BA331A">
        <w:rPr>
          <w:sz w:val="24"/>
          <w:szCs w:val="24"/>
        </w:rPr>
        <w:t xml:space="preserve"> I think Aquinas addresses that God is the only one that is essentially good</w:t>
      </w:r>
      <w:r w:rsidR="008758E5">
        <w:rPr>
          <w:sz w:val="24"/>
          <w:szCs w:val="24"/>
        </w:rPr>
        <w:t xml:space="preserve">, </w:t>
      </w:r>
      <w:r w:rsidR="00941A15">
        <w:rPr>
          <w:sz w:val="24"/>
          <w:szCs w:val="24"/>
        </w:rPr>
        <w:t xml:space="preserve">straight </w:t>
      </w:r>
      <w:r w:rsidR="00BA331A">
        <w:rPr>
          <w:sz w:val="24"/>
          <w:szCs w:val="24"/>
        </w:rPr>
        <w:t xml:space="preserve">under the </w:t>
      </w:r>
      <w:r w:rsidR="00941A15">
        <w:rPr>
          <w:sz w:val="24"/>
          <w:szCs w:val="24"/>
        </w:rPr>
        <w:t>title</w:t>
      </w:r>
      <w:r w:rsidR="00BA331A">
        <w:rPr>
          <w:sz w:val="24"/>
          <w:szCs w:val="24"/>
        </w:rPr>
        <w:t xml:space="preserve"> of good and evil</w:t>
      </w:r>
      <w:r w:rsidR="008758E5">
        <w:rPr>
          <w:sz w:val="24"/>
          <w:szCs w:val="24"/>
        </w:rPr>
        <w:t>,</w:t>
      </w:r>
      <w:r w:rsidR="00BA331A">
        <w:rPr>
          <w:sz w:val="24"/>
          <w:szCs w:val="24"/>
        </w:rPr>
        <w:t xml:space="preserve"> as Aquinas is trying to give reasons as for why God in his nature is divinely good, but also giving his opinions as to why there’s an idea of evil in Go</w:t>
      </w:r>
      <w:r w:rsidR="008758E5">
        <w:rPr>
          <w:sz w:val="24"/>
          <w:szCs w:val="24"/>
        </w:rPr>
        <w:t>d in other parts.</w:t>
      </w:r>
      <w:r w:rsidR="00941A15">
        <w:rPr>
          <w:sz w:val="24"/>
          <w:szCs w:val="24"/>
        </w:rPr>
        <w:t xml:space="preserve"> However, by starting with the idea of God being the only essentially good thing and beings can only be good by participation shows Aquinas’ </w:t>
      </w:r>
      <w:r w:rsidR="00B32C6D">
        <w:rPr>
          <w:sz w:val="24"/>
          <w:szCs w:val="24"/>
        </w:rPr>
        <w:t>general thought of God and how goodness can be achieved by following God</w:t>
      </w:r>
      <w:r w:rsidR="008758E5">
        <w:rPr>
          <w:sz w:val="24"/>
          <w:szCs w:val="24"/>
        </w:rPr>
        <w:t xml:space="preserve"> as</w:t>
      </w:r>
      <w:r w:rsidR="00310FF5">
        <w:rPr>
          <w:sz w:val="24"/>
          <w:szCs w:val="24"/>
        </w:rPr>
        <w:t>,</w:t>
      </w:r>
      <w:r w:rsidR="008758E5">
        <w:rPr>
          <w:sz w:val="24"/>
          <w:szCs w:val="24"/>
        </w:rPr>
        <w:t xml:space="preserve"> according to the text above</w:t>
      </w:r>
      <w:r w:rsidR="00310FF5">
        <w:rPr>
          <w:sz w:val="24"/>
          <w:szCs w:val="24"/>
        </w:rPr>
        <w:t>,</w:t>
      </w:r>
      <w:r w:rsidR="008758E5">
        <w:rPr>
          <w:sz w:val="24"/>
          <w:szCs w:val="24"/>
        </w:rPr>
        <w:t xml:space="preserve"> ‘we call other things good by sharing in him’</w:t>
      </w:r>
      <w:r w:rsidR="00310FF5">
        <w:rPr>
          <w:sz w:val="24"/>
          <w:szCs w:val="24"/>
        </w:rPr>
        <w:t xml:space="preserve">, which could possibly mean that beings see other things </w:t>
      </w:r>
      <w:r w:rsidR="00980298">
        <w:rPr>
          <w:sz w:val="24"/>
          <w:szCs w:val="24"/>
        </w:rPr>
        <w:t xml:space="preserve">as </w:t>
      </w:r>
      <w:r w:rsidR="00310FF5">
        <w:rPr>
          <w:sz w:val="24"/>
          <w:szCs w:val="24"/>
        </w:rPr>
        <w:t xml:space="preserve">good if they share the same thought of </w:t>
      </w:r>
      <w:r w:rsidR="00980298">
        <w:rPr>
          <w:sz w:val="24"/>
          <w:szCs w:val="24"/>
        </w:rPr>
        <w:t>Go</w:t>
      </w:r>
      <w:bookmarkStart w:id="2" w:name="_GoBack"/>
      <w:bookmarkEnd w:id="2"/>
      <w:r w:rsidR="00310FF5">
        <w:rPr>
          <w:sz w:val="24"/>
          <w:szCs w:val="24"/>
        </w:rPr>
        <w:t>d, which is that God is divinely good,</w:t>
      </w:r>
      <w:r w:rsidR="00B32C6D">
        <w:rPr>
          <w:sz w:val="24"/>
          <w:szCs w:val="24"/>
        </w:rPr>
        <w:t xml:space="preserve"> but beings can never be as good as God</w:t>
      </w:r>
      <w:r w:rsidR="002426F2">
        <w:rPr>
          <w:sz w:val="24"/>
          <w:szCs w:val="24"/>
        </w:rPr>
        <w:t>.</w:t>
      </w:r>
      <w:r w:rsidR="009D10A6">
        <w:rPr>
          <w:sz w:val="24"/>
          <w:szCs w:val="24"/>
        </w:rPr>
        <w:t xml:space="preserve"> Before </w:t>
      </w:r>
      <w:r w:rsidR="00D436BE">
        <w:rPr>
          <w:sz w:val="24"/>
          <w:szCs w:val="24"/>
        </w:rPr>
        <w:t>addressing good and evil, Aquinas talks about the idea of happiness first</w:t>
      </w:r>
      <w:r w:rsidR="00641B7E">
        <w:rPr>
          <w:sz w:val="24"/>
          <w:szCs w:val="24"/>
        </w:rPr>
        <w:t>.</w:t>
      </w:r>
      <w:r w:rsidR="00D436BE">
        <w:rPr>
          <w:sz w:val="24"/>
          <w:szCs w:val="24"/>
        </w:rPr>
        <w:t xml:space="preserve"> I think Aquinas presents ideas of God, beings and happiness first as I think Aquinas says that happiness for beings is God</w:t>
      </w:r>
      <w:r w:rsidR="00641B7E">
        <w:rPr>
          <w:sz w:val="24"/>
          <w:szCs w:val="24"/>
        </w:rPr>
        <w:t>.</w:t>
      </w:r>
      <w:r w:rsidR="00D436BE">
        <w:rPr>
          <w:sz w:val="24"/>
          <w:szCs w:val="24"/>
        </w:rPr>
        <w:t xml:space="preserve"> God is what we desire, which leads us to further believe that God is good as he will lead to our happiness. The argument that Aquinas is trying to make is </w:t>
      </w:r>
      <w:r w:rsidR="00C31007">
        <w:rPr>
          <w:sz w:val="24"/>
          <w:szCs w:val="24"/>
        </w:rPr>
        <w:t xml:space="preserve">that God is fully good and for beings to be good we have to </w:t>
      </w:r>
      <w:r w:rsidR="00542B2C">
        <w:rPr>
          <w:sz w:val="24"/>
          <w:szCs w:val="24"/>
        </w:rPr>
        <w:t>participate,</w:t>
      </w:r>
      <w:r w:rsidR="00C31007">
        <w:rPr>
          <w:sz w:val="24"/>
          <w:szCs w:val="24"/>
        </w:rPr>
        <w:t xml:space="preserve"> however we will never achieve pure goodness like God, but beings will have a goodness if there’s a belief in God.</w:t>
      </w:r>
      <w:r w:rsidR="00D11E3C">
        <w:rPr>
          <w:sz w:val="24"/>
          <w:szCs w:val="24"/>
        </w:rPr>
        <w:t xml:space="preserve"> The reasons Aquinas gives for this argument is that only God can be purely good </w:t>
      </w:r>
      <w:r w:rsidR="008758E5">
        <w:rPr>
          <w:sz w:val="24"/>
          <w:szCs w:val="24"/>
        </w:rPr>
        <w:t>as he is, in his nature, perfection and end.</w:t>
      </w:r>
      <w:r w:rsidR="00310FF5">
        <w:rPr>
          <w:sz w:val="24"/>
          <w:szCs w:val="24"/>
        </w:rPr>
        <w:t xml:space="preserve"> Aquinas’ idea </w:t>
      </w:r>
      <w:r w:rsidR="00A063E0">
        <w:rPr>
          <w:sz w:val="24"/>
          <w:szCs w:val="24"/>
        </w:rPr>
        <w:t>of God and goodness</w:t>
      </w:r>
      <w:r w:rsidR="00641B7E">
        <w:rPr>
          <w:sz w:val="24"/>
          <w:szCs w:val="24"/>
        </w:rPr>
        <w:t xml:space="preserve"> </w:t>
      </w:r>
      <w:r w:rsidR="00641B7E">
        <w:rPr>
          <w:sz w:val="24"/>
          <w:szCs w:val="24"/>
        </w:rPr>
        <w:lastRenderedPageBreak/>
        <w:t xml:space="preserve">came from Augustine as </w:t>
      </w:r>
      <w:r w:rsidR="00A063E0">
        <w:rPr>
          <w:sz w:val="24"/>
          <w:szCs w:val="24"/>
        </w:rPr>
        <w:t>Aquinas was very much influenced by Augustine and from Augustine’s ideas Aquinas developed his own</w:t>
      </w:r>
      <w:r w:rsidR="00310FF5">
        <w:rPr>
          <w:sz w:val="24"/>
          <w:szCs w:val="24"/>
        </w:rPr>
        <w:t xml:space="preserve"> as Augustine believed that God is perfectly good, which Aquinas presents in the text above.</w:t>
      </w:r>
    </w:p>
    <w:p w14:paraId="1309049F" w14:textId="5C02F158" w:rsidR="00542B2C" w:rsidRDefault="00542B2C" w:rsidP="008C161A">
      <w:pPr>
        <w:rPr>
          <w:sz w:val="24"/>
          <w:szCs w:val="24"/>
        </w:rPr>
      </w:pPr>
    </w:p>
    <w:p w14:paraId="77F1B5E6" w14:textId="2CDD8ADD" w:rsidR="00542B2C" w:rsidRPr="00542B2C" w:rsidRDefault="00542B2C" w:rsidP="008C161A">
      <w:pPr>
        <w:rPr>
          <w:b/>
          <w:bCs/>
          <w:sz w:val="24"/>
          <w:szCs w:val="24"/>
          <w:u w:val="single"/>
        </w:rPr>
      </w:pPr>
      <w:r w:rsidRPr="00542B2C">
        <w:rPr>
          <w:b/>
          <w:bCs/>
          <w:sz w:val="24"/>
          <w:szCs w:val="24"/>
          <w:u w:val="single"/>
        </w:rPr>
        <w:t>Glossary</w:t>
      </w:r>
    </w:p>
    <w:p w14:paraId="5032CCAF" w14:textId="1EAE693C" w:rsidR="00D30D8E" w:rsidRDefault="00D30D8E" w:rsidP="008C161A">
      <w:pPr>
        <w:rPr>
          <w:sz w:val="24"/>
          <w:szCs w:val="24"/>
        </w:rPr>
      </w:pPr>
    </w:p>
    <w:p w14:paraId="16758A9F" w14:textId="62819614" w:rsidR="00542B2C" w:rsidRPr="001B5500" w:rsidRDefault="00980298" w:rsidP="001B5500">
      <w:pPr>
        <w:pStyle w:val="ListParagraph"/>
        <w:numPr>
          <w:ilvl w:val="0"/>
          <w:numId w:val="1"/>
        </w:numPr>
        <w:rPr>
          <w:sz w:val="24"/>
          <w:szCs w:val="24"/>
        </w:rPr>
      </w:pPr>
      <w:r>
        <w:rPr>
          <w:sz w:val="24"/>
          <w:szCs w:val="24"/>
        </w:rPr>
        <w:t>‘</w:t>
      </w:r>
      <w:r w:rsidR="00542B2C" w:rsidRPr="001B5500">
        <w:rPr>
          <w:sz w:val="24"/>
          <w:szCs w:val="24"/>
        </w:rPr>
        <w:t>End- the object for the sake of which something acts. The end is intrinsic if it is built into the nature of an active thing. It is extrinsic if it is the conscious object of a rational being’s actions. See cause, intention.</w:t>
      </w:r>
      <w:r>
        <w:rPr>
          <w:sz w:val="24"/>
          <w:szCs w:val="24"/>
        </w:rPr>
        <w:t>’</w:t>
      </w:r>
      <w:r w:rsidR="005E4B5D">
        <w:rPr>
          <w:rStyle w:val="FootnoteReference"/>
          <w:sz w:val="24"/>
          <w:szCs w:val="24"/>
        </w:rPr>
        <w:footnoteReference w:id="2"/>
      </w:r>
    </w:p>
    <w:p w14:paraId="2D0940DE" w14:textId="583560AD" w:rsidR="00542B2C" w:rsidRPr="001B5500" w:rsidRDefault="00980298" w:rsidP="001B5500">
      <w:pPr>
        <w:pStyle w:val="ListParagraph"/>
        <w:numPr>
          <w:ilvl w:val="0"/>
          <w:numId w:val="1"/>
        </w:numPr>
        <w:rPr>
          <w:sz w:val="24"/>
          <w:szCs w:val="24"/>
        </w:rPr>
      </w:pPr>
      <w:r>
        <w:rPr>
          <w:sz w:val="24"/>
          <w:szCs w:val="24"/>
        </w:rPr>
        <w:t>‘</w:t>
      </w:r>
      <w:r w:rsidR="00542B2C" w:rsidRPr="001B5500">
        <w:rPr>
          <w:sz w:val="24"/>
          <w:szCs w:val="24"/>
        </w:rPr>
        <w:t xml:space="preserve">Nature- the essence of a thing </w:t>
      </w:r>
      <w:r w:rsidR="00A063E0" w:rsidRPr="001B5500">
        <w:rPr>
          <w:sz w:val="24"/>
          <w:szCs w:val="24"/>
        </w:rPr>
        <w:t>considered source of its activities.</w:t>
      </w:r>
      <w:r>
        <w:rPr>
          <w:sz w:val="24"/>
          <w:szCs w:val="24"/>
        </w:rPr>
        <w:t>’</w:t>
      </w:r>
      <w:r w:rsidR="005E4B5D">
        <w:rPr>
          <w:rStyle w:val="FootnoteReference"/>
          <w:sz w:val="24"/>
          <w:szCs w:val="24"/>
        </w:rPr>
        <w:footnoteReference w:id="3"/>
      </w:r>
    </w:p>
    <w:p w14:paraId="42812938" w14:textId="0BAFCA0B" w:rsidR="00D11E3C" w:rsidRPr="001B5500" w:rsidRDefault="00980298" w:rsidP="001B5500">
      <w:pPr>
        <w:pStyle w:val="ListParagraph"/>
        <w:numPr>
          <w:ilvl w:val="0"/>
          <w:numId w:val="1"/>
        </w:numPr>
        <w:rPr>
          <w:sz w:val="24"/>
          <w:szCs w:val="24"/>
        </w:rPr>
      </w:pPr>
      <w:r>
        <w:rPr>
          <w:sz w:val="24"/>
          <w:szCs w:val="24"/>
        </w:rPr>
        <w:t>‘</w:t>
      </w:r>
      <w:r w:rsidR="00D11E3C" w:rsidRPr="001B5500">
        <w:rPr>
          <w:sz w:val="24"/>
          <w:szCs w:val="24"/>
        </w:rPr>
        <w:t>Substance- what s</w:t>
      </w:r>
      <w:r w:rsidR="0001032A" w:rsidRPr="001B5500">
        <w:rPr>
          <w:sz w:val="24"/>
          <w:szCs w:val="24"/>
        </w:rPr>
        <w:t>ubsists in itself and not in another.</w:t>
      </w:r>
      <w:r>
        <w:rPr>
          <w:sz w:val="24"/>
          <w:szCs w:val="24"/>
        </w:rPr>
        <w:t>’</w:t>
      </w:r>
      <w:r w:rsidR="005E4B5D">
        <w:rPr>
          <w:rStyle w:val="FootnoteReference"/>
          <w:sz w:val="24"/>
          <w:szCs w:val="24"/>
        </w:rPr>
        <w:footnoteReference w:id="4"/>
      </w:r>
    </w:p>
    <w:p w14:paraId="5C6924F4" w14:textId="268878B7" w:rsidR="0001032A" w:rsidRDefault="00980298" w:rsidP="001B5500">
      <w:pPr>
        <w:pStyle w:val="ListParagraph"/>
        <w:numPr>
          <w:ilvl w:val="0"/>
          <w:numId w:val="1"/>
        </w:numPr>
        <w:rPr>
          <w:sz w:val="24"/>
          <w:szCs w:val="24"/>
        </w:rPr>
      </w:pPr>
      <w:r>
        <w:rPr>
          <w:sz w:val="24"/>
          <w:szCs w:val="24"/>
        </w:rPr>
        <w:t>‘</w:t>
      </w:r>
      <w:r w:rsidR="0001032A" w:rsidRPr="001B5500">
        <w:rPr>
          <w:sz w:val="24"/>
          <w:szCs w:val="24"/>
        </w:rPr>
        <w:t>Form- what makes something to be the kind of thing it is.</w:t>
      </w:r>
      <w:r>
        <w:rPr>
          <w:sz w:val="24"/>
          <w:szCs w:val="24"/>
        </w:rPr>
        <w:t>’</w:t>
      </w:r>
      <w:r w:rsidR="005E4B5D">
        <w:rPr>
          <w:rStyle w:val="FootnoteReference"/>
          <w:sz w:val="24"/>
          <w:szCs w:val="24"/>
        </w:rPr>
        <w:footnoteReference w:id="5"/>
      </w:r>
    </w:p>
    <w:p w14:paraId="57DF3CB8" w14:textId="48BFC983" w:rsidR="00980298" w:rsidRPr="001B5500" w:rsidRDefault="00980298" w:rsidP="001B5500">
      <w:pPr>
        <w:pStyle w:val="ListParagraph"/>
        <w:numPr>
          <w:ilvl w:val="0"/>
          <w:numId w:val="1"/>
        </w:numPr>
        <w:rPr>
          <w:sz w:val="24"/>
          <w:szCs w:val="24"/>
        </w:rPr>
      </w:pPr>
      <w:r>
        <w:rPr>
          <w:sz w:val="24"/>
          <w:szCs w:val="24"/>
        </w:rPr>
        <w:t>‘Essence- that which makes something what it is substantially.’</w:t>
      </w:r>
      <w:r>
        <w:rPr>
          <w:rStyle w:val="FootnoteReference"/>
          <w:sz w:val="24"/>
          <w:szCs w:val="24"/>
        </w:rPr>
        <w:footnoteReference w:id="6"/>
      </w:r>
    </w:p>
    <w:p w14:paraId="2725D1D7" w14:textId="77777777" w:rsidR="0001032A" w:rsidRDefault="0001032A" w:rsidP="008C161A">
      <w:pPr>
        <w:rPr>
          <w:sz w:val="24"/>
          <w:szCs w:val="24"/>
        </w:rPr>
      </w:pPr>
    </w:p>
    <w:p w14:paraId="622BA2D2" w14:textId="77777777" w:rsidR="00A063E0" w:rsidRPr="008C161A" w:rsidRDefault="00A063E0" w:rsidP="008C161A">
      <w:pPr>
        <w:rPr>
          <w:sz w:val="24"/>
          <w:szCs w:val="24"/>
        </w:rPr>
      </w:pPr>
    </w:p>
    <w:p w14:paraId="41AF5C3B" w14:textId="7F722177" w:rsidR="000617DF" w:rsidRDefault="000617DF" w:rsidP="00106928">
      <w:pPr>
        <w:jc w:val="center"/>
        <w:rPr>
          <w:sz w:val="20"/>
          <w:szCs w:val="20"/>
        </w:rPr>
      </w:pPr>
    </w:p>
    <w:p w14:paraId="587AD0DC" w14:textId="77777777" w:rsidR="000617DF" w:rsidRPr="000617DF" w:rsidRDefault="000617DF" w:rsidP="000617DF">
      <w:pPr>
        <w:rPr>
          <w:sz w:val="24"/>
          <w:szCs w:val="24"/>
        </w:rPr>
      </w:pPr>
    </w:p>
    <w:sectPr w:rsidR="000617DF" w:rsidRPr="000617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89B960" w14:textId="77777777" w:rsidR="007F1AC3" w:rsidRDefault="007F1AC3" w:rsidP="00D11E3C">
      <w:pPr>
        <w:spacing w:after="0" w:line="240" w:lineRule="auto"/>
      </w:pPr>
      <w:r>
        <w:separator/>
      </w:r>
    </w:p>
  </w:endnote>
  <w:endnote w:type="continuationSeparator" w:id="0">
    <w:p w14:paraId="1238CDF3" w14:textId="77777777" w:rsidR="007F1AC3" w:rsidRDefault="007F1AC3" w:rsidP="00D11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3B290" w14:textId="77777777" w:rsidR="007F1AC3" w:rsidRDefault="007F1AC3" w:rsidP="00D11E3C">
      <w:pPr>
        <w:spacing w:after="0" w:line="240" w:lineRule="auto"/>
      </w:pPr>
      <w:r>
        <w:separator/>
      </w:r>
    </w:p>
  </w:footnote>
  <w:footnote w:type="continuationSeparator" w:id="0">
    <w:p w14:paraId="6B0B2DFE" w14:textId="77777777" w:rsidR="007F1AC3" w:rsidRDefault="007F1AC3" w:rsidP="00D11E3C">
      <w:pPr>
        <w:spacing w:after="0" w:line="240" w:lineRule="auto"/>
      </w:pPr>
      <w:r>
        <w:continuationSeparator/>
      </w:r>
    </w:p>
  </w:footnote>
  <w:footnote w:id="1">
    <w:p w14:paraId="10C07754" w14:textId="3677F43B" w:rsidR="00D11E3C" w:rsidRPr="00C91EB3" w:rsidRDefault="00D11E3C">
      <w:pPr>
        <w:pStyle w:val="FootnoteText"/>
      </w:pPr>
      <w:r>
        <w:rPr>
          <w:rStyle w:val="FootnoteReference"/>
        </w:rPr>
        <w:footnoteRef/>
      </w:r>
      <w:r>
        <w:t xml:space="preserve"> </w:t>
      </w:r>
      <w:bookmarkStart w:id="1" w:name="_Hlk33193173"/>
      <w:r w:rsidR="00C91EB3">
        <w:t xml:space="preserve">Thomas Aquinas, translated by Richard. J. Regan, </w:t>
      </w:r>
      <w:r w:rsidR="00C91EB3">
        <w:rPr>
          <w:i/>
          <w:iCs/>
        </w:rPr>
        <w:t xml:space="preserve">Compendium of Theology, </w:t>
      </w:r>
      <w:r w:rsidR="00C91EB3">
        <w:t xml:space="preserve">(Oxford, Oxford University Press, 2009) </w:t>
      </w:r>
      <w:bookmarkEnd w:id="1"/>
      <w:r w:rsidR="00C91EB3">
        <w:t>CT, I.1,Q.109.</w:t>
      </w:r>
    </w:p>
  </w:footnote>
  <w:footnote w:id="2">
    <w:p w14:paraId="37236634" w14:textId="61014E5E" w:rsidR="005E4B5D" w:rsidRDefault="005E4B5D">
      <w:pPr>
        <w:pStyle w:val="FootnoteText"/>
      </w:pPr>
      <w:r>
        <w:rPr>
          <w:rStyle w:val="FootnoteReference"/>
        </w:rPr>
        <w:footnoteRef/>
      </w:r>
      <w:r>
        <w:t xml:space="preserve"> </w:t>
      </w:r>
      <w:r w:rsidRPr="005E4B5D">
        <w:t>Thomas Aquinas, translated by Richard. J. Regan, Compendium of Theology, (Oxford, Oxford University Press, 2009)</w:t>
      </w:r>
      <w:r>
        <w:t>.</w:t>
      </w:r>
    </w:p>
    <w:p w14:paraId="0A286935" w14:textId="77777777" w:rsidR="005E4B5D" w:rsidRDefault="005E4B5D">
      <w:pPr>
        <w:pStyle w:val="FootnoteText"/>
      </w:pPr>
    </w:p>
  </w:footnote>
  <w:footnote w:id="3">
    <w:p w14:paraId="2928B222" w14:textId="0FFB9ACF" w:rsidR="005E4B5D" w:rsidRDefault="005E4B5D">
      <w:pPr>
        <w:pStyle w:val="FootnoteText"/>
      </w:pPr>
      <w:r>
        <w:rPr>
          <w:rStyle w:val="FootnoteReference"/>
        </w:rPr>
        <w:footnoteRef/>
      </w:r>
      <w:r>
        <w:t xml:space="preserve"> </w:t>
      </w:r>
      <w:r w:rsidRPr="005E4B5D">
        <w:t>Thomas Aquinas, translated by Richard. J. Regan, Compendium of Theology, (Oxford, Oxford University Press, 2009)</w:t>
      </w:r>
      <w:r>
        <w:t>.</w:t>
      </w:r>
    </w:p>
  </w:footnote>
  <w:footnote w:id="4">
    <w:p w14:paraId="2BA4B45D" w14:textId="5EBBE3A5" w:rsidR="005E4B5D" w:rsidRDefault="005E4B5D">
      <w:pPr>
        <w:pStyle w:val="FootnoteText"/>
      </w:pPr>
      <w:r>
        <w:rPr>
          <w:rStyle w:val="FootnoteReference"/>
        </w:rPr>
        <w:footnoteRef/>
      </w:r>
      <w:r>
        <w:t xml:space="preserve"> </w:t>
      </w:r>
      <w:r w:rsidRPr="005E4B5D">
        <w:t>Thomas Aquinas, translated by Richard. J. Regan, Compendium of Theology, (Oxford, Oxford University Press, 2009)</w:t>
      </w:r>
      <w:r>
        <w:t>.</w:t>
      </w:r>
    </w:p>
  </w:footnote>
  <w:footnote w:id="5">
    <w:p w14:paraId="04FB1B93" w14:textId="046B8965" w:rsidR="005E4B5D" w:rsidRDefault="005E4B5D">
      <w:pPr>
        <w:pStyle w:val="FootnoteText"/>
      </w:pPr>
      <w:r>
        <w:rPr>
          <w:rStyle w:val="FootnoteReference"/>
        </w:rPr>
        <w:footnoteRef/>
      </w:r>
      <w:r>
        <w:t xml:space="preserve"> </w:t>
      </w:r>
      <w:r w:rsidRPr="005E4B5D">
        <w:t>Thomas Aquinas, translated by Richard. J. Regan, Compendium of Theology, (Oxford, Oxford University Press, 2009)</w:t>
      </w:r>
      <w:r>
        <w:t>.</w:t>
      </w:r>
    </w:p>
  </w:footnote>
  <w:footnote w:id="6">
    <w:p w14:paraId="00A27F76" w14:textId="120E3038" w:rsidR="00980298" w:rsidRDefault="00980298">
      <w:pPr>
        <w:pStyle w:val="FootnoteText"/>
      </w:pPr>
      <w:r>
        <w:rPr>
          <w:rStyle w:val="FootnoteReference"/>
        </w:rPr>
        <w:footnoteRef/>
      </w:r>
      <w:r>
        <w:t xml:space="preserve"> </w:t>
      </w:r>
      <w:r w:rsidRPr="00980298">
        <w:t>Thomas Aquinas, translated by Richard. J. Regan, Compendium of Theology, (Oxford, Oxford University Press, 2009)</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2C3820"/>
    <w:multiLevelType w:val="hybridMultilevel"/>
    <w:tmpl w:val="2996C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928"/>
    <w:rsid w:val="0001032A"/>
    <w:rsid w:val="000617DF"/>
    <w:rsid w:val="00106928"/>
    <w:rsid w:val="001B5500"/>
    <w:rsid w:val="002426F2"/>
    <w:rsid w:val="002755AE"/>
    <w:rsid w:val="00310FF5"/>
    <w:rsid w:val="00542B2C"/>
    <w:rsid w:val="005E4B5D"/>
    <w:rsid w:val="00641B7E"/>
    <w:rsid w:val="006A51FB"/>
    <w:rsid w:val="006B0263"/>
    <w:rsid w:val="007F1AC3"/>
    <w:rsid w:val="00804344"/>
    <w:rsid w:val="008758E5"/>
    <w:rsid w:val="008C161A"/>
    <w:rsid w:val="00941A15"/>
    <w:rsid w:val="0096589D"/>
    <w:rsid w:val="00980298"/>
    <w:rsid w:val="009D10A6"/>
    <w:rsid w:val="009E00D3"/>
    <w:rsid w:val="00A063E0"/>
    <w:rsid w:val="00B32C6D"/>
    <w:rsid w:val="00BA331A"/>
    <w:rsid w:val="00C23FEE"/>
    <w:rsid w:val="00C31007"/>
    <w:rsid w:val="00C91EB3"/>
    <w:rsid w:val="00D11E3C"/>
    <w:rsid w:val="00D30D8E"/>
    <w:rsid w:val="00D30F2E"/>
    <w:rsid w:val="00D436BE"/>
    <w:rsid w:val="00F73713"/>
    <w:rsid w:val="00FD7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C9CB0"/>
  <w15:chartTrackingRefBased/>
  <w15:docId w15:val="{2A7FD030-BFA2-4937-A566-C1B1EA248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11E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1E3C"/>
    <w:rPr>
      <w:sz w:val="20"/>
      <w:szCs w:val="20"/>
    </w:rPr>
  </w:style>
  <w:style w:type="character" w:styleId="FootnoteReference">
    <w:name w:val="footnote reference"/>
    <w:basedOn w:val="DefaultParagraphFont"/>
    <w:uiPriority w:val="99"/>
    <w:semiHidden/>
    <w:unhideWhenUsed/>
    <w:rsid w:val="00D11E3C"/>
    <w:rPr>
      <w:vertAlign w:val="superscript"/>
    </w:rPr>
  </w:style>
  <w:style w:type="paragraph" w:styleId="ListParagraph">
    <w:name w:val="List Paragraph"/>
    <w:basedOn w:val="Normal"/>
    <w:uiPriority w:val="34"/>
    <w:qFormat/>
    <w:rsid w:val="001B55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70F95-F1B7-463E-A3F3-78AD3791C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2</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richards</dc:creator>
  <cp:keywords/>
  <dc:description/>
  <cp:lastModifiedBy>alana richards</cp:lastModifiedBy>
  <cp:revision>15</cp:revision>
  <dcterms:created xsi:type="dcterms:W3CDTF">2020-02-19T17:25:00Z</dcterms:created>
  <dcterms:modified xsi:type="dcterms:W3CDTF">2020-02-21T16:08:00Z</dcterms:modified>
</cp:coreProperties>
</file>