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96"/>
          <w:szCs w:val="9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96"/>
          <w:szCs w:val="96"/>
          <w:u w:val="none"/>
          <w:shd w:fill="auto" w:val="clear"/>
          <w:vertAlign w:val="baseline"/>
          <w:rtl w:val="0"/>
        </w:rPr>
        <w:t xml:space="preserve">Report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58.87939453125" w:line="345.7840061187744" w:lineRule="auto"/>
        <w:ind w:left="1027.0576477050781" w:right="932.340087890625" w:firstLine="0"/>
        <w:jc w:val="center"/>
        <w:rPr>
          <w:rFonts w:ascii="Arial" w:cs="Arial" w:eastAsia="Arial" w:hAnsi="Arial"/>
          <w:b w:val="0"/>
          <w:bCs w:val="0"/>
          <w:i w:val="0"/>
          <w:iCs w:val="0"/>
          <w:smallCaps w:val="0"/>
          <w:strike w:val="0"/>
          <w:color w:val="000000"/>
          <w:sz w:val="55.91999816894531"/>
          <w:szCs w:val="55.9199981689453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55.91999816894531"/>
          <w:szCs w:val="55.91999816894531"/>
          <w:u w:val="none"/>
          <w:shd w:fill="auto" w:val="clear"/>
          <w:vertAlign w:val="baseline"/>
          <w:rtl w:val="0"/>
        </w:rPr>
        <w:t xml:space="preserve">Attention-Deficit/Hyperactivity  Disorder (ADHD)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67.039794921875" w:line="427.9954147338867" w:lineRule="auto"/>
        <w:ind w:left="1042.2688293457031" w:right="1071.5673828125" w:firstLine="0"/>
        <w:jc w:val="center"/>
        <w:rPr>
          <w:rFonts w:ascii="Arial" w:cs="Arial" w:eastAsia="Arial" w:hAnsi="Arial"/>
          <w:b w:val="0"/>
          <w:bCs w:val="0"/>
          <w:i w:val="0"/>
          <w:iCs w:val="0"/>
          <w:smallCaps w:val="0"/>
          <w:strike w:val="0"/>
          <w:color w:val="000000"/>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43.91999816894531"/>
          <w:szCs w:val="43.91999816894531"/>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3.91999816894531"/>
          <w:szCs w:val="43.91999816894531"/>
          <w:u w:val="none"/>
          <w:shd w:fill="auto" w:val="clear"/>
          <w:vertAlign w:val="baseline"/>
          <w:rtl w:val="0"/>
        </w:rPr>
        <w:t xml:space="preserve">Table of Contents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5.054931640625" w:line="442.9372215270996" w:lineRule="auto"/>
        <w:ind w:left="7.3297119140625" w:right="59.578857421875" w:firstLine="0"/>
        <w:jc w:val="center"/>
        <w:rPr>
          <w:rFonts w:ascii="Arial" w:cs="Arial" w:eastAsia="Arial" w:hAnsi="Arial"/>
          <w:b w:val="0"/>
          <w:bCs w:val="0"/>
          <w:i w:val="0"/>
          <w:iCs w:val="0"/>
          <w:smallCaps w:val="0"/>
          <w:strike w:val="0"/>
          <w:color w:val="000000"/>
          <w:sz w:val="40.08000183105469"/>
          <w:szCs w:val="40.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08000183105469"/>
          <w:szCs w:val="40.08000183105469"/>
          <w:u w:val="none"/>
          <w:shd w:fill="auto" w:val="clear"/>
          <w:vertAlign w:val="baseline"/>
          <w:rtl w:val="0"/>
        </w:rPr>
        <w:t xml:space="preserve">1. Introduction………………………………………….1 2. </w:t>
      </w:r>
      <w:r w:rsidDel="00000000" w:rsidR="00000000" w:rsidRPr="00000000">
        <w:rPr>
          <w:rFonts w:ascii="Arial" w:cs="Arial" w:eastAsia="Arial" w:hAnsi="Arial"/>
          <w:b w:val="0"/>
          <w:bCs w:val="0"/>
          <w:i w:val="0"/>
          <w:iCs w:val="0"/>
          <w:smallCaps w:val="0"/>
          <w:strike w:val="0"/>
          <w:color w:val="161f19"/>
          <w:sz w:val="40.08000183105469"/>
          <w:szCs w:val="40.08000183105469"/>
          <w:highlight w:val="white"/>
          <w:u w:val="none"/>
          <w:vertAlign w:val="baseline"/>
          <w:rtl w:val="0"/>
        </w:rPr>
        <w:t xml:space="preserve">ICD-11 Classification and Diagnosis</w:t>
      </w:r>
      <w:r w:rsidDel="00000000" w:rsidR="00000000" w:rsidRPr="00000000">
        <w:rPr>
          <w:rFonts w:ascii="Arial" w:cs="Arial" w:eastAsia="Arial" w:hAnsi="Arial"/>
          <w:b w:val="0"/>
          <w:bCs w:val="0"/>
          <w:i w:val="0"/>
          <w:iCs w:val="0"/>
          <w:smallCaps w:val="0"/>
          <w:strike w:val="0"/>
          <w:color w:val="000000"/>
          <w:sz w:val="40.08000183105469"/>
          <w:szCs w:val="40.08000183105469"/>
          <w:u w:val="none"/>
          <w:shd w:fill="auto" w:val="clear"/>
          <w:vertAlign w:val="baseline"/>
          <w:rtl w:val="0"/>
        </w:rPr>
        <w:t xml:space="preserve">….........…….1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3.760986328125" w:line="344.35340881347656" w:lineRule="auto"/>
        <w:ind w:left="6.928863525390625" w:right="98.634033203125" w:firstLine="3.607177734375"/>
        <w:jc w:val="both"/>
        <w:rPr>
          <w:rFonts w:ascii="Arial" w:cs="Arial" w:eastAsia="Arial" w:hAnsi="Arial"/>
          <w:b w:val="0"/>
          <w:bCs w:val="0"/>
          <w:i w:val="0"/>
          <w:iCs w:val="0"/>
          <w:smallCaps w:val="0"/>
          <w:strike w:val="0"/>
          <w:color w:val="000000"/>
          <w:sz w:val="40.08000183105469"/>
          <w:szCs w:val="40.08000183105469"/>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08000183105469"/>
          <w:szCs w:val="40.08000183105469"/>
          <w:u w:val="none"/>
          <w:shd w:fill="auto" w:val="clear"/>
          <w:vertAlign w:val="baseline"/>
          <w:rtl w:val="0"/>
        </w:rPr>
        <w:t xml:space="preserve">3. Critical Evaluation of Treatment ……………….…2 4. Rehabilitation and Everyday Functioning….…….3 5. Current Debates and Emerging Issues…………..4 6.Recommendations……………………….……….…6 7.Conclusion…..…. ……………………………...……7 8. References………………………………..…………8</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9.14810180664062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1. Introduction </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8935546875" w:line="343.6904239654541" w:lineRule="auto"/>
        <w:ind w:left="0" w:right="8.240966796875"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Attention-Deficit/Hyperactivity Disorder (ADHD) is a neurodevelopmental condition that is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characterized by persistent patterns of inattention, hyperactivity and impulsivity that impair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functioning across multiple settings (WHO, 2024). It is one of the most commonly diagnosed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childhood disorders; ADHD continues to generate significant debate regarding its classification,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boundaries between disorder and difference, and the most appropriate approaches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treatment and support and this report provides a critical examination of ADHD as classified in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ICD-11 Chapter 6, exploring diagnostic criteria and the language used within the classification. It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then evaluates standard treatment approaches, including pharmacological and psychological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interventions, before examining rehabilitation measures designed to support educational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social functioning also this part critically analyses current debates surrounding neurodiversity,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diagnostic expansion, over diagnosis and inequalities in access to care. Finally, evidence informed recommendations are proposed for improving classification, diagnosis, treatment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rehabilitation. The central argument is that effective ADHD care requires accurate clinical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assessment combined with individualized, multimodal support that recognizes genuine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impairment while respecting neurodevelopmental difference.</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8.1317138671875" w:line="240" w:lineRule="auto"/>
        <w:ind w:left="5.2081298828125" w:right="0" w:firstLine="0"/>
        <w:jc w:val="left"/>
        <w:rPr>
          <w:rFonts w:ascii="Arial" w:cs="Arial" w:eastAsia="Arial" w:hAnsi="Arial"/>
          <w:b w:val="0"/>
          <w:bCs w:val="0"/>
          <w:i w:val="0"/>
          <w:iCs w:val="0"/>
          <w:smallCaps w:val="0"/>
          <w:strike w:val="0"/>
          <w:color w:val="161f19"/>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31.920000076293945"/>
          <w:szCs w:val="31.920000076293945"/>
          <w:highlight w:val="white"/>
          <w:u w:val="none"/>
          <w:vertAlign w:val="baseline"/>
          <w:rtl w:val="0"/>
        </w:rPr>
        <w:t xml:space="preserve">2. ICD-11 Classification and Diagnosis</w:t>
      </w:r>
      <w:r w:rsidDel="00000000" w:rsidR="00000000" w:rsidRPr="00000000">
        <w:rPr>
          <w:rFonts w:ascii="Arial" w:cs="Arial" w:eastAsia="Arial" w:hAnsi="Arial"/>
          <w:b w:val="0"/>
          <w:bCs w:val="0"/>
          <w:i w:val="0"/>
          <w:iCs w:val="0"/>
          <w:smallCaps w:val="0"/>
          <w:strike w:val="0"/>
          <w:color w:val="161f19"/>
          <w:sz w:val="31.920000076293945"/>
          <w:szCs w:val="31.920000076293945"/>
          <w:u w:val="none"/>
          <w:shd w:fill="auto" w:val="clear"/>
          <w:vertAlign w:val="baseline"/>
          <w:rtl w:val="0"/>
        </w:rPr>
        <w:t xml:space="preserve"> </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6932373046875" w:line="240" w:lineRule="auto"/>
        <w:ind w:left="2.649688720703125" w:right="0"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2.1 Classification in ICD-11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343.6511993408203" w:lineRule="auto"/>
        <w:ind w:left="0" w:right="29.06005859375"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Attention-Deficit/Hyperactivity Disorder (ADHD) is classified in ICD-11 Chapter 6 under 6A05,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situated within the broader category of Neurodevelopmental Disorders (6A00–6A0Z). The</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classification defines ADHD as a persistent pattern of inattention and/or hyperactivity-impulsivity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that is outside the limits of normal variation expected for age and level of intellectual functioning.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ICD-11 recognizes three presentations: predominantly inattentive, predominantly hyperactive impulsive, and combined presentation (Farhat et al, 2022). Crucially, the diagnostic framework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emphasizes that symptoms must cause functional impairment across multiple settings,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distinguishing the disorder from ordinary behavioral variations.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5.1675415039062" w:line="240" w:lineRule="auto"/>
        <w:ind w:left="2.649688720703125" w:right="0"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2.2 Diagnostic processes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343.30467224121094" w:lineRule="auto"/>
        <w:ind w:left="0" w:right="57.998046875" w:firstLine="17.0016479492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ICD-11 adopts a descriptive, principle-based approach rather than the symptom-count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thresholds characteristic of DSM-5-TR (Zhang et al, 2025). This places greater reliance 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clinical synthesis and expertise, requiring clinicians to consider developmental history, symptom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4.08607482910156"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1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3.8486099243164" w:lineRule="auto"/>
        <w:ind w:left="4.857635498046875" w:right="69.923095703125" w:firstLine="4.857635498046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persistence, and functional impairment across contexts. Evidence from multiple informant‟s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including individuals, families and educators is essential. The classification also explicitly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acknowledges that hyperactivity often becomes internalized with age, manifesting as subjective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restlessness rather than overt behavioral disruption, a crucial consideration for adult diagnosis.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Differential diagnosis is fundamental: clinicians must exclude anxiety, mood disorders, trauma related conditions, and substance use that may produce superficially similar attention difficulties.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185546875" w:line="240" w:lineRule="auto"/>
        <w:ind w:left="2.64968872070312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2.3 Language and terminology</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7099609375" w:line="343.72907638549805" w:lineRule="auto"/>
        <w:ind w:left="0" w:right="179.12841796875"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assessment brief specifically requires examination of classification language. ICD-11</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positions ADHD as a “disorder” within the “neurodevelopmental” framework terminology that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carries significant implications. The prefix “neuro-” implies biological underpinnings, which may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support recognition and access to services, yet risks reification of a contested diagnostic entity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(Dwyer, 2022). This language also potentially contributes to stigma by framing ADHD primarily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through deficit, rather than difference (Fogler et al ,2025) also the tension between the utility of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diagnostic language for accessing support and its potential to constrain identity is central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contemporary debates examined later in this report.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8.095703125" w:line="240" w:lineRule="auto"/>
        <w:ind w:left="7.76168823242187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3. Critical Evaluation of Treatment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6.2939453125" w:line="240" w:lineRule="auto"/>
        <w:ind w:left="4.41604614257812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3.1 Pharmacological treatment</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3.92578125" w:line="343.5877990722656" w:lineRule="auto"/>
        <w:ind w:left="0" w:right="18.4619140625" w:firstLine="15.897674560546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Pharmacological intervention remains the most extensively evidenced treatment for ADHD.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comprehensive network meta-analysis of 133 randomized controlled trials (RCTs) demonstrated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that all included medications were superior to placebo for reducing core symptoms, with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161f19"/>
          <w:sz w:val="22.079999923706055"/>
          <w:szCs w:val="22.079999923706055"/>
          <w:highlight w:val="white"/>
          <w:u w:val="none"/>
          <w:vertAlign w:val="baseline"/>
          <w:rtl w:val="0"/>
        </w:rPr>
        <w:t xml:space="preserve">amphetamines (SMD −1.02) and methylphenidate (SMD −0.78) showing the largest effect sizes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 children and adolescents (Cortese et al ,2018) . However, this efficacy must be critically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contextualized. Amphetamines were inferior to placebo in tolerability, with significantly higher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discontinuation rates due to adverse events. Flexible titration adjusting dose based on symptom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response and tolerability is associated with improved acceptability compared to fixed-dose</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regimens, challenging the common clinical practice of under dosing (Farhat et al, 2022)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notably, symptom improvement does not automatically translate into improved functional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outcomes; the relationship between symptom reduction and quality of life gains remains modest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and inconsistent.</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4.145736694336"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2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41604614257812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3.2 Psychological and behavioral interventions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92626953125" w:line="343.64330291748047" w:lineRule="auto"/>
        <w:ind w:left="0" w:right="6.551513671875" w:firstLine="15.8976745605468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Psychological interventions address functional difficulties that medication alone may not resolve.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 recent meta-analysis of eight RCTs (n=850) found that dialectical behavior therapy (DBT)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Unicode MS" w:cs="Arial Unicode MS" w:eastAsia="Arial Unicode MS" w:hAnsi="Arial Unicode MS"/>
          <w:b w:val="0"/>
          <w:bCs w:val="0"/>
          <w:i w:val="0"/>
          <w:iCs w:val="0"/>
          <w:smallCaps w:val="0"/>
          <w:strike w:val="0"/>
          <w:color w:val="161f19"/>
          <w:sz w:val="22.079999923706055"/>
          <w:szCs w:val="22.079999923706055"/>
          <w:highlight w:val="white"/>
          <w:u w:val="none"/>
          <w:vertAlign w:val="baseline"/>
          <w:rtl w:val="0"/>
        </w:rPr>
        <w:t xml:space="preserve">moderately reduced ADHD symptoms (SMD −0.51) and improved quality of life in adults (Zhang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et al, 2025) and cognitive behavioral therapy (CBT) has demonstrated durable benefits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medicated adults with residual symptoms, with improvements in ADHD core symptoms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psychological quality of life maintained at one-year follow-up . However, significant limitations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persist: access to ADHD-specialist psychological service is limited and interventions often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require adaptation for individuals with executive functioning difficulties also the evidence base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for psychological interventions in children remains less robust than for adults, with parent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training showing efficacy primarily in preschool populations (Lange et al, 2018).</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3753662109375" w:line="240" w:lineRule="auto"/>
        <w:ind w:left="4.41604614257812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3.3 Individualized and combined care</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587890625" w:line="343.8838291168213" w:lineRule="auto"/>
        <w:ind w:left="4.6368408203125" w:right="180.321044921875" w:hanging="4.636840820312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evidence supports combined approaches, particularly for adults with residual symptoms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despite medication (Pan et al, 2024). However, the treatment response varies substantially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according to age and individual preferences and the critical challenge lies in moving beyond 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one-size fits all model toward genuinely personalized care that integrates pharmacological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practical support while respecting patient autonomy and neurodiversity.</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8.353271484375" w:line="240" w:lineRule="auto"/>
        <w:ind w:left="4.88891601562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4. Rehabilitation and Everyday Functioning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29345703125" w:line="240" w:lineRule="auto"/>
        <w:ind w:left="2.428894042968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4.1 Educational and occupational support</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1.5264892578125" w:line="343.61254692077637" w:lineRule="auto"/>
        <w:ind w:left="0" w:right="0" w:firstLine="16.33926391601562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Rehabilitation for ADHD must address functional participation rather than symptom reduction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alone and educational support also involves structured learning environments and collaboration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between educational professionals and mental health services. However, the evidence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school-based interventions is context dependent with benefits that are under blinded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assessment also occupational rehabilitation is increasingly recognized as essential: UK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Employment Tribunal decisions citing ADHD rose by over 700% between 2020 and 2025. Under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Equality Act 2010, reasonable adjustments like clearer task setting and coaching are legally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included, but research indicates that employers most of the time lack the knowledge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confidence to implement them effectively. Acas guidance emphasizes that a worker may be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considered disabled without formal diagnosis, placing a proactive duty on employers to respond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to functional need rather than clinical labels.</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34.9228668212891"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3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428894042968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4.2 Social and practical support</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1.126708984375" w:line="343.7760829925537" w:lineRule="auto"/>
        <w:ind w:left="0" w:right="43.642578125" w:firstLine="15.8976745605468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Psychoeducation and skills-based interventions support daily functioning. Cognitive training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shows limited transfer to real-world outcomes, with gains rarely extending beyond trained tasks.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Third-wave therapies such as mindfulness-based interventions demonstrate moderate symptom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reductions (Hedges' g = 0.77), though effects are driven primarily by unblinded parent ratings.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Parent training has the strongest evidence for improving parenting practices and family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functioning, with smaller effects on core symptoms.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252685546875" w:line="240" w:lineRule="auto"/>
        <w:ind w:left="2.428894042968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4.3 Critical evaluation</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1.326904296875" w:line="344.0650749206543" w:lineRule="auto"/>
        <w:ind w:left="5.740814208984375" w:right="469.10888671875" w:hanging="5.740814208984375"/>
        <w:jc w:val="both"/>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 critical distinction exists between treating symptoms and reducing environmental barriers.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Medication may improve attention yet fail to resolve an inflexible workplace or unsupportive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educational setting. Conversely, adjustments may enhance participation without addressing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clinically significant residual difficulties. Rehabilitation must therefore be individualized,</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7867431640625" w:line="343.34046363830566" w:lineRule="auto"/>
        <w:ind w:left="3.974456787109375" w:right="113.5986328125" w:firstLine="9.936065673828125"/>
        <w:jc w:val="both"/>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recognizing that ADHD is lifelong and that functional impairments persist even when symptoms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subside below diagnostic thresholds. Multiagency collaboration between health, education,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employment sectors is essential.</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8.8531494140625" w:line="240" w:lineRule="auto"/>
        <w:ind w:left="7.12326049804687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5. Current Debates and Emerging Issues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8.29345703125" w:line="240" w:lineRule="auto"/>
        <w:ind w:left="3.9744567871093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5.1 ADHD and the neurodiversity paradigm</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0.726318359375" w:line="343.6427879333496" w:lineRule="auto"/>
        <w:ind w:left="0" w:right="200.166015625" w:firstLine="0"/>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neurodiversity movement fundamentally challenges the deficit-based medical model by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framing ADHD as a natural variation in neurological development rather than an inherent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pathology. This perspective emphasizes environmental mismatch rather than individual deficit: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disability arises primarily from the incompatibility between the ADHD individual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neuronormative environments that fail to accommodate diverse cognitive styles. A critical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synthesis suggests that neurodiversity does not preclude clinical need; rather, it reframes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disability as context-dependent impairment emerges in unsupportive environments, not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inevitably from neurology itself. The strict opposition between medical and social models must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therefore be transcended, building relationships of trust within healthcare systems that respect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autonomy while acknowledging genuine clinical need.</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34.8950958251953"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4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9744567871093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5.2 Over diagnosis, under diagnosis, and diagnostic boundaries</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1.126708984375" w:line="343.64330291748047" w:lineRule="auto"/>
        <w:ind w:left="0" w:right="76.358642578125" w:hanging="3.974456787109375"/>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apparent rise in ADHD diagnoses has generated polarized debate. Recent evidence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indicates under diagnosis rather than over diagnosis at population level: meta-analytic data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show administrative prevalence substantially below the epidemiological rate of approximately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5% in children and 3% in adults. Cortese et al. conclude there is “no evidence that ADHD is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over-diagnosed in the UK,” with data pointing instead to under-diagnosis and unmet need .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However, misdiagnosis due to low-quality assessment or inadequate differential diagnosis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remains a legitimate concern. The increase in diagnoses among female adolescents and young</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adults likely reflects improved recognition of historically under identified populations rather than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diagnostic inflation. The critical issue is not the increase itself but whether individuals with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clinically significant ADHD are being appropriately identified and treated.</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374755859375" w:line="240" w:lineRule="auto"/>
        <w:ind w:left="3.9744567871093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5.3 Stigma, identity, and inequality</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3.126220703125" w:line="343.41296195983887" w:lineRule="auto"/>
        <w:ind w:left="0" w:right="91.854248046875" w:firstLine="14.7937011718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Diagnostic labels carry dual consequences. Significant disparities persist: BIPOC youth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frequently experience delayed diagnosis, misdiagnosis, or inadequate treatment due to implicit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bias, systemic barriers, and medical distrust. Socioeconomic factors further stratify access, with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private assessment markets creating inequitable pathways where diagnosis becomes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contingent on ability to pay and these findings raise fundamental questions about fairness and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 ethical obligation to ensure equitable service provision.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05.5865478515625" w:line="240" w:lineRule="auto"/>
        <w:ind w:left="3.974456787109375" w:right="0" w:firstLine="0"/>
        <w:jc w:val="left"/>
        <w:rPr>
          <w:rFonts w:ascii="Arial" w:cs="Arial" w:eastAsia="Arial" w:hAnsi="Arial"/>
          <w:b w:val="0"/>
          <w:bCs w:val="0"/>
          <w:i w:val="0"/>
          <w:iCs w:val="0"/>
          <w:smallCaps w:val="0"/>
          <w:strike w:val="0"/>
          <w:color w:val="161f19"/>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5.4 Implications for practice and policy</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03.126220703125" w:line="343.6806106567383" w:lineRule="auto"/>
        <w:ind w:left="3.974456787109375" w:right="10.02685546875" w:hanging="3.974456787109375"/>
        <w:jc w:val="left"/>
        <w:rPr>
          <w:rFonts w:ascii="Arial" w:cs="Arial" w:eastAsia="Arial" w:hAnsi="Arial"/>
          <w:b w:val="0"/>
          <w:bCs w:val="0"/>
          <w:i w:val="0"/>
          <w:iCs w:val="0"/>
          <w:smallCaps w:val="0"/>
          <w:strike w:val="0"/>
          <w:color w:val="161f19"/>
          <w:sz w:val="22.079999923706055"/>
          <w:szCs w:val="22.079999923706055"/>
          <w:highlight w:val="white"/>
          <w:u w:val="none"/>
          <w:vertAlign w:val="baseline"/>
        </w:rPr>
      </w:pP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These debates necessitate practice transformation. Clinicians must avoid reducing individuals to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diagnostic categories while recognizing genuine impairment. Services should prioritize need</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over diagnosis; ensuring support is accessible based on functional difficulty rather than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categorical labeling. Assessment processes must become more equitable, addressing racial,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socioeconomic, and gender disparities in recognition and access. Finally, service redesign must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ensure that the increased demand for ADHD assessment does not compromise care for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individuals with severe mental illness competing for limited resources. Policy should mandate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ongoing monitoring of diagnostic trends to distinguish genuine epidemiological shifts from </w:t>
      </w:r>
      <w:r w:rsidDel="00000000" w:rsidR="00000000" w:rsidRPr="00000000">
        <w:rPr>
          <w:rFonts w:ascii="Arial" w:cs="Arial" w:eastAsia="Arial" w:hAnsi="Arial"/>
          <w:b w:val="0"/>
          <w:bCs w:val="0"/>
          <w:i w:val="0"/>
          <w:iCs w:val="0"/>
          <w:smallCaps w:val="0"/>
          <w:strike w:val="0"/>
          <w:color w:val="161f19"/>
          <w:sz w:val="22.079999923706055"/>
          <w:szCs w:val="22.07999992370605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161f19"/>
          <w:sz w:val="22.079999923706055"/>
          <w:szCs w:val="22.079999923706055"/>
          <w:highlight w:val="white"/>
          <w:u w:val="none"/>
          <w:vertAlign w:val="baseline"/>
          <w:rtl w:val="0"/>
        </w:rPr>
        <w:t xml:space="preserve">systemic inequities in identification.</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47.6602935791016"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5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3854370117187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6. Recommendations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3.492431640625" w:line="265.1121139526367" w:lineRule="auto"/>
        <w:ind w:left="0" w:right="124.8193359375" w:firstLine="13.6897277832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Recommendation 1: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Implement Needs-Based Early Support Pathways Problem addressed:  Under diagnosis and inequitable access to assessment, with almost 700,000 people waiting for  ADHD assessment in England (BMJ,2025).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8.8232421875" w:line="263.6630916595459" w:lineRule="auto"/>
        <w:ind w:left="0" w:right="104.6923828125" w:firstLine="0.44174194335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What needs to change: Services should provide early non-pharmacological support like psych  education and school-based interventions that are based on functional need rather than waiting  for formal diagnosis. NHS England's ADHD Taskforce explicitly recommends "don't make  children wait for a diagnosis to get help".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1.357421875" w:line="265.65479278564453" w:lineRule="auto"/>
        <w:ind w:left="4.857635498046875" w:right="263.560791015625" w:firstLine="11.0400390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Evidence base: The BMJ highlights that early support reduces demand for adult assessments  and addresses inequities created by private assessment markets.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9.52392578125" w:line="240" w:lineRule="auto"/>
        <w:ind w:left="17.0016479492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Implementation: NHS England and schools.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4.326171875" w:line="240" w:lineRule="auto"/>
        <w:ind w:left="13.248138427734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Barriers: Funding constraints and commissioning fragmentation.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1.9256591796875" w:line="525.8762741088867" w:lineRule="auto"/>
        <w:ind w:left="13.689727783203125" w:right="328.255615234375" w:firstLine="2.20794677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Evaluation: Monitor referral rates, waiting times, and functional outcomes at 6 and 12 months. </w:t>
      </w: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Recommendation 2</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Strengthen Shared Decision-Making Through Evidence Tools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2.5201416015625" w:line="262.93785095214844" w:lineRule="auto"/>
        <w:ind w:left="11.260833740234375" w:right="1230.00244140625" w:firstLine="4.63684082031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Problem addressed: Treatment burden and variability in individual preferences, with  methylphenidate and atomoxetine showing worse tolerability than placebo.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4.822998046875" w:line="262.9384231567383" w:lineRule="auto"/>
        <w:ind w:left="4.857635498046875" w:right="382.353515625" w:hanging="4.415893554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What needs to change: Clinicians should use decision aids presenting benefits and harms in  accessible formats and non-pharmacological options.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0233154296875" w:line="265.11082649230957" w:lineRule="auto"/>
        <w:ind w:left="0" w:right="155.369873046875" w:firstLine="15.89767456054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Evidence base: Gosling et al. developed an umbrella review and online platform specifically for  ADHD shared decision-making.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99.2242431640625" w:line="445.4739475250244" w:lineRule="auto"/>
        <w:ind w:left="13.248138427734375" w:right="1105.972900390625" w:firstLine="3.75350952148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Implementation: NICE, clinical commissioning groups, and ADHD specialist services.  Barriers: Clinician time and professional hesitancy.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2.89031982421875" w:line="526.4199256896973" w:lineRule="auto"/>
        <w:ind w:left="13.689727783203125" w:right="1241.9683837890625" w:firstLine="2.207946777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Evaluation: Patient-reported decisional conflict and treatment satisfaction measures. </w:t>
      </w:r>
      <w:r w:rsidDel="00000000" w:rsidR="00000000" w:rsidRPr="00000000">
        <w:rPr>
          <w:rFonts w:ascii="Arial" w:cs="Arial" w:eastAsia="Arial" w:hAnsi="Arial"/>
          <w:b w:val="1"/>
          <w:bCs w:val="1"/>
          <w:i w:val="0"/>
          <w:iCs w:val="0"/>
          <w:smallCaps w:val="0"/>
          <w:strike w:val="0"/>
          <w:color w:val="000000"/>
          <w:sz w:val="22.079999923706055"/>
          <w:szCs w:val="22.079999923706055"/>
          <w:u w:val="none"/>
          <w:shd w:fill="auto" w:val="clear"/>
          <w:vertAlign w:val="baseline"/>
          <w:rtl w:val="0"/>
        </w:rPr>
        <w:t xml:space="preserve">Recommendation 3</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 Develop Culturally Responsive Services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2.02056884765625" w:line="265.1114559173584" w:lineRule="auto"/>
        <w:ind w:left="4.6368408203125" w:right="625.8721923828125" w:firstLine="11.260833740234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Problem addressed: Racial and ethnic disparities driven by structural bias and inadequate  diagnostic tools.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0.0238037109375" w:line="262.8659248352051" w:lineRule="auto"/>
        <w:ind w:left="0" w:right="801.25" w:firstLine="0.44174194335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What needs to change: Culturally adapted screenings and integration of cultural humility  training.</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1.2895965576172"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6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2.9391384124756" w:lineRule="auto"/>
        <w:ind w:left="5.740814208984375" w:right="274.407958984375" w:firstLine="10.156860351562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Evidence base: JAACAP research demonstrates that culturally relevant interventions improve  engagement for minoritized families.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4.422607421875" w:line="240" w:lineRule="auto"/>
        <w:ind w:left="17.001647949218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Implementation: NHS trusts and community organizations.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1.927490234375" w:line="240" w:lineRule="auto"/>
        <w:ind w:left="13.248138427734375" w:right="0"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Barriers: Resource constraints and workforce diversity.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4.326171875" w:line="438.9543628692627" w:lineRule="auto"/>
        <w:ind w:left="8.719329833984375" w:right="362.7197265625" w:firstLine="7.1783447265625"/>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Evaluation: Equity monitoring of diagnosis and treatment uptake across demographic groups. </w:t>
      </w: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7.Conclusion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0.889892578125" w:line="263.48164558410645" w:lineRule="auto"/>
        <w:ind w:left="0" w:right="103.76953125" w:firstLine="0"/>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This report has critically examined ADHD as classified in ICD-11, evaluating its diagnostic  framework and debates also ICD-11 offers a clinically useful and principle-based classification  that supports individualized assessment, but its flexible thresholds introduce clinician to clinician and difference and potentially that will going to be inconsistent diagnosis and the effective care  requires assessment that distinguishes clinically significant impairment from normal variation  while remaining alert to differential diagnoses.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3.92333984375" w:line="263.3002281188965" w:lineRule="auto"/>
        <w:ind w:left="0" w:right="196.435546875" w:firstLine="15.8976745605468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Pharmacological and psychological treatments demonstrate efficacy but benefits are symptom focused and highly individual; no single intervention is universally above the other and  rehabilitation must address environmental barriers to participation, recognizing that functional  difficulties persist even when symptoms subside. Finally effective ADHD care must balance  accurate recognition of impairment with respect for individual autonomy, ensuring that support  improves everyday functioning without reducing individuals to their diagnosis and policy and  practice must prioritize needs-based access and environments that accommodate  neurodevelopmental diversity.</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443.01025390625"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7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038543701171875" w:right="0" w:firstLine="0"/>
        <w:jc w:val="left"/>
        <w:rPr>
          <w:rFonts w:ascii="Arial" w:cs="Arial" w:eastAsia="Arial" w:hAnsi="Arial"/>
          <w:b w:val="0"/>
          <w:bCs w:val="0"/>
          <w:i w:val="0"/>
          <w:iCs w:val="0"/>
          <w:smallCaps w:val="0"/>
          <w:strike w:val="0"/>
          <w:color w:val="000000"/>
          <w:sz w:val="31.920000076293945"/>
          <w:szCs w:val="31.920000076293945"/>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31.920000076293945"/>
          <w:szCs w:val="31.920000076293945"/>
          <w:u w:val="none"/>
          <w:shd w:fill="auto" w:val="clear"/>
          <w:vertAlign w:val="baseline"/>
          <w:rtl w:val="0"/>
        </w:rPr>
        <w:t xml:space="preserve">8. References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892333984375" w:line="345.19540786743164" w:lineRule="auto"/>
        <w:ind w:left="724.5088195800781" w:right="152.886962890625" w:hanging="347.4398803710937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Cortese, S. et al. (2018) „Comparative efficacy and tolerability of medications for  attention-deficit hyperactivity disorder in children, adolescents, and adults: A  systematic review and network meta-analysis‟, The Lancet Psychiatry, 5(9), pp.  727–738.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72265625" w:line="321.43775939941406" w:lineRule="auto"/>
        <w:ind w:left="383.72161865234375" w:right="264.7265625"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Dwyer, P. (2022) „The neurodiversity approach(es): What are they and what do  they mean for researchers?‟, Human Development, 66(2), pp. 73–92.  </w:t>
      </w: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Faraone, S.V. et al. (2021) „The World Federation of ADHD International  Consensus Statement: 208 evidence-based conclusions about the disorder‟,  Neuroscience &amp; Biobehavioral Reviews, 128, pp. 789–818.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8316650390625" w:line="324.3339729309082" w:lineRule="auto"/>
        <w:ind w:left="383.72161865234375" w:right="341.04736328125"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Farhat, L.C. et al. (2022) „The effects of stimulant dose and dosing strategy on  treatment outcomes in attention-deficit/hyperactivity disorder in children and  adolescents: A meta-analysis‟, Molecular Psychiatry, 27(3), pp. 1562–1572.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0577392578125" w:line="321.4021968841553" w:lineRule="auto"/>
        <w:ind w:left="383.72161865234375" w:right="156.005859375"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Gosling, C.J. et al. (2025) „Benefits and harms of ADHD interventions: Umbrella  review and platform for shared decision making‟, BMJ, 391, article e085875. </w:t>
      </w: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Lange, A.-M. et al. (2018) „Parent training for preschool ADHD in routine,  specialist care: A randomized controlled trial‟, Journal of the American Academy  of Child &amp; Adolescent Psychiatry, 57(8), pp. 593–602.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873779296875" w:line="324.3337154388428" w:lineRule="auto"/>
        <w:ind w:left="725.2287292480469" w:right="56.3671875" w:hanging="341.5071105957031"/>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National Institute for Health and Care Excellence (2018, updated 2019) Attention  deficit hyperactivity disorder: Diagnosis and management. NICE guideline NG87.  London: NICE.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05804443359375" w:line="309.6504020690918" w:lineRule="auto"/>
        <w:ind w:left="737.4687194824219" w:right="133.88671875" w:hanging="353.7471008300781"/>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NHS England (2025) Report of the independent ADHD Taskforce. London: NHS  England.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05828857421875" w:line="324.5482635498047" w:lineRule="auto"/>
        <w:ind w:left="725.2287292480469" w:right="4.207763671875" w:hanging="341.5071105957031"/>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Pan, M.-R. et al. (2024) „One-year follow-up of the effectiveness and mediators of  cognitive behavioural therapy among adults with attention-deficit/hyperactivity  disorder: Secondary outcomes of a randomised controlled trial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2080078125" w:line="324.30516242980957" w:lineRule="auto"/>
        <w:ind w:left="730.7487487792969" w:right="375.3271484375" w:hanging="347.0271301269531"/>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Song, P., Zha, M., Yang, Q., Zhang, Y., Li, X. and Rudan, I. (2021) „The  prevalence of adult attention-deficit hyperactivity disorder: A global systematic  review and meta-analysis‟, Journal of Global Health, 11, article 04009</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7.8911590576172"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8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09.900484085083" w:lineRule="auto"/>
        <w:ind w:left="732.4287414550781" w:right="623.76708984375" w:hanging="348.7071228027344"/>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Health Organization (2022) World mental health report: Transforming  mental health for all. Geneva: World Health Organization. </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725341796875" w:line="324.33340072631836" w:lineRule="auto"/>
        <w:ind w:left="728.3486938476562" w:right="72.608642578125" w:hanging="344.6270751953125"/>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Health Organization (2024) Clinical descriptions and diagnostic  requirements for ICD-11 mental, behavioural and neurodevelopmental disorders.  Geneva: World Health Organization. </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058349609375" w:line="300.63194274902344" w:lineRule="auto"/>
        <w:ind w:left="736.2591552734375" w:right="213.504638671875" w:hanging="352.53753662109375"/>
        <w:jc w:val="left"/>
        <w:rPr>
          <w:rFonts w:ascii="Arial" w:cs="Arial" w:eastAsia="Arial" w:hAnsi="Arial"/>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Noto Sans Symbols" w:cs="Noto Sans Symbols" w:eastAsia="Noto Sans Symbols" w:hAnsi="Noto Sans Symbols"/>
          <w:b w:val="0"/>
          <w:bCs w:val="0"/>
          <w:i w:val="0"/>
          <w:iCs w:val="0"/>
          <w:smallCaps w:val="0"/>
          <w:strike w:val="0"/>
          <w:color w:val="000000"/>
          <w:sz w:val="31.920000076293945"/>
          <w:szCs w:val="31.920000076293945"/>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079999923706055"/>
          <w:szCs w:val="22.079999923706055"/>
          <w:u w:val="none"/>
          <w:shd w:fill="auto" w:val="clear"/>
          <w:vertAlign w:val="baseline"/>
          <w:rtl w:val="0"/>
        </w:rPr>
        <w:t xml:space="preserve">World Health Organization (2024) ICD-11: International Classification of Diseases 11th  Revision. Available at: https://icd.who.int/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134.773559570312" w:line="240" w:lineRule="auto"/>
        <w:ind w:left="0" w:right="61.900634765625" w:firstLine="0"/>
        <w:jc w:val="right"/>
        <w:rPr>
          <w:rFonts w:ascii="Calibri" w:cs="Calibri" w:eastAsia="Calibri" w:hAnsi="Calibri"/>
          <w:b w:val="0"/>
          <w:bCs w:val="0"/>
          <w:i w:val="0"/>
          <w:iCs w:val="0"/>
          <w:smallCaps w:val="0"/>
          <w:strike w:val="0"/>
          <w:color w:val="000000"/>
          <w:sz w:val="22.079999923706055"/>
          <w:szCs w:val="22.079999923706055"/>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079999923706055"/>
          <w:szCs w:val="22.079999923706055"/>
          <w:u w:val="none"/>
          <w:shd w:fill="auto" w:val="clear"/>
          <w:vertAlign w:val="baseline"/>
          <w:rtl w:val="0"/>
        </w:rPr>
        <w:t xml:space="preserve">Page | 9 </w:t>
      </w:r>
    </w:p>
    <w:sectPr>
      <w:pgSz w:h="15840" w:w="12240" w:orient="portrait"/>
      <w:pgMar w:bottom="1049.280014038086" w:top="1380.400390625" w:left="1443.5711669921875" w:right="1376.95312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 w:name="Arial Unicode MS"/>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